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C" w:rsidRDefault="00CF43CD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8pt;margin-top:45.05pt;width:409.9pt;height:57.9pt;z-index:251658240" fillcolor="red" strokecolor="red">
            <v:shadow color="#868686"/>
            <v:textpath style="font-family:&quot;方正小标宋_GBK&quot;;v-text-kern:t" trim="t" fitpath="t" string="青岛市安全生产委员会办公室"/>
          </v:shape>
        </w:pict>
      </w: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8005C" w:rsidRDefault="0068005C" w:rsidP="006046F3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 w:rsidR="006046F3" w:rsidRPr="00F961B0" w:rsidRDefault="006046F3" w:rsidP="006046F3">
      <w:pPr>
        <w:spacing w:line="540" w:lineRule="exact"/>
        <w:jc w:val="center"/>
        <w:rPr>
          <w:rFonts w:ascii="方正小标宋_GBK" w:eastAsia="方正小标宋_GBK" w:hAnsiTheme="minorEastAsia" w:hint="eastAsia"/>
          <w:sz w:val="44"/>
          <w:szCs w:val="44"/>
        </w:rPr>
      </w:pPr>
      <w:r w:rsidRPr="00F961B0">
        <w:rPr>
          <w:rFonts w:ascii="方正小标宋_GBK" w:eastAsia="方正小标宋_GBK" w:hAnsiTheme="minorEastAsia" w:hint="eastAsia"/>
          <w:sz w:val="44"/>
          <w:szCs w:val="44"/>
        </w:rPr>
        <w:t>2020年1</w:t>
      </w:r>
      <w:r w:rsidR="00147930" w:rsidRPr="00F961B0">
        <w:rPr>
          <w:rFonts w:ascii="方正小标宋_GBK" w:eastAsia="方正小标宋_GBK" w:hAnsiTheme="minorEastAsia" w:hint="eastAsia"/>
          <w:sz w:val="44"/>
          <w:szCs w:val="44"/>
        </w:rPr>
        <w:t>-</w:t>
      </w:r>
      <w:r w:rsidR="00CC0329" w:rsidRPr="00F961B0">
        <w:rPr>
          <w:rFonts w:ascii="方正小标宋_GBK" w:eastAsia="方正小标宋_GBK" w:hAnsiTheme="minorEastAsia" w:hint="eastAsia"/>
          <w:sz w:val="44"/>
          <w:szCs w:val="44"/>
        </w:rPr>
        <w:t>7</w:t>
      </w:r>
      <w:r w:rsidRPr="00F961B0">
        <w:rPr>
          <w:rFonts w:ascii="方正小标宋_GBK" w:eastAsia="方正小标宋_GBK" w:hAnsiTheme="minorEastAsia" w:hint="eastAsia"/>
          <w:sz w:val="44"/>
          <w:szCs w:val="44"/>
        </w:rPr>
        <w:t>月份全市生产安全事故情况通报</w:t>
      </w:r>
    </w:p>
    <w:p w:rsidR="006046F3" w:rsidRPr="00675895" w:rsidRDefault="006046F3" w:rsidP="006046F3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:rsidR="006046F3" w:rsidRPr="00675895" w:rsidRDefault="006046F3" w:rsidP="006046F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589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基本</w:t>
      </w:r>
      <w:r w:rsidRPr="00675895">
        <w:rPr>
          <w:rFonts w:ascii="黑体" w:eastAsia="黑体" w:hAnsi="黑体" w:hint="eastAsia"/>
          <w:sz w:val="32"/>
          <w:szCs w:val="32"/>
        </w:rPr>
        <w:t>情况</w:t>
      </w:r>
    </w:p>
    <w:p w:rsidR="00211F1E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1</w:t>
      </w:r>
      <w:r w:rsidR="00147930">
        <w:rPr>
          <w:rFonts w:ascii="仿宋_GB2312" w:eastAsia="仿宋_GB2312" w:hAnsi="仿宋" w:hint="eastAsia"/>
          <w:sz w:val="32"/>
          <w:szCs w:val="32"/>
        </w:rPr>
        <w:t>-</w:t>
      </w:r>
      <w:r w:rsidR="00CC0329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月份，全市共发生生产安全事故</w:t>
      </w:r>
      <w:r w:rsidR="00CC0329">
        <w:rPr>
          <w:rFonts w:ascii="仿宋_GB2312" w:eastAsia="仿宋_GB2312" w:hAnsi="仿宋" w:hint="eastAsia"/>
          <w:sz w:val="32"/>
          <w:szCs w:val="32"/>
        </w:rPr>
        <w:t>32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31</w:t>
      </w:r>
      <w:r w:rsidRPr="001F45D5">
        <w:rPr>
          <w:rFonts w:ascii="仿宋_GB2312" w:eastAsia="仿宋_GB2312" w:hAnsi="仿宋" w:hint="eastAsia"/>
          <w:sz w:val="32"/>
          <w:szCs w:val="32"/>
        </w:rPr>
        <w:t>人，同比事故起数</w:t>
      </w:r>
      <w:r w:rsidR="00022D8B">
        <w:rPr>
          <w:rFonts w:ascii="仿宋_GB2312" w:eastAsia="仿宋_GB2312" w:hAnsi="仿宋" w:hint="eastAsia"/>
          <w:sz w:val="32"/>
          <w:szCs w:val="32"/>
        </w:rPr>
        <w:t>、死亡人数分别</w:t>
      </w:r>
      <w:r w:rsidRPr="001F45D5">
        <w:rPr>
          <w:rFonts w:ascii="仿宋_GB2312" w:eastAsia="仿宋_GB2312" w:hAnsi="仿宋" w:hint="eastAsia"/>
          <w:sz w:val="32"/>
          <w:szCs w:val="32"/>
        </w:rPr>
        <w:t>下降</w:t>
      </w:r>
      <w:r w:rsidR="00CB7EFF">
        <w:rPr>
          <w:rFonts w:ascii="仿宋_GB2312" w:eastAsia="仿宋_GB2312" w:hAnsi="仿宋" w:hint="eastAsia"/>
          <w:sz w:val="32"/>
          <w:szCs w:val="32"/>
        </w:rPr>
        <w:t>4</w:t>
      </w:r>
      <w:r w:rsidR="00CC0329">
        <w:rPr>
          <w:rFonts w:ascii="仿宋_GB2312" w:eastAsia="仿宋_GB2312" w:hAnsi="仿宋" w:hint="eastAsia"/>
          <w:sz w:val="32"/>
          <w:szCs w:val="32"/>
        </w:rPr>
        <w:t>2.9</w:t>
      </w:r>
      <w:r w:rsidRPr="001F45D5">
        <w:rPr>
          <w:rFonts w:ascii="仿宋_GB2312" w:eastAsia="仿宋_GB2312" w:hAnsi="仿宋" w:hint="eastAsia"/>
          <w:sz w:val="32"/>
          <w:szCs w:val="32"/>
        </w:rPr>
        <w:t>%</w:t>
      </w:r>
      <w:r w:rsidR="00022D8B">
        <w:rPr>
          <w:rFonts w:ascii="仿宋_GB2312" w:eastAsia="仿宋_GB2312" w:hAnsi="仿宋" w:hint="eastAsia"/>
          <w:sz w:val="32"/>
          <w:szCs w:val="32"/>
        </w:rPr>
        <w:t>和</w:t>
      </w:r>
      <w:r w:rsidR="00CC0329">
        <w:rPr>
          <w:rFonts w:ascii="仿宋_GB2312" w:eastAsia="仿宋_GB2312" w:hAnsi="仿宋" w:hint="eastAsia"/>
          <w:sz w:val="32"/>
          <w:szCs w:val="32"/>
        </w:rPr>
        <w:t>3.1</w:t>
      </w:r>
      <w:r w:rsidR="00F73CE6">
        <w:rPr>
          <w:rFonts w:ascii="仿宋_GB2312" w:eastAsia="仿宋_GB2312" w:hAnsi="仿宋" w:hint="eastAsia"/>
          <w:sz w:val="32"/>
          <w:szCs w:val="32"/>
        </w:rPr>
        <w:t>%</w:t>
      </w:r>
      <w:r w:rsidR="00D9228B">
        <w:rPr>
          <w:rFonts w:ascii="仿宋_GB2312" w:eastAsia="仿宋_GB2312" w:hAnsi="仿宋" w:hint="eastAsia"/>
          <w:sz w:val="32"/>
          <w:szCs w:val="32"/>
        </w:rPr>
        <w:t>。</w:t>
      </w:r>
      <w:r w:rsidR="00774FD7">
        <w:rPr>
          <w:rFonts w:ascii="仿宋_GB2312" w:eastAsia="仿宋_GB2312" w:hAnsi="仿宋" w:hint="eastAsia"/>
          <w:sz w:val="32"/>
          <w:szCs w:val="32"/>
        </w:rPr>
        <w:t>发生较大事故</w:t>
      </w:r>
      <w:r w:rsidR="00CC0329">
        <w:rPr>
          <w:rFonts w:ascii="仿宋_GB2312" w:eastAsia="仿宋_GB2312" w:hAnsi="仿宋" w:hint="eastAsia"/>
          <w:sz w:val="32"/>
          <w:szCs w:val="32"/>
        </w:rPr>
        <w:t>2</w:t>
      </w:r>
      <w:r w:rsidR="00774FD7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6</w:t>
      </w:r>
      <w:r w:rsidR="00774FD7">
        <w:rPr>
          <w:rFonts w:ascii="仿宋_GB2312" w:eastAsia="仿宋_GB2312" w:hAnsi="仿宋" w:hint="eastAsia"/>
          <w:sz w:val="32"/>
          <w:szCs w:val="32"/>
        </w:rPr>
        <w:t>人。</w:t>
      </w:r>
    </w:p>
    <w:p w:rsidR="002F5DFA" w:rsidRPr="002F5DFA" w:rsidRDefault="00CC0329" w:rsidP="006046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F5DFA">
        <w:rPr>
          <w:rFonts w:ascii="仿宋_GB2312" w:eastAsia="仿宋_GB2312" w:hint="eastAsia"/>
          <w:sz w:val="32"/>
          <w:szCs w:val="32"/>
        </w:rPr>
        <w:t>月份</w:t>
      </w:r>
      <w:r w:rsidR="00147930" w:rsidRPr="001F45D5">
        <w:rPr>
          <w:rFonts w:ascii="仿宋_GB2312" w:eastAsia="仿宋_GB2312" w:hAnsi="仿宋" w:hint="eastAsia"/>
          <w:sz w:val="32"/>
          <w:szCs w:val="32"/>
        </w:rPr>
        <w:t>发生生产安全事故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147930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="00147930">
        <w:rPr>
          <w:rFonts w:ascii="仿宋_GB2312" w:eastAsia="仿宋_GB2312" w:hAnsi="仿宋" w:hint="eastAsia"/>
          <w:sz w:val="32"/>
          <w:szCs w:val="32"/>
        </w:rPr>
        <w:t>人</w:t>
      </w:r>
      <w:r w:rsidR="002F5DFA">
        <w:rPr>
          <w:rFonts w:ascii="仿宋_GB2312" w:eastAsia="仿宋_GB2312" w:hint="eastAsia"/>
          <w:sz w:val="32"/>
          <w:szCs w:val="32"/>
        </w:rPr>
        <w:t>。</w:t>
      </w:r>
    </w:p>
    <w:p w:rsidR="006046F3" w:rsidRPr="00CE68D8" w:rsidRDefault="006046F3" w:rsidP="006046F3">
      <w:pPr>
        <w:spacing w:line="540" w:lineRule="exact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CE68D8">
        <w:rPr>
          <w:rFonts w:ascii="黑体" w:eastAsia="黑体" w:hAnsi="黑体" w:cs="Calibri" w:hint="eastAsia"/>
          <w:sz w:val="32"/>
          <w:szCs w:val="32"/>
        </w:rPr>
        <w:t>二、事故分布情况</w:t>
      </w:r>
    </w:p>
    <w:p w:rsidR="006046F3" w:rsidRPr="001F45D5" w:rsidRDefault="006046F3" w:rsidP="006046F3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F45D5">
        <w:rPr>
          <w:rFonts w:ascii="楷体_GB2312" w:eastAsia="楷体_GB2312" w:hAnsi="仿宋" w:hint="eastAsia"/>
          <w:sz w:val="32"/>
          <w:szCs w:val="32"/>
        </w:rPr>
        <w:t>（一）分行业情况</w:t>
      </w: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1.采矿业。</w:t>
      </w:r>
      <w:r w:rsidR="00715630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715630">
        <w:rPr>
          <w:rFonts w:ascii="仿宋_GB2312" w:eastAsia="仿宋_GB2312" w:hAnsi="仿宋" w:hint="eastAsia"/>
          <w:sz w:val="32"/>
          <w:szCs w:val="32"/>
        </w:rPr>
        <w:t>1</w:t>
      </w:r>
      <w:r w:rsidR="00715630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715630">
        <w:rPr>
          <w:rFonts w:ascii="仿宋_GB2312" w:eastAsia="仿宋_GB2312" w:hAnsi="仿宋" w:hint="eastAsia"/>
          <w:sz w:val="32"/>
          <w:szCs w:val="32"/>
        </w:rPr>
        <w:t>1</w:t>
      </w:r>
      <w:r w:rsidR="00715630"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2.商贸制造业。发生事故</w:t>
      </w:r>
      <w:r w:rsidR="00CC0329">
        <w:rPr>
          <w:rFonts w:ascii="仿宋_GB2312" w:eastAsia="仿宋_GB2312" w:hAnsi="仿宋" w:hint="eastAsia"/>
          <w:sz w:val="32"/>
          <w:szCs w:val="32"/>
        </w:rPr>
        <w:t>13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11</w:t>
      </w:r>
      <w:r w:rsidRPr="001F45D5">
        <w:rPr>
          <w:rFonts w:ascii="仿宋_GB2312" w:eastAsia="仿宋_GB2312" w:hAnsi="仿宋" w:hint="eastAsia"/>
          <w:sz w:val="32"/>
          <w:szCs w:val="32"/>
        </w:rPr>
        <w:t>人。其中，冶金、机械等八大行业发生事故</w:t>
      </w:r>
      <w:r w:rsidR="00CC0329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人；工商贸其他行业发生事故</w:t>
      </w:r>
      <w:r w:rsidR="00CC0329">
        <w:rPr>
          <w:rFonts w:ascii="仿宋_GB2312" w:eastAsia="仿宋_GB2312" w:hAnsi="仿宋" w:hint="eastAsia"/>
          <w:sz w:val="32"/>
          <w:szCs w:val="32"/>
        </w:rPr>
        <w:t>5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3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3.建筑业。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CC0329">
        <w:rPr>
          <w:rFonts w:ascii="仿宋_GB2312" w:eastAsia="仿宋_GB2312" w:hAnsi="仿宋" w:hint="eastAsia"/>
          <w:sz w:val="32"/>
          <w:szCs w:val="32"/>
        </w:rPr>
        <w:t>6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7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人。</w:t>
      </w:r>
      <w:r w:rsidRPr="001F45D5">
        <w:rPr>
          <w:rFonts w:ascii="仿宋_GB2312" w:eastAsia="仿宋_GB2312" w:hAnsi="仿宋" w:hint="eastAsia"/>
          <w:sz w:val="32"/>
          <w:szCs w:val="32"/>
        </w:rPr>
        <w:t>去年同期发生事故</w:t>
      </w:r>
      <w:r w:rsidR="00CC0329">
        <w:rPr>
          <w:rFonts w:ascii="仿宋_GB2312" w:eastAsia="仿宋_GB2312" w:hAnsi="仿宋" w:hint="eastAsia"/>
          <w:sz w:val="32"/>
          <w:szCs w:val="32"/>
        </w:rPr>
        <w:t>6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4.交通运输和仓储业。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CC0329">
        <w:rPr>
          <w:rFonts w:ascii="仿宋_GB2312" w:eastAsia="仿宋_GB2312" w:hAnsi="仿宋" w:hint="eastAsia"/>
          <w:sz w:val="32"/>
          <w:szCs w:val="32"/>
        </w:rPr>
        <w:t>9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起，</w:t>
      </w:r>
      <w:r w:rsidR="00022D8B">
        <w:rPr>
          <w:rFonts w:ascii="仿宋_GB2312" w:eastAsia="仿宋_GB2312" w:hAnsi="仿宋" w:hint="eastAsia"/>
          <w:sz w:val="32"/>
          <w:szCs w:val="32"/>
        </w:rPr>
        <w:t>死亡</w:t>
      </w:r>
      <w:r w:rsidR="00CC0329">
        <w:rPr>
          <w:rFonts w:ascii="仿宋_GB2312" w:eastAsia="仿宋_GB2312" w:hAnsi="仿宋" w:hint="eastAsia"/>
          <w:sz w:val="32"/>
          <w:szCs w:val="32"/>
        </w:rPr>
        <w:t>5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人。</w:t>
      </w:r>
      <w:r w:rsidRPr="001F45D5">
        <w:rPr>
          <w:rFonts w:ascii="仿宋_GB2312" w:eastAsia="仿宋_GB2312" w:hAnsi="仿宋" w:hint="eastAsia"/>
          <w:sz w:val="32"/>
          <w:szCs w:val="32"/>
        </w:rPr>
        <w:t>去年同期发生事故</w:t>
      </w:r>
      <w:r w:rsidR="005542C8">
        <w:rPr>
          <w:rFonts w:ascii="仿宋_GB2312" w:eastAsia="仿宋_GB2312" w:hAnsi="仿宋" w:hint="eastAsia"/>
          <w:sz w:val="32"/>
          <w:szCs w:val="32"/>
        </w:rPr>
        <w:t>32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022D8B">
        <w:rPr>
          <w:rFonts w:ascii="仿宋_GB2312" w:eastAsia="仿宋_GB2312" w:hAnsi="仿宋" w:hint="eastAsia"/>
          <w:sz w:val="32"/>
          <w:szCs w:val="32"/>
        </w:rPr>
        <w:t>6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022D8B" w:rsidRPr="001F45D5" w:rsidRDefault="00022D8B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5.农业机械。发生事故1起，死亡</w:t>
      </w:r>
      <w:r w:rsidR="00EE028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Default="00022D8B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6</w:t>
      </w:r>
      <w:r w:rsidR="006046F3" w:rsidRPr="001F45D5">
        <w:rPr>
          <w:rFonts w:ascii="仿宋_GB2312" w:eastAsia="仿宋_GB2312" w:hAnsi="仿宋" w:hint="eastAsia"/>
          <w:sz w:val="32"/>
          <w:szCs w:val="32"/>
        </w:rPr>
        <w:t>.</w:t>
      </w:r>
      <w:r w:rsidR="00DA3934">
        <w:rPr>
          <w:rFonts w:ascii="仿宋_GB2312" w:eastAsia="仿宋_GB2312" w:hAnsi="仿宋" w:hint="eastAsia"/>
          <w:sz w:val="32"/>
          <w:szCs w:val="32"/>
        </w:rPr>
        <w:t>公共设施管理业</w:t>
      </w:r>
      <w:r w:rsidR="006046F3" w:rsidRPr="001F45D5">
        <w:rPr>
          <w:rFonts w:ascii="仿宋_GB2312" w:eastAsia="仿宋_GB2312" w:hAnsi="仿宋" w:hint="eastAsia"/>
          <w:sz w:val="32"/>
          <w:szCs w:val="32"/>
        </w:rPr>
        <w:t>。</w:t>
      </w:r>
      <w:r w:rsidR="00DA3934">
        <w:rPr>
          <w:rFonts w:ascii="仿宋_GB2312" w:eastAsia="仿宋_GB2312" w:hAnsi="仿宋" w:hint="eastAsia"/>
          <w:sz w:val="32"/>
          <w:szCs w:val="32"/>
        </w:rPr>
        <w:t>发生事故</w:t>
      </w:r>
      <w:r w:rsidR="009A4F4F">
        <w:rPr>
          <w:rFonts w:ascii="仿宋_GB2312" w:eastAsia="仿宋_GB2312" w:hAnsi="仿宋" w:hint="eastAsia"/>
          <w:sz w:val="32"/>
          <w:szCs w:val="32"/>
        </w:rPr>
        <w:t>2</w:t>
      </w:r>
      <w:r w:rsidR="00DA3934">
        <w:rPr>
          <w:rFonts w:ascii="仿宋_GB2312" w:eastAsia="仿宋_GB2312" w:hAnsi="仿宋" w:hint="eastAsia"/>
          <w:sz w:val="32"/>
          <w:szCs w:val="32"/>
        </w:rPr>
        <w:t>起，死亡</w:t>
      </w:r>
      <w:r w:rsidR="009A4F4F">
        <w:rPr>
          <w:rFonts w:ascii="仿宋_GB2312" w:eastAsia="仿宋_GB2312" w:hAnsi="仿宋" w:hint="eastAsia"/>
          <w:sz w:val="32"/>
          <w:szCs w:val="32"/>
        </w:rPr>
        <w:t>6</w:t>
      </w:r>
      <w:r w:rsidR="00DA3934">
        <w:rPr>
          <w:rFonts w:ascii="仿宋_GB2312" w:eastAsia="仿宋_GB2312" w:hAnsi="仿宋" w:hint="eastAsia"/>
          <w:sz w:val="32"/>
          <w:szCs w:val="32"/>
        </w:rPr>
        <w:t>人。</w:t>
      </w:r>
    </w:p>
    <w:p w:rsidR="00434251" w:rsidRDefault="0052601E" w:rsidP="00434251">
      <w:pPr>
        <w:jc w:val="center"/>
        <w:rPr>
          <w:rFonts w:ascii="楷体_GB2312" w:eastAsia="楷体_GB2312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181600" cy="3472815"/>
            <wp:effectExtent l="0" t="0" r="19050" b="1333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4251" w:rsidRDefault="0052601E" w:rsidP="00434251">
      <w:pPr>
        <w:jc w:val="center"/>
        <w:rPr>
          <w:rFonts w:ascii="楷体_GB2312" w:eastAsia="楷体_GB2312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158740" cy="3307080"/>
            <wp:effectExtent l="0" t="0" r="22860" b="2667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46F3" w:rsidRPr="001F45D5" w:rsidRDefault="006046F3" w:rsidP="001F45D5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F45D5">
        <w:rPr>
          <w:rFonts w:ascii="楷体_GB2312" w:eastAsia="楷体_GB2312" w:hAnsi="仿宋" w:hint="eastAsia"/>
          <w:sz w:val="32"/>
          <w:szCs w:val="32"/>
        </w:rPr>
        <w:t>（二）分区市情况</w:t>
      </w:r>
    </w:p>
    <w:p w:rsidR="006046F3" w:rsidRDefault="00EE23C3" w:rsidP="0068252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市南</w:t>
      </w:r>
      <w:r w:rsidRPr="008A5605">
        <w:rPr>
          <w:rFonts w:ascii="仿宋_GB2312" w:eastAsia="仿宋_GB2312" w:hAnsi="仿宋" w:hint="eastAsia"/>
          <w:sz w:val="32"/>
          <w:szCs w:val="32"/>
        </w:rPr>
        <w:t>区发生事故</w:t>
      </w:r>
      <w:r w:rsidR="00DD70A9">
        <w:rPr>
          <w:rFonts w:ascii="仿宋_GB2312" w:eastAsia="仿宋_GB2312" w:hAnsi="仿宋" w:hint="eastAsia"/>
          <w:sz w:val="32"/>
          <w:szCs w:val="32"/>
        </w:rPr>
        <w:t>3</w:t>
      </w:r>
      <w:r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DD70A9">
        <w:rPr>
          <w:rFonts w:ascii="仿宋_GB2312" w:eastAsia="仿宋_GB2312" w:hAnsi="仿宋" w:hint="eastAsia"/>
          <w:sz w:val="32"/>
          <w:szCs w:val="32"/>
        </w:rPr>
        <w:t>2</w:t>
      </w:r>
      <w:r w:rsidRPr="008A5605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去年同期未发生生产安全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事故</w:t>
      </w:r>
      <w:r w:rsidRPr="008A5605">
        <w:rPr>
          <w:rFonts w:ascii="仿宋_GB2312" w:eastAsia="仿宋_GB2312" w:hAnsi="仿宋" w:hint="eastAsia"/>
          <w:sz w:val="32"/>
          <w:szCs w:val="32"/>
        </w:rPr>
        <w:t>；</w:t>
      </w:r>
      <w:r w:rsidR="00DD70A9">
        <w:rPr>
          <w:rFonts w:ascii="仿宋_GB2312" w:eastAsia="仿宋_GB2312" w:hAnsi="仿宋" w:hint="eastAsia"/>
          <w:sz w:val="32"/>
          <w:szCs w:val="32"/>
        </w:rPr>
        <w:t>市北区</w:t>
      </w:r>
      <w:r w:rsidR="00DD70A9" w:rsidRPr="00DD70A9">
        <w:rPr>
          <w:rFonts w:ascii="仿宋_GB2312" w:eastAsia="仿宋_GB2312" w:hAnsi="仿宋" w:hint="eastAsia"/>
          <w:sz w:val="32"/>
          <w:szCs w:val="32"/>
        </w:rPr>
        <w:t>发生事故1起，死亡1人，同比事故起数下降</w:t>
      </w:r>
      <w:r w:rsidR="00DD70A9">
        <w:rPr>
          <w:rFonts w:ascii="仿宋_GB2312" w:eastAsia="仿宋_GB2312" w:hAnsi="仿宋" w:hint="eastAsia"/>
          <w:sz w:val="32"/>
          <w:szCs w:val="32"/>
        </w:rPr>
        <w:t>50</w:t>
      </w:r>
      <w:r w:rsidR="00DD70A9" w:rsidRPr="00DD70A9">
        <w:rPr>
          <w:rFonts w:ascii="仿宋_GB2312" w:eastAsia="仿宋_GB2312" w:hAnsi="仿宋" w:hint="eastAsia"/>
          <w:sz w:val="32"/>
          <w:szCs w:val="32"/>
        </w:rPr>
        <w:t>%，死亡人数持平；</w:t>
      </w:r>
      <w:r w:rsidR="00682528">
        <w:rPr>
          <w:rFonts w:ascii="仿宋_GB2312" w:eastAsia="仿宋_GB2312" w:hAnsi="仿宋" w:hint="eastAsia"/>
          <w:sz w:val="32"/>
          <w:szCs w:val="32"/>
        </w:rPr>
        <w:t>李沧</w:t>
      </w:r>
      <w:r w:rsidR="00682528" w:rsidRPr="00682528">
        <w:rPr>
          <w:rFonts w:ascii="仿宋_GB2312" w:eastAsia="仿宋_GB2312" w:hAnsi="仿宋" w:hint="eastAsia"/>
          <w:sz w:val="32"/>
          <w:szCs w:val="32"/>
        </w:rPr>
        <w:t>区发生事故1起，</w:t>
      </w:r>
      <w:r w:rsidR="00682528">
        <w:rPr>
          <w:rFonts w:ascii="仿宋_GB2312" w:eastAsia="仿宋_GB2312" w:hAnsi="仿宋" w:hint="eastAsia"/>
          <w:sz w:val="32"/>
          <w:szCs w:val="32"/>
        </w:rPr>
        <w:t>受伤</w:t>
      </w:r>
      <w:r w:rsidR="00682528" w:rsidRPr="00682528">
        <w:rPr>
          <w:rFonts w:ascii="仿宋_GB2312" w:eastAsia="仿宋_GB2312" w:hAnsi="仿宋" w:hint="eastAsia"/>
          <w:sz w:val="32"/>
          <w:szCs w:val="32"/>
        </w:rPr>
        <w:t>1人，同比事故起数下降50%，死亡人数</w:t>
      </w:r>
      <w:r w:rsidR="00682528">
        <w:rPr>
          <w:rFonts w:ascii="仿宋_GB2312" w:eastAsia="仿宋_GB2312" w:hAnsi="仿宋" w:hint="eastAsia"/>
          <w:sz w:val="32"/>
          <w:szCs w:val="32"/>
        </w:rPr>
        <w:t>下降100%</w:t>
      </w:r>
      <w:r w:rsidR="00682528" w:rsidRPr="00682528">
        <w:rPr>
          <w:rFonts w:ascii="仿宋_GB2312" w:eastAsia="仿宋_GB2312" w:hAnsi="仿宋" w:hint="eastAsia"/>
          <w:sz w:val="32"/>
          <w:szCs w:val="32"/>
        </w:rPr>
        <w:t>；</w:t>
      </w:r>
      <w:r w:rsidR="008F286F">
        <w:rPr>
          <w:rFonts w:ascii="仿宋_GB2312" w:eastAsia="仿宋_GB2312" w:hAnsi="仿宋" w:hint="eastAsia"/>
          <w:sz w:val="32"/>
          <w:szCs w:val="32"/>
        </w:rPr>
        <w:t>崂山</w:t>
      </w:r>
      <w:r w:rsidR="008F286F" w:rsidRPr="008A5605">
        <w:rPr>
          <w:rFonts w:ascii="仿宋_GB2312" w:eastAsia="仿宋_GB2312" w:hAnsi="仿宋" w:hint="eastAsia"/>
          <w:sz w:val="32"/>
          <w:szCs w:val="32"/>
        </w:rPr>
        <w:t>区发生事故</w:t>
      </w:r>
      <w:r w:rsidR="00682528">
        <w:rPr>
          <w:rFonts w:ascii="仿宋_GB2312" w:eastAsia="仿宋_GB2312" w:hAnsi="仿宋" w:hint="eastAsia"/>
          <w:sz w:val="32"/>
          <w:szCs w:val="32"/>
        </w:rPr>
        <w:t>2</w:t>
      </w:r>
      <w:r w:rsidR="008F286F"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682528">
        <w:rPr>
          <w:rFonts w:ascii="仿宋_GB2312" w:eastAsia="仿宋_GB2312" w:hAnsi="仿宋" w:hint="eastAsia"/>
          <w:sz w:val="32"/>
          <w:szCs w:val="32"/>
        </w:rPr>
        <w:t>2</w:t>
      </w:r>
      <w:r w:rsidR="008F286F" w:rsidRPr="008A5605">
        <w:rPr>
          <w:rFonts w:ascii="仿宋_GB2312" w:eastAsia="仿宋_GB2312" w:hAnsi="仿宋" w:hint="eastAsia"/>
          <w:sz w:val="32"/>
          <w:szCs w:val="32"/>
        </w:rPr>
        <w:t>人，</w:t>
      </w:r>
      <w:r w:rsidR="008F286F">
        <w:rPr>
          <w:rFonts w:ascii="仿宋_GB2312" w:eastAsia="仿宋_GB2312" w:hAnsi="仿宋" w:hint="eastAsia"/>
          <w:sz w:val="32"/>
          <w:szCs w:val="32"/>
        </w:rPr>
        <w:t>同比事故起数</w:t>
      </w:r>
      <w:r w:rsidR="00662719">
        <w:rPr>
          <w:rFonts w:ascii="仿宋_GB2312" w:eastAsia="仿宋_GB2312" w:hAnsi="仿宋" w:hint="eastAsia"/>
          <w:sz w:val="32"/>
          <w:szCs w:val="32"/>
        </w:rPr>
        <w:t>下降</w:t>
      </w:r>
      <w:r w:rsidR="00682528">
        <w:rPr>
          <w:rFonts w:ascii="仿宋_GB2312" w:eastAsia="仿宋_GB2312" w:hAnsi="仿宋" w:hint="eastAsia"/>
          <w:sz w:val="32"/>
          <w:szCs w:val="32"/>
        </w:rPr>
        <w:t>60</w:t>
      </w:r>
      <w:r w:rsidR="00662719">
        <w:rPr>
          <w:rFonts w:ascii="仿宋_GB2312" w:eastAsia="仿宋_GB2312" w:hAnsi="仿宋" w:hint="eastAsia"/>
          <w:sz w:val="32"/>
          <w:szCs w:val="32"/>
        </w:rPr>
        <w:t>%</w:t>
      </w:r>
      <w:r w:rsidR="008F286F">
        <w:rPr>
          <w:rFonts w:ascii="仿宋_GB2312" w:eastAsia="仿宋_GB2312" w:hAnsi="仿宋" w:hint="eastAsia"/>
          <w:sz w:val="32"/>
          <w:szCs w:val="32"/>
        </w:rPr>
        <w:t>，死亡人数</w:t>
      </w:r>
      <w:r w:rsidR="00F56240">
        <w:rPr>
          <w:rFonts w:ascii="仿宋_GB2312" w:eastAsia="仿宋_GB2312" w:hAnsi="仿宋" w:hint="eastAsia"/>
          <w:sz w:val="32"/>
          <w:szCs w:val="32"/>
        </w:rPr>
        <w:t>持平</w:t>
      </w:r>
      <w:r w:rsidR="008F286F">
        <w:rPr>
          <w:rFonts w:ascii="仿宋_GB2312" w:eastAsia="仿宋_GB2312" w:hAnsi="仿宋" w:hint="eastAsia"/>
          <w:sz w:val="32"/>
          <w:szCs w:val="32"/>
        </w:rPr>
        <w:t>；</w:t>
      </w:r>
      <w:r w:rsidR="00F56240" w:rsidRPr="008A5605">
        <w:rPr>
          <w:rFonts w:ascii="仿宋_GB2312" w:eastAsia="仿宋_GB2312" w:hAnsi="仿宋" w:hint="eastAsia"/>
          <w:sz w:val="32"/>
          <w:szCs w:val="32"/>
        </w:rPr>
        <w:t>西海岸新区发生事故</w:t>
      </w:r>
      <w:r w:rsidR="00682528">
        <w:rPr>
          <w:rFonts w:ascii="仿宋_GB2312" w:eastAsia="仿宋_GB2312" w:hAnsi="仿宋" w:hint="eastAsia"/>
          <w:sz w:val="32"/>
          <w:szCs w:val="32"/>
        </w:rPr>
        <w:t>10</w:t>
      </w:r>
      <w:r w:rsidR="00F56240"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682528">
        <w:rPr>
          <w:rFonts w:ascii="仿宋_GB2312" w:eastAsia="仿宋_GB2312" w:hAnsi="仿宋" w:hint="eastAsia"/>
          <w:sz w:val="32"/>
          <w:szCs w:val="32"/>
        </w:rPr>
        <w:t>10</w:t>
      </w:r>
      <w:r w:rsidR="00F56240" w:rsidRPr="008A5605">
        <w:rPr>
          <w:rFonts w:ascii="仿宋_GB2312" w:eastAsia="仿宋_GB2312" w:hAnsi="仿宋" w:hint="eastAsia"/>
          <w:sz w:val="32"/>
          <w:szCs w:val="32"/>
        </w:rPr>
        <w:t>人，</w:t>
      </w:r>
      <w:r w:rsidR="00F56240">
        <w:rPr>
          <w:rFonts w:ascii="仿宋_GB2312" w:eastAsia="仿宋_GB2312" w:hAnsi="仿宋" w:hint="eastAsia"/>
          <w:sz w:val="32"/>
          <w:szCs w:val="32"/>
        </w:rPr>
        <w:t>同比事故起数下降</w:t>
      </w:r>
      <w:r w:rsidR="00682528">
        <w:rPr>
          <w:rFonts w:ascii="仿宋_GB2312" w:eastAsia="仿宋_GB2312" w:hAnsi="仿宋" w:hint="eastAsia"/>
          <w:sz w:val="32"/>
          <w:szCs w:val="32"/>
        </w:rPr>
        <w:t>28.6</w:t>
      </w:r>
      <w:r w:rsidR="00F56240">
        <w:rPr>
          <w:rFonts w:ascii="仿宋_GB2312" w:eastAsia="仿宋_GB2312" w:hAnsi="仿宋" w:hint="eastAsia"/>
          <w:sz w:val="32"/>
          <w:szCs w:val="32"/>
        </w:rPr>
        <w:t>%，死亡人数</w:t>
      </w:r>
      <w:r w:rsidR="00682528">
        <w:rPr>
          <w:rFonts w:ascii="仿宋_GB2312" w:eastAsia="仿宋_GB2312" w:hAnsi="仿宋" w:hint="eastAsia"/>
          <w:sz w:val="32"/>
          <w:szCs w:val="32"/>
        </w:rPr>
        <w:t>下降8.1</w:t>
      </w:r>
      <w:r w:rsidR="00F56240">
        <w:rPr>
          <w:rFonts w:ascii="仿宋_GB2312" w:eastAsia="仿宋_GB2312" w:hAnsi="仿宋" w:hint="eastAsia"/>
          <w:sz w:val="32"/>
          <w:szCs w:val="32"/>
        </w:rPr>
        <w:t>%；</w:t>
      </w:r>
      <w:r w:rsidR="00BE0556">
        <w:rPr>
          <w:rFonts w:ascii="仿宋_GB2312" w:eastAsia="仿宋_GB2312" w:hAnsi="仿宋" w:hint="eastAsia"/>
          <w:sz w:val="32"/>
          <w:szCs w:val="32"/>
        </w:rPr>
        <w:t>城阳区</w:t>
      </w:r>
      <w:r w:rsidR="006046F3">
        <w:rPr>
          <w:rFonts w:ascii="仿宋_GB2312" w:eastAsia="仿宋_GB2312" w:hAnsi="仿宋" w:hint="eastAsia"/>
          <w:sz w:val="32"/>
          <w:szCs w:val="32"/>
        </w:rPr>
        <w:t>发生事故</w:t>
      </w:r>
      <w:r w:rsidR="000B7876">
        <w:rPr>
          <w:rFonts w:ascii="仿宋_GB2312" w:eastAsia="仿宋_GB2312" w:hAnsi="仿宋" w:hint="eastAsia"/>
          <w:sz w:val="32"/>
          <w:szCs w:val="32"/>
        </w:rPr>
        <w:t>2</w:t>
      </w:r>
      <w:r w:rsidR="006046F3">
        <w:rPr>
          <w:rFonts w:ascii="仿宋_GB2312" w:eastAsia="仿宋_GB2312" w:hAnsi="仿宋" w:hint="eastAsia"/>
          <w:sz w:val="32"/>
          <w:szCs w:val="32"/>
        </w:rPr>
        <w:t>起，死亡</w:t>
      </w:r>
      <w:r w:rsidR="000B7876">
        <w:rPr>
          <w:rFonts w:ascii="仿宋_GB2312" w:eastAsia="仿宋_GB2312" w:hAnsi="仿宋" w:hint="eastAsia"/>
          <w:sz w:val="32"/>
          <w:szCs w:val="32"/>
        </w:rPr>
        <w:t>4</w:t>
      </w:r>
      <w:r w:rsidR="006046F3">
        <w:rPr>
          <w:rFonts w:ascii="仿宋_GB2312" w:eastAsia="仿宋_GB2312" w:hAnsi="仿宋" w:hint="eastAsia"/>
          <w:sz w:val="32"/>
          <w:szCs w:val="32"/>
        </w:rPr>
        <w:t>人，</w:t>
      </w:r>
      <w:r w:rsidR="008F286F">
        <w:rPr>
          <w:rFonts w:ascii="仿宋_GB2312" w:eastAsia="仿宋_GB2312" w:hAnsi="仿宋" w:hint="eastAsia"/>
          <w:sz w:val="32"/>
          <w:szCs w:val="32"/>
        </w:rPr>
        <w:t>同比事故起数</w:t>
      </w:r>
      <w:r w:rsidR="00662719">
        <w:rPr>
          <w:rFonts w:ascii="仿宋_GB2312" w:eastAsia="仿宋_GB2312" w:hAnsi="仿宋" w:hint="eastAsia"/>
          <w:sz w:val="32"/>
          <w:szCs w:val="32"/>
        </w:rPr>
        <w:t>下降</w:t>
      </w:r>
      <w:r w:rsidR="000B7876">
        <w:rPr>
          <w:rFonts w:ascii="仿宋_GB2312" w:eastAsia="仿宋_GB2312" w:hAnsi="仿宋" w:hint="eastAsia"/>
          <w:sz w:val="32"/>
          <w:szCs w:val="32"/>
        </w:rPr>
        <w:t>50</w:t>
      </w:r>
      <w:r w:rsidR="00662719">
        <w:rPr>
          <w:rFonts w:ascii="仿宋_GB2312" w:eastAsia="仿宋_GB2312" w:hAnsi="仿宋" w:hint="eastAsia"/>
          <w:sz w:val="32"/>
          <w:szCs w:val="32"/>
        </w:rPr>
        <w:t>%</w:t>
      </w:r>
      <w:r w:rsidR="008F286F">
        <w:rPr>
          <w:rFonts w:ascii="仿宋_GB2312" w:eastAsia="仿宋_GB2312" w:hAnsi="仿宋" w:hint="eastAsia"/>
          <w:sz w:val="32"/>
          <w:szCs w:val="32"/>
        </w:rPr>
        <w:t>，死亡人数增加</w:t>
      </w:r>
      <w:r w:rsidR="000B7876">
        <w:rPr>
          <w:rFonts w:ascii="仿宋_GB2312" w:eastAsia="仿宋_GB2312" w:hAnsi="仿宋" w:hint="eastAsia"/>
          <w:sz w:val="32"/>
          <w:szCs w:val="32"/>
        </w:rPr>
        <w:t>4</w:t>
      </w:r>
      <w:r w:rsidR="008F286F">
        <w:rPr>
          <w:rFonts w:ascii="仿宋_GB2312" w:eastAsia="仿宋_GB2312" w:hAnsi="仿宋" w:hint="eastAsia"/>
          <w:sz w:val="32"/>
          <w:szCs w:val="32"/>
        </w:rPr>
        <w:t>人</w:t>
      </w:r>
      <w:r w:rsidR="006046F3" w:rsidRPr="008A5605">
        <w:rPr>
          <w:rFonts w:ascii="仿宋_GB2312" w:eastAsia="仿宋_GB2312" w:hAnsi="仿宋" w:hint="eastAsia"/>
          <w:sz w:val="32"/>
          <w:szCs w:val="32"/>
        </w:rPr>
        <w:t>；</w:t>
      </w:r>
      <w:r w:rsidR="008B6CFE">
        <w:rPr>
          <w:rFonts w:ascii="仿宋_GB2312" w:eastAsia="仿宋_GB2312" w:hAnsi="仿宋" w:hint="eastAsia"/>
          <w:sz w:val="32"/>
          <w:szCs w:val="32"/>
        </w:rPr>
        <w:t>即墨区发生事故</w:t>
      </w:r>
      <w:r w:rsidR="00682528">
        <w:rPr>
          <w:rFonts w:ascii="仿宋_GB2312" w:eastAsia="仿宋_GB2312" w:hAnsi="仿宋" w:hint="eastAsia"/>
          <w:sz w:val="32"/>
          <w:szCs w:val="32"/>
        </w:rPr>
        <w:t>2</w:t>
      </w:r>
      <w:r w:rsidR="008B6CFE">
        <w:rPr>
          <w:rFonts w:ascii="仿宋_GB2312" w:eastAsia="仿宋_GB2312" w:hAnsi="仿宋" w:hint="eastAsia"/>
          <w:sz w:val="32"/>
          <w:szCs w:val="32"/>
        </w:rPr>
        <w:t>起，</w:t>
      </w:r>
      <w:r w:rsidR="00682528">
        <w:rPr>
          <w:rFonts w:ascii="仿宋_GB2312" w:eastAsia="仿宋_GB2312" w:hAnsi="仿宋" w:hint="eastAsia"/>
          <w:sz w:val="32"/>
          <w:szCs w:val="32"/>
        </w:rPr>
        <w:t>死亡3</w:t>
      </w:r>
      <w:r w:rsidR="008B6CFE">
        <w:rPr>
          <w:rFonts w:ascii="仿宋_GB2312" w:eastAsia="仿宋_GB2312" w:hAnsi="仿宋" w:hint="eastAsia"/>
          <w:sz w:val="32"/>
          <w:szCs w:val="32"/>
        </w:rPr>
        <w:t>人，</w:t>
      </w:r>
      <w:r w:rsidR="00F56240">
        <w:rPr>
          <w:rFonts w:ascii="仿宋_GB2312" w:eastAsia="仿宋_GB2312" w:hAnsi="仿宋" w:hint="eastAsia"/>
          <w:sz w:val="32"/>
          <w:szCs w:val="32"/>
        </w:rPr>
        <w:t>同比事故起数持平，死亡人数</w:t>
      </w:r>
      <w:r w:rsidR="00682528">
        <w:rPr>
          <w:rFonts w:ascii="仿宋_GB2312" w:eastAsia="仿宋_GB2312" w:hAnsi="仿宋" w:hint="eastAsia"/>
          <w:sz w:val="32"/>
          <w:szCs w:val="32"/>
        </w:rPr>
        <w:t>上升50</w:t>
      </w:r>
      <w:r w:rsidR="00F56240">
        <w:rPr>
          <w:rFonts w:ascii="仿宋_GB2312" w:eastAsia="仿宋_GB2312" w:hAnsi="仿宋" w:hint="eastAsia"/>
          <w:sz w:val="32"/>
          <w:szCs w:val="32"/>
        </w:rPr>
        <w:t>%；</w:t>
      </w:r>
      <w:r w:rsidR="008F286F">
        <w:rPr>
          <w:rFonts w:ascii="仿宋_GB2312" w:eastAsia="仿宋_GB2312" w:hAnsi="仿宋" w:hint="eastAsia"/>
          <w:sz w:val="32"/>
          <w:szCs w:val="32"/>
        </w:rPr>
        <w:t>平度市发生事故</w:t>
      </w:r>
      <w:r w:rsidR="00682528">
        <w:rPr>
          <w:rFonts w:ascii="仿宋_GB2312" w:eastAsia="仿宋_GB2312" w:hAnsi="仿宋" w:hint="eastAsia"/>
          <w:sz w:val="32"/>
          <w:szCs w:val="32"/>
        </w:rPr>
        <w:t>5</w:t>
      </w:r>
      <w:r w:rsidR="008F286F">
        <w:rPr>
          <w:rFonts w:ascii="仿宋_GB2312" w:eastAsia="仿宋_GB2312" w:hAnsi="仿宋" w:hint="eastAsia"/>
          <w:sz w:val="32"/>
          <w:szCs w:val="32"/>
        </w:rPr>
        <w:t>起，死亡</w:t>
      </w:r>
      <w:r w:rsidR="00682528">
        <w:rPr>
          <w:rFonts w:ascii="仿宋_GB2312" w:eastAsia="仿宋_GB2312" w:hAnsi="仿宋" w:hint="eastAsia"/>
          <w:sz w:val="32"/>
          <w:szCs w:val="32"/>
        </w:rPr>
        <w:t>4</w:t>
      </w:r>
      <w:r w:rsidR="008F286F">
        <w:rPr>
          <w:rFonts w:ascii="仿宋_GB2312" w:eastAsia="仿宋_GB2312" w:hAnsi="仿宋" w:hint="eastAsia"/>
          <w:sz w:val="32"/>
          <w:szCs w:val="32"/>
        </w:rPr>
        <w:t>人，同比事故起数</w:t>
      </w:r>
      <w:r w:rsidR="00F56240">
        <w:rPr>
          <w:rFonts w:ascii="仿宋_GB2312" w:eastAsia="仿宋_GB2312" w:hAnsi="仿宋" w:hint="eastAsia"/>
          <w:sz w:val="32"/>
          <w:szCs w:val="32"/>
        </w:rPr>
        <w:t>下降</w:t>
      </w:r>
      <w:r w:rsidR="006B3059">
        <w:rPr>
          <w:rFonts w:ascii="仿宋_GB2312" w:eastAsia="仿宋_GB2312" w:hAnsi="仿宋" w:hint="eastAsia"/>
          <w:sz w:val="32"/>
          <w:szCs w:val="32"/>
        </w:rPr>
        <w:t>7</w:t>
      </w:r>
      <w:r w:rsidR="00682528">
        <w:rPr>
          <w:rFonts w:ascii="仿宋_GB2312" w:eastAsia="仿宋_GB2312" w:hAnsi="仿宋" w:hint="eastAsia"/>
          <w:sz w:val="32"/>
          <w:szCs w:val="32"/>
        </w:rPr>
        <w:t>7.3</w:t>
      </w:r>
      <w:r w:rsidR="00F56240">
        <w:rPr>
          <w:rFonts w:ascii="仿宋_GB2312" w:eastAsia="仿宋_GB2312" w:hAnsi="仿宋" w:hint="eastAsia"/>
          <w:sz w:val="32"/>
          <w:szCs w:val="32"/>
        </w:rPr>
        <w:t>%</w:t>
      </w:r>
      <w:r w:rsidR="008F286F">
        <w:rPr>
          <w:rFonts w:ascii="仿宋_GB2312" w:eastAsia="仿宋_GB2312" w:hAnsi="仿宋" w:hint="eastAsia"/>
          <w:sz w:val="32"/>
          <w:szCs w:val="32"/>
        </w:rPr>
        <w:t>，死亡人数</w:t>
      </w:r>
      <w:r w:rsidR="0030257A">
        <w:rPr>
          <w:rFonts w:ascii="仿宋_GB2312" w:eastAsia="仿宋_GB2312" w:hAnsi="仿宋" w:hint="eastAsia"/>
          <w:sz w:val="32"/>
          <w:szCs w:val="32"/>
        </w:rPr>
        <w:t>下降</w:t>
      </w:r>
      <w:r w:rsidR="00682528">
        <w:rPr>
          <w:rFonts w:ascii="仿宋_GB2312" w:eastAsia="仿宋_GB2312" w:hAnsi="仿宋" w:hint="eastAsia"/>
          <w:sz w:val="32"/>
          <w:szCs w:val="32"/>
        </w:rPr>
        <w:t>55.6</w:t>
      </w:r>
      <w:r w:rsidR="0030257A">
        <w:rPr>
          <w:rFonts w:ascii="仿宋_GB2312" w:eastAsia="仿宋_GB2312" w:hAnsi="仿宋" w:hint="eastAsia"/>
          <w:sz w:val="32"/>
          <w:szCs w:val="32"/>
        </w:rPr>
        <w:t>%</w:t>
      </w:r>
      <w:r w:rsidR="008F286F">
        <w:rPr>
          <w:rFonts w:ascii="仿宋_GB2312" w:eastAsia="仿宋_GB2312" w:hAnsi="仿宋" w:hint="eastAsia"/>
          <w:sz w:val="32"/>
          <w:szCs w:val="32"/>
        </w:rPr>
        <w:t>；</w:t>
      </w:r>
      <w:r w:rsidR="006046F3">
        <w:rPr>
          <w:rFonts w:ascii="仿宋_GB2312" w:eastAsia="仿宋_GB2312" w:hAnsi="仿宋" w:hint="eastAsia"/>
          <w:sz w:val="32"/>
          <w:szCs w:val="32"/>
        </w:rPr>
        <w:t>莱西市发生事故</w:t>
      </w:r>
      <w:r w:rsidR="00F56240">
        <w:rPr>
          <w:rFonts w:ascii="仿宋_GB2312" w:eastAsia="仿宋_GB2312" w:hAnsi="仿宋" w:hint="eastAsia"/>
          <w:sz w:val="32"/>
          <w:szCs w:val="32"/>
        </w:rPr>
        <w:t>2</w:t>
      </w:r>
      <w:r w:rsidR="006046F3">
        <w:rPr>
          <w:rFonts w:ascii="仿宋_GB2312" w:eastAsia="仿宋_GB2312" w:hAnsi="仿宋" w:hint="eastAsia"/>
          <w:sz w:val="32"/>
          <w:szCs w:val="32"/>
        </w:rPr>
        <w:t>起，死亡1人，</w:t>
      </w:r>
      <w:r w:rsidR="00662719">
        <w:rPr>
          <w:rFonts w:ascii="仿宋_GB2312" w:eastAsia="仿宋_GB2312" w:hAnsi="仿宋" w:hint="eastAsia"/>
          <w:sz w:val="32"/>
          <w:szCs w:val="32"/>
        </w:rPr>
        <w:t>同比事故起数</w:t>
      </w:r>
      <w:r w:rsidR="00F56240">
        <w:rPr>
          <w:rFonts w:ascii="仿宋_GB2312" w:eastAsia="仿宋_GB2312" w:hAnsi="仿宋" w:hint="eastAsia"/>
          <w:sz w:val="32"/>
          <w:szCs w:val="32"/>
        </w:rPr>
        <w:t>上升100%</w:t>
      </w:r>
      <w:r w:rsidR="00662719">
        <w:rPr>
          <w:rFonts w:ascii="仿宋_GB2312" w:eastAsia="仿宋_GB2312" w:hAnsi="仿宋" w:hint="eastAsia"/>
          <w:sz w:val="32"/>
          <w:szCs w:val="32"/>
        </w:rPr>
        <w:t>，死亡人数增加1人</w:t>
      </w:r>
      <w:r w:rsidR="006046F3" w:rsidRPr="008A5605">
        <w:rPr>
          <w:rFonts w:ascii="仿宋_GB2312" w:eastAsia="仿宋_GB2312" w:hAnsi="仿宋" w:hint="eastAsia"/>
          <w:sz w:val="32"/>
          <w:szCs w:val="32"/>
        </w:rPr>
        <w:t>；</w:t>
      </w:r>
      <w:r w:rsidR="00662719">
        <w:rPr>
          <w:rFonts w:ascii="仿宋_GB2312" w:eastAsia="仿宋_GB2312" w:hAnsi="仿宋" w:hint="eastAsia"/>
          <w:sz w:val="32"/>
          <w:szCs w:val="32"/>
        </w:rPr>
        <w:t>高新区发生事故</w:t>
      </w:r>
      <w:r w:rsidR="00682528">
        <w:rPr>
          <w:rFonts w:ascii="仿宋_GB2312" w:eastAsia="仿宋_GB2312" w:hAnsi="仿宋" w:hint="eastAsia"/>
          <w:sz w:val="32"/>
          <w:szCs w:val="32"/>
        </w:rPr>
        <w:t>4</w:t>
      </w:r>
      <w:r w:rsidR="00662719">
        <w:rPr>
          <w:rFonts w:ascii="仿宋_GB2312" w:eastAsia="仿宋_GB2312" w:hAnsi="仿宋" w:hint="eastAsia"/>
          <w:sz w:val="32"/>
          <w:szCs w:val="32"/>
        </w:rPr>
        <w:t>起，死亡</w:t>
      </w:r>
      <w:r w:rsidR="00682528">
        <w:rPr>
          <w:rFonts w:ascii="仿宋_GB2312" w:eastAsia="仿宋_GB2312" w:hAnsi="仿宋" w:hint="eastAsia"/>
          <w:sz w:val="32"/>
          <w:szCs w:val="32"/>
        </w:rPr>
        <w:t>4</w:t>
      </w:r>
      <w:r w:rsidR="00662719">
        <w:rPr>
          <w:rFonts w:ascii="仿宋_GB2312" w:eastAsia="仿宋_GB2312" w:hAnsi="仿宋" w:hint="eastAsia"/>
          <w:sz w:val="32"/>
          <w:szCs w:val="32"/>
        </w:rPr>
        <w:t>人，</w:t>
      </w:r>
      <w:r w:rsidR="00F56240">
        <w:rPr>
          <w:rFonts w:ascii="仿宋_GB2312" w:eastAsia="仿宋_GB2312" w:hAnsi="仿宋" w:hint="eastAsia"/>
          <w:sz w:val="32"/>
          <w:szCs w:val="32"/>
        </w:rPr>
        <w:t>去年同期未发生生产安全事故</w:t>
      </w:r>
      <w:r w:rsidR="00F56240" w:rsidRPr="008A5605">
        <w:rPr>
          <w:rFonts w:ascii="仿宋_GB2312" w:eastAsia="仿宋_GB2312" w:hAnsi="仿宋" w:hint="eastAsia"/>
          <w:sz w:val="32"/>
          <w:szCs w:val="32"/>
        </w:rPr>
        <w:t>；</w:t>
      </w:r>
      <w:r w:rsidR="006046F3">
        <w:rPr>
          <w:rFonts w:ascii="仿宋_GB2312" w:eastAsia="仿宋_GB2312" w:hAnsi="宋体" w:cs="宋体" w:hint="eastAsia"/>
          <w:sz w:val="32"/>
          <w:szCs w:val="32"/>
        </w:rPr>
        <w:t>其他区、市</w:t>
      </w:r>
      <w:r w:rsidR="006046F3" w:rsidRPr="00721A37">
        <w:rPr>
          <w:rFonts w:ascii="仿宋_GB2312" w:eastAsia="仿宋_GB2312" w:hAnsi="仿宋" w:hint="eastAsia"/>
          <w:sz w:val="32"/>
          <w:szCs w:val="32"/>
        </w:rPr>
        <w:t>未发生生产安全事故。</w:t>
      </w:r>
    </w:p>
    <w:p w:rsidR="00434251" w:rsidRDefault="0052601E" w:rsidP="00434251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783580" cy="2423160"/>
            <wp:effectExtent l="0" t="0" r="26670" b="1524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46F3" w:rsidRDefault="005121B2" w:rsidP="005260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046F3" w:rsidRPr="00AD2683">
        <w:rPr>
          <w:rFonts w:ascii="黑体" w:eastAsia="黑体" w:hAnsi="黑体" w:hint="eastAsia"/>
          <w:sz w:val="32"/>
          <w:szCs w:val="32"/>
        </w:rPr>
        <w:t>、生产安全事故</w:t>
      </w:r>
      <w:r w:rsidR="00A16A5A">
        <w:rPr>
          <w:rFonts w:ascii="黑体" w:eastAsia="黑体" w:hAnsi="黑体" w:hint="eastAsia"/>
          <w:sz w:val="32"/>
          <w:szCs w:val="32"/>
        </w:rPr>
        <w:t>形势分析</w:t>
      </w:r>
    </w:p>
    <w:p w:rsidR="00B223E6" w:rsidRPr="00B223E6" w:rsidRDefault="00B223E6" w:rsidP="005260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3E6">
        <w:rPr>
          <w:rFonts w:ascii="楷体" w:eastAsia="楷体" w:hAnsi="楷体" w:hint="eastAsia"/>
          <w:sz w:val="32"/>
          <w:szCs w:val="32"/>
        </w:rPr>
        <w:t>（一）盲目施救导致较大事故多发。</w:t>
      </w:r>
      <w:r w:rsidRPr="00B223E6">
        <w:rPr>
          <w:rFonts w:ascii="仿宋" w:eastAsia="仿宋" w:hAnsi="仿宋" w:hint="eastAsia"/>
          <w:sz w:val="32"/>
          <w:szCs w:val="32"/>
        </w:rPr>
        <w:t>1-7月份全市共发生2起较大事故，致6人死亡，均为有限空间</w:t>
      </w:r>
      <w:r w:rsidR="000D4130">
        <w:rPr>
          <w:rFonts w:ascii="仿宋" w:eastAsia="仿宋" w:hAnsi="仿宋" w:hint="eastAsia"/>
          <w:sz w:val="32"/>
          <w:szCs w:val="32"/>
        </w:rPr>
        <w:t>发生意外中毒</w:t>
      </w:r>
      <w:r w:rsidR="005D3F35">
        <w:rPr>
          <w:rFonts w:ascii="仿宋" w:eastAsia="仿宋" w:hAnsi="仿宋" w:hint="eastAsia"/>
          <w:sz w:val="32"/>
          <w:szCs w:val="32"/>
        </w:rPr>
        <w:t>和窒息</w:t>
      </w:r>
      <w:bookmarkStart w:id="0" w:name="_GoBack"/>
      <w:bookmarkEnd w:id="0"/>
      <w:r w:rsidRPr="00B223E6">
        <w:rPr>
          <w:rFonts w:ascii="仿宋" w:eastAsia="仿宋" w:hAnsi="仿宋" w:hint="eastAsia"/>
          <w:sz w:val="32"/>
          <w:szCs w:val="32"/>
        </w:rPr>
        <w:t>事</w:t>
      </w:r>
      <w:r w:rsidRPr="00B223E6">
        <w:rPr>
          <w:rFonts w:ascii="仿宋" w:eastAsia="仿宋" w:hAnsi="仿宋" w:hint="eastAsia"/>
          <w:sz w:val="32"/>
          <w:szCs w:val="32"/>
        </w:rPr>
        <w:lastRenderedPageBreak/>
        <w:t>故，因盲目施救导致伤亡扩大。</w:t>
      </w:r>
    </w:p>
    <w:p w:rsidR="00B223E6" w:rsidRPr="00B223E6" w:rsidRDefault="00B223E6" w:rsidP="005260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3E6">
        <w:rPr>
          <w:rFonts w:ascii="楷体" w:eastAsia="楷体" w:hAnsi="楷体" w:hint="eastAsia"/>
          <w:sz w:val="32"/>
          <w:szCs w:val="32"/>
        </w:rPr>
        <w:t>（二）物体打击、高处坠落事故仍然较多。</w:t>
      </w:r>
      <w:r w:rsidRPr="00B223E6">
        <w:rPr>
          <w:rFonts w:ascii="仿宋" w:eastAsia="仿宋" w:hAnsi="仿宋" w:hint="eastAsia"/>
          <w:sz w:val="32"/>
          <w:szCs w:val="32"/>
        </w:rPr>
        <w:t>全市共发生物体打击事故5起、死亡6人，占工矿商贸领域事故22.7%、24%，高处坠落事故5起、死亡3人，占工矿商贸领域事故22.7%、12.5%。</w:t>
      </w:r>
    </w:p>
    <w:p w:rsidR="00B223E6" w:rsidRDefault="00B223E6" w:rsidP="005260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3E6">
        <w:rPr>
          <w:rFonts w:ascii="楷体" w:eastAsia="楷体" w:hAnsi="楷体" w:hint="eastAsia"/>
          <w:sz w:val="32"/>
          <w:szCs w:val="32"/>
        </w:rPr>
        <w:t>（三）部分辖区事故占比较高，个别辖区事故同比上升。</w:t>
      </w:r>
      <w:r w:rsidRPr="00B223E6">
        <w:rPr>
          <w:rFonts w:ascii="仿宋" w:eastAsia="仿宋" w:hAnsi="仿宋" w:hint="eastAsia"/>
          <w:sz w:val="32"/>
          <w:szCs w:val="32"/>
        </w:rPr>
        <w:t>1-7月份，西海岸新区、平度市两个地区的事故起数、死亡人数占全市事故起数、死亡人数的45%以上；市南区、莱西市、高新区事故起数上升，市南区、城阳区、即墨区、莱西市和高新区死亡人数上升。</w:t>
      </w:r>
    </w:p>
    <w:p w:rsidR="00B223E6" w:rsidRDefault="00B223E6" w:rsidP="007B02EB">
      <w:pPr>
        <w:widowControl/>
        <w:spacing w:line="5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各级各有关部门各企业要认真贯彻落实</w:t>
      </w:r>
      <w:r w:rsidR="0052601E">
        <w:rPr>
          <w:rFonts w:ascii="仿宋" w:eastAsia="仿宋" w:hint="eastAsia"/>
          <w:sz w:val="32"/>
          <w:szCs w:val="32"/>
        </w:rPr>
        <w:t>市委市</w:t>
      </w:r>
      <w:r>
        <w:rPr>
          <w:rFonts w:ascii="仿宋" w:eastAsia="仿宋" w:hint="eastAsia"/>
          <w:sz w:val="32"/>
          <w:szCs w:val="32"/>
        </w:rPr>
        <w:t>政府关于加强安全生产工作的部署要求，深刻</w:t>
      </w:r>
      <w:r w:rsidR="0052601E">
        <w:rPr>
          <w:rFonts w:ascii="仿宋" w:eastAsia="仿宋" w:hint="eastAsia"/>
          <w:sz w:val="32"/>
          <w:szCs w:val="32"/>
        </w:rPr>
        <w:t>剖析近期</w:t>
      </w:r>
      <w:r>
        <w:rPr>
          <w:rFonts w:ascii="仿宋" w:eastAsia="仿宋" w:hint="eastAsia"/>
          <w:sz w:val="32"/>
          <w:szCs w:val="32"/>
        </w:rPr>
        <w:t>安全生产规律特点，严格落实各项安全防范措施，扎实开展安全生产专项治理三年行动，突出道路交通、建筑施工、危险化学品、</w:t>
      </w:r>
      <w:r w:rsidR="0052601E">
        <w:rPr>
          <w:rFonts w:ascii="仿宋" w:eastAsia="仿宋" w:hint="eastAsia"/>
          <w:sz w:val="32"/>
          <w:szCs w:val="32"/>
        </w:rPr>
        <w:t>市政工程</w:t>
      </w:r>
      <w:r>
        <w:rPr>
          <w:rFonts w:ascii="仿宋" w:eastAsia="仿宋" w:hint="eastAsia"/>
          <w:sz w:val="32"/>
          <w:szCs w:val="32"/>
        </w:rPr>
        <w:t>等重点领域，全面彻底排查整治安全风险隐患，有效化解各类安全风险，严防</w:t>
      </w:r>
      <w:r w:rsidR="0052601E">
        <w:rPr>
          <w:rFonts w:ascii="仿宋" w:eastAsia="仿宋" w:hint="eastAsia"/>
          <w:sz w:val="32"/>
          <w:szCs w:val="32"/>
        </w:rPr>
        <w:t>汛期</w:t>
      </w:r>
      <w:r>
        <w:rPr>
          <w:rFonts w:ascii="仿宋" w:eastAsia="仿宋" w:hint="eastAsia"/>
          <w:sz w:val="32"/>
          <w:szCs w:val="32"/>
        </w:rPr>
        <w:t>自然灾害引发事故，严防较大及以上事故发生，确保全</w:t>
      </w:r>
      <w:r w:rsidR="0052601E">
        <w:rPr>
          <w:rFonts w:ascii="仿宋" w:eastAsia="仿宋" w:hint="eastAsia"/>
          <w:sz w:val="32"/>
          <w:szCs w:val="32"/>
        </w:rPr>
        <w:t>市</w:t>
      </w:r>
      <w:r>
        <w:rPr>
          <w:rFonts w:ascii="仿宋" w:eastAsia="仿宋" w:hint="eastAsia"/>
          <w:sz w:val="32"/>
          <w:szCs w:val="32"/>
        </w:rPr>
        <w:t>安全生产形势稳定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B35810" w:rsidRPr="00B35810" w:rsidRDefault="00B35810" w:rsidP="007F717B">
      <w:pPr>
        <w:spacing w:line="540" w:lineRule="exact"/>
        <w:rPr>
          <w:rFonts w:ascii="仿宋_GB2312" w:eastAsia="仿宋_GB2312" w:hAnsi="仿宋"/>
          <w:color w:val="FF0000"/>
          <w:sz w:val="32"/>
          <w:szCs w:val="32"/>
        </w:rPr>
      </w:pP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附件：1.2020年1</w:t>
      </w:r>
      <w:r w:rsidR="00876446">
        <w:rPr>
          <w:rFonts w:ascii="仿宋_GB2312" w:eastAsia="仿宋_GB2312" w:hAnsi="仿宋" w:hint="eastAsia"/>
          <w:sz w:val="32"/>
          <w:szCs w:val="32"/>
        </w:rPr>
        <w:t>-</w:t>
      </w:r>
      <w:r w:rsidR="00B223E6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月份全市生产安全事故分行业统计表</w:t>
      </w: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 xml:space="preserve">      2.2020年1</w:t>
      </w:r>
      <w:r w:rsidR="00876446">
        <w:rPr>
          <w:rFonts w:ascii="仿宋_GB2312" w:eastAsia="仿宋_GB2312" w:hAnsi="仿宋" w:hint="eastAsia"/>
          <w:sz w:val="32"/>
          <w:szCs w:val="32"/>
        </w:rPr>
        <w:t>-</w:t>
      </w:r>
      <w:r w:rsidR="00B223E6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月份全市生产安全事故</w:t>
      </w:r>
      <w:r w:rsidR="001F45D5">
        <w:rPr>
          <w:rFonts w:ascii="仿宋_GB2312" w:eastAsia="仿宋_GB2312" w:hAnsi="仿宋" w:hint="eastAsia"/>
          <w:sz w:val="32"/>
          <w:szCs w:val="32"/>
        </w:rPr>
        <w:t>分区市</w:t>
      </w:r>
      <w:r w:rsidRPr="001F45D5">
        <w:rPr>
          <w:rFonts w:ascii="仿宋_GB2312" w:eastAsia="仿宋_GB2312" w:hAnsi="仿宋" w:hint="eastAsia"/>
          <w:sz w:val="32"/>
          <w:szCs w:val="32"/>
        </w:rPr>
        <w:t>统计表</w:t>
      </w:r>
    </w:p>
    <w:p w:rsidR="006046F3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046F3" w:rsidRPr="001F45D5" w:rsidRDefault="006046F3" w:rsidP="006046F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 xml:space="preserve">                  青岛市安全生产委员会办公室</w:t>
      </w:r>
    </w:p>
    <w:p w:rsidR="006046F3" w:rsidRDefault="006046F3" w:rsidP="006046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6046F3" w:rsidSect="00993F4D">
          <w:footerReference w:type="default" r:id="rId11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 w:rsidRPr="001F45D5">
        <w:rPr>
          <w:rFonts w:ascii="仿宋_GB2312" w:eastAsia="仿宋_GB2312" w:hAnsi="仿宋" w:hint="eastAsia"/>
          <w:sz w:val="32"/>
          <w:szCs w:val="32"/>
        </w:rPr>
        <w:t xml:space="preserve">                         2020年</w:t>
      </w:r>
      <w:r w:rsidR="00B223E6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月</w:t>
      </w:r>
      <w:r w:rsidR="00F961B0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:rsidR="006046F3" w:rsidRPr="006046F3" w:rsidRDefault="006046F3" w:rsidP="001F45D5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3DB4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046F3" w:rsidRDefault="008F03CB" w:rsidP="006046F3">
      <w:pPr>
        <w:rPr>
          <w:rFonts w:ascii="仿宋_GB2312" w:eastAsia="仿宋_GB2312" w:hAnsi="仿宋"/>
          <w:sz w:val="32"/>
          <w:szCs w:val="32"/>
        </w:rPr>
      </w:pPr>
      <w:r w:rsidRPr="008F03CB">
        <w:rPr>
          <w:noProof/>
        </w:rPr>
        <w:drawing>
          <wp:inline distT="0" distB="0" distL="0" distR="0">
            <wp:extent cx="7780020" cy="44348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6F3" w:rsidRDefault="006046F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205D6" w:rsidRDefault="006046F3" w:rsidP="006758C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046F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2711FA" w:rsidRPr="006758C1" w:rsidRDefault="000A230D" w:rsidP="006758C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7940040" cy="5097780"/>
            <wp:effectExtent l="0" t="0" r="381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40" cy="509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1FA" w:rsidRPr="006758C1" w:rsidSect="006046F3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D9" w:rsidRDefault="00F225D9" w:rsidP="007D7C28">
      <w:r>
        <w:separator/>
      </w:r>
    </w:p>
  </w:endnote>
  <w:endnote w:type="continuationSeparator" w:id="1">
    <w:p w:rsidR="00F225D9" w:rsidRDefault="00F225D9" w:rsidP="007D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D6" w:rsidRPr="00993F4D" w:rsidRDefault="00CF43CD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="00894B51"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F961B0">
      <w:rPr>
        <w:rFonts w:asciiTheme="minorEastAsia" w:eastAsiaTheme="minorEastAsia" w:hAnsiTheme="minorEastAsia"/>
        <w:noProof/>
        <w:sz w:val="28"/>
        <w:szCs w:val="28"/>
        <w:lang w:val="zh-CN"/>
      </w:rPr>
      <w:t>- 1 -</w:t>
    </w: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</w:p>
  <w:p w:rsidR="006205D6" w:rsidRDefault="00620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D9" w:rsidRDefault="00F225D9" w:rsidP="007D7C28">
      <w:r>
        <w:separator/>
      </w:r>
    </w:p>
  </w:footnote>
  <w:footnote w:type="continuationSeparator" w:id="1">
    <w:p w:rsidR="00F225D9" w:rsidRDefault="00F225D9" w:rsidP="007D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B9"/>
    <w:multiLevelType w:val="hybridMultilevel"/>
    <w:tmpl w:val="CB7E2520"/>
    <w:lvl w:ilvl="0" w:tplc="B790AF70">
      <w:start w:val="1"/>
      <w:numFmt w:val="japaneseCounting"/>
      <w:lvlText w:val="（%1）"/>
      <w:lvlJc w:val="left"/>
      <w:pPr>
        <w:ind w:left="2128" w:hanging="1488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2F7431"/>
    <w:multiLevelType w:val="hybridMultilevel"/>
    <w:tmpl w:val="05DC4D5C"/>
    <w:lvl w:ilvl="0" w:tplc="8F7E6A5E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72F27DA5"/>
    <w:multiLevelType w:val="hybridMultilevel"/>
    <w:tmpl w:val="F9C0D416"/>
    <w:lvl w:ilvl="0" w:tplc="B902F866">
      <w:start w:val="1"/>
      <w:numFmt w:val="japaneseCounting"/>
      <w:lvlText w:val="（%1）"/>
      <w:lvlJc w:val="left"/>
      <w:pPr>
        <w:ind w:left="2203" w:hanging="156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C7"/>
    <w:rsid w:val="000012DD"/>
    <w:rsid w:val="00002BD6"/>
    <w:rsid w:val="00004134"/>
    <w:rsid w:val="00022D8B"/>
    <w:rsid w:val="00026386"/>
    <w:rsid w:val="0004071B"/>
    <w:rsid w:val="0005772B"/>
    <w:rsid w:val="0006143D"/>
    <w:rsid w:val="0008424E"/>
    <w:rsid w:val="000849A1"/>
    <w:rsid w:val="00084EC9"/>
    <w:rsid w:val="0008504E"/>
    <w:rsid w:val="000A230D"/>
    <w:rsid w:val="000A6C44"/>
    <w:rsid w:val="000B7876"/>
    <w:rsid w:val="000C5EF2"/>
    <w:rsid w:val="000D4130"/>
    <w:rsid w:val="000F7AC0"/>
    <w:rsid w:val="001244E2"/>
    <w:rsid w:val="00131C88"/>
    <w:rsid w:val="0013267E"/>
    <w:rsid w:val="001326B4"/>
    <w:rsid w:val="00147930"/>
    <w:rsid w:val="001513C0"/>
    <w:rsid w:val="00151430"/>
    <w:rsid w:val="001528AE"/>
    <w:rsid w:val="001530B7"/>
    <w:rsid w:val="00165C3C"/>
    <w:rsid w:val="00166C3B"/>
    <w:rsid w:val="00167876"/>
    <w:rsid w:val="0017703F"/>
    <w:rsid w:val="00182CB0"/>
    <w:rsid w:val="001834D3"/>
    <w:rsid w:val="00183DB0"/>
    <w:rsid w:val="00185BD2"/>
    <w:rsid w:val="001B1D62"/>
    <w:rsid w:val="001E0F80"/>
    <w:rsid w:val="001F357F"/>
    <w:rsid w:val="001F38F0"/>
    <w:rsid w:val="001F45D5"/>
    <w:rsid w:val="00200132"/>
    <w:rsid w:val="002042C6"/>
    <w:rsid w:val="00211F1E"/>
    <w:rsid w:val="002273FA"/>
    <w:rsid w:val="0023478B"/>
    <w:rsid w:val="0024110A"/>
    <w:rsid w:val="002442C9"/>
    <w:rsid w:val="00246DD5"/>
    <w:rsid w:val="00247557"/>
    <w:rsid w:val="00251C37"/>
    <w:rsid w:val="002711FA"/>
    <w:rsid w:val="00271EC4"/>
    <w:rsid w:val="00275A51"/>
    <w:rsid w:val="00282E61"/>
    <w:rsid w:val="002A4F6D"/>
    <w:rsid w:val="002A5353"/>
    <w:rsid w:val="002A6FB4"/>
    <w:rsid w:val="002B48B9"/>
    <w:rsid w:val="002C247A"/>
    <w:rsid w:val="002D64EF"/>
    <w:rsid w:val="002E57FF"/>
    <w:rsid w:val="002F5DFA"/>
    <w:rsid w:val="0030257A"/>
    <w:rsid w:val="00305DB4"/>
    <w:rsid w:val="003131A2"/>
    <w:rsid w:val="00333B80"/>
    <w:rsid w:val="0034573B"/>
    <w:rsid w:val="00350AE4"/>
    <w:rsid w:val="00356AD8"/>
    <w:rsid w:val="00367975"/>
    <w:rsid w:val="00394A7B"/>
    <w:rsid w:val="003A349A"/>
    <w:rsid w:val="003A41B4"/>
    <w:rsid w:val="003A6AB2"/>
    <w:rsid w:val="003C5A53"/>
    <w:rsid w:val="003D0532"/>
    <w:rsid w:val="003D3A3A"/>
    <w:rsid w:val="003D6182"/>
    <w:rsid w:val="003D6E27"/>
    <w:rsid w:val="003D7991"/>
    <w:rsid w:val="003E07E0"/>
    <w:rsid w:val="003E40F8"/>
    <w:rsid w:val="003F4834"/>
    <w:rsid w:val="00407161"/>
    <w:rsid w:val="0041401A"/>
    <w:rsid w:val="00416E5F"/>
    <w:rsid w:val="0042540A"/>
    <w:rsid w:val="00434251"/>
    <w:rsid w:val="004358AD"/>
    <w:rsid w:val="004362E9"/>
    <w:rsid w:val="00437D50"/>
    <w:rsid w:val="00445CC7"/>
    <w:rsid w:val="00461A35"/>
    <w:rsid w:val="00462EDC"/>
    <w:rsid w:val="0046489C"/>
    <w:rsid w:val="00471778"/>
    <w:rsid w:val="0047410E"/>
    <w:rsid w:val="004A45E2"/>
    <w:rsid w:val="004C0B56"/>
    <w:rsid w:val="004D734D"/>
    <w:rsid w:val="004E128F"/>
    <w:rsid w:val="004E7804"/>
    <w:rsid w:val="0050107B"/>
    <w:rsid w:val="0050126B"/>
    <w:rsid w:val="005121B2"/>
    <w:rsid w:val="00515BC9"/>
    <w:rsid w:val="00525ADD"/>
    <w:rsid w:val="0052601E"/>
    <w:rsid w:val="00545351"/>
    <w:rsid w:val="005542C8"/>
    <w:rsid w:val="00554976"/>
    <w:rsid w:val="005843FA"/>
    <w:rsid w:val="005976F0"/>
    <w:rsid w:val="005A246B"/>
    <w:rsid w:val="005A2D78"/>
    <w:rsid w:val="005B1458"/>
    <w:rsid w:val="005B5EBA"/>
    <w:rsid w:val="005B5FDF"/>
    <w:rsid w:val="005B7D7C"/>
    <w:rsid w:val="005C2BCA"/>
    <w:rsid w:val="005D3F35"/>
    <w:rsid w:val="005D547D"/>
    <w:rsid w:val="006046F3"/>
    <w:rsid w:val="00606076"/>
    <w:rsid w:val="00606B6A"/>
    <w:rsid w:val="006078B6"/>
    <w:rsid w:val="00610AB3"/>
    <w:rsid w:val="00615493"/>
    <w:rsid w:val="006205D6"/>
    <w:rsid w:val="00632E32"/>
    <w:rsid w:val="00633DB4"/>
    <w:rsid w:val="00633EBA"/>
    <w:rsid w:val="00640E49"/>
    <w:rsid w:val="00662719"/>
    <w:rsid w:val="00664882"/>
    <w:rsid w:val="00673356"/>
    <w:rsid w:val="00675895"/>
    <w:rsid w:val="006758C1"/>
    <w:rsid w:val="0068005C"/>
    <w:rsid w:val="00682528"/>
    <w:rsid w:val="0068548A"/>
    <w:rsid w:val="00687471"/>
    <w:rsid w:val="00694298"/>
    <w:rsid w:val="006979EC"/>
    <w:rsid w:val="006A6AD2"/>
    <w:rsid w:val="006B047C"/>
    <w:rsid w:val="006B3059"/>
    <w:rsid w:val="006B354F"/>
    <w:rsid w:val="006B7344"/>
    <w:rsid w:val="006C0E8E"/>
    <w:rsid w:val="006D4D51"/>
    <w:rsid w:val="006E50DB"/>
    <w:rsid w:val="006E6338"/>
    <w:rsid w:val="00701DD5"/>
    <w:rsid w:val="00715630"/>
    <w:rsid w:val="007618C4"/>
    <w:rsid w:val="00766288"/>
    <w:rsid w:val="00774FD7"/>
    <w:rsid w:val="00776830"/>
    <w:rsid w:val="00780429"/>
    <w:rsid w:val="007912C6"/>
    <w:rsid w:val="00797BF7"/>
    <w:rsid w:val="007A1105"/>
    <w:rsid w:val="007B02EB"/>
    <w:rsid w:val="007B0A2D"/>
    <w:rsid w:val="007B3DE5"/>
    <w:rsid w:val="007B5159"/>
    <w:rsid w:val="007C41D3"/>
    <w:rsid w:val="007D07FA"/>
    <w:rsid w:val="007D343F"/>
    <w:rsid w:val="007D5CA7"/>
    <w:rsid w:val="007D7C28"/>
    <w:rsid w:val="007D7DBF"/>
    <w:rsid w:val="007F2160"/>
    <w:rsid w:val="007F2D02"/>
    <w:rsid w:val="007F5BE7"/>
    <w:rsid w:val="007F717B"/>
    <w:rsid w:val="007F799D"/>
    <w:rsid w:val="00831D90"/>
    <w:rsid w:val="00833459"/>
    <w:rsid w:val="0084703A"/>
    <w:rsid w:val="008518D1"/>
    <w:rsid w:val="00855D6D"/>
    <w:rsid w:val="00862BEF"/>
    <w:rsid w:val="00876446"/>
    <w:rsid w:val="00876537"/>
    <w:rsid w:val="0088152C"/>
    <w:rsid w:val="00884A95"/>
    <w:rsid w:val="008879C4"/>
    <w:rsid w:val="00892FBF"/>
    <w:rsid w:val="00894B51"/>
    <w:rsid w:val="008B4AFC"/>
    <w:rsid w:val="008B6CFE"/>
    <w:rsid w:val="008E182D"/>
    <w:rsid w:val="008E7540"/>
    <w:rsid w:val="008F03CB"/>
    <w:rsid w:val="008F23BC"/>
    <w:rsid w:val="008F286F"/>
    <w:rsid w:val="009215AF"/>
    <w:rsid w:val="0092685E"/>
    <w:rsid w:val="00927CAB"/>
    <w:rsid w:val="00937981"/>
    <w:rsid w:val="009411E1"/>
    <w:rsid w:val="009609C8"/>
    <w:rsid w:val="00966D82"/>
    <w:rsid w:val="00967D9C"/>
    <w:rsid w:val="00983395"/>
    <w:rsid w:val="00986A95"/>
    <w:rsid w:val="00990F8F"/>
    <w:rsid w:val="0099141E"/>
    <w:rsid w:val="009931BC"/>
    <w:rsid w:val="00993F4D"/>
    <w:rsid w:val="009A1CC5"/>
    <w:rsid w:val="009A3D95"/>
    <w:rsid w:val="009A4F4F"/>
    <w:rsid w:val="009A7F24"/>
    <w:rsid w:val="009C7079"/>
    <w:rsid w:val="009D3740"/>
    <w:rsid w:val="009F1AED"/>
    <w:rsid w:val="00A06450"/>
    <w:rsid w:val="00A16A5A"/>
    <w:rsid w:val="00A3389F"/>
    <w:rsid w:val="00A44091"/>
    <w:rsid w:val="00A60331"/>
    <w:rsid w:val="00A65A4C"/>
    <w:rsid w:val="00A6708A"/>
    <w:rsid w:val="00A81140"/>
    <w:rsid w:val="00A846CC"/>
    <w:rsid w:val="00A93811"/>
    <w:rsid w:val="00AB2F44"/>
    <w:rsid w:val="00AB4E1D"/>
    <w:rsid w:val="00AB4F8C"/>
    <w:rsid w:val="00AB5FF6"/>
    <w:rsid w:val="00AB5FFB"/>
    <w:rsid w:val="00AC0781"/>
    <w:rsid w:val="00AC3222"/>
    <w:rsid w:val="00AC745F"/>
    <w:rsid w:val="00AD03F1"/>
    <w:rsid w:val="00AD143B"/>
    <w:rsid w:val="00AD32B1"/>
    <w:rsid w:val="00AD3651"/>
    <w:rsid w:val="00AD5A47"/>
    <w:rsid w:val="00AE74AC"/>
    <w:rsid w:val="00B02555"/>
    <w:rsid w:val="00B04B1B"/>
    <w:rsid w:val="00B13028"/>
    <w:rsid w:val="00B223E6"/>
    <w:rsid w:val="00B23BAC"/>
    <w:rsid w:val="00B2479B"/>
    <w:rsid w:val="00B3136E"/>
    <w:rsid w:val="00B35810"/>
    <w:rsid w:val="00B42402"/>
    <w:rsid w:val="00B535D4"/>
    <w:rsid w:val="00B5523D"/>
    <w:rsid w:val="00B61E5F"/>
    <w:rsid w:val="00B654A6"/>
    <w:rsid w:val="00B712E6"/>
    <w:rsid w:val="00BA1EAC"/>
    <w:rsid w:val="00BB2519"/>
    <w:rsid w:val="00BC29A3"/>
    <w:rsid w:val="00BD7755"/>
    <w:rsid w:val="00BE0556"/>
    <w:rsid w:val="00BE0BC9"/>
    <w:rsid w:val="00BE10AF"/>
    <w:rsid w:val="00BE4C1E"/>
    <w:rsid w:val="00BF4700"/>
    <w:rsid w:val="00C00D2E"/>
    <w:rsid w:val="00C351D5"/>
    <w:rsid w:val="00C372A7"/>
    <w:rsid w:val="00C45DC4"/>
    <w:rsid w:val="00C46E8F"/>
    <w:rsid w:val="00C56ECE"/>
    <w:rsid w:val="00C6334E"/>
    <w:rsid w:val="00C76BEC"/>
    <w:rsid w:val="00C7707B"/>
    <w:rsid w:val="00C85767"/>
    <w:rsid w:val="00C95A1F"/>
    <w:rsid w:val="00CA0FBC"/>
    <w:rsid w:val="00CA4BF3"/>
    <w:rsid w:val="00CB3ABF"/>
    <w:rsid w:val="00CB6034"/>
    <w:rsid w:val="00CB7EFF"/>
    <w:rsid w:val="00CC0329"/>
    <w:rsid w:val="00CE68D8"/>
    <w:rsid w:val="00CF43CD"/>
    <w:rsid w:val="00CF626F"/>
    <w:rsid w:val="00D02386"/>
    <w:rsid w:val="00D066FB"/>
    <w:rsid w:val="00D1412C"/>
    <w:rsid w:val="00D2310C"/>
    <w:rsid w:val="00D332EC"/>
    <w:rsid w:val="00D43547"/>
    <w:rsid w:val="00D448A6"/>
    <w:rsid w:val="00D47A26"/>
    <w:rsid w:val="00D53A82"/>
    <w:rsid w:val="00D67A48"/>
    <w:rsid w:val="00D75EE2"/>
    <w:rsid w:val="00D826C8"/>
    <w:rsid w:val="00D9228B"/>
    <w:rsid w:val="00D97127"/>
    <w:rsid w:val="00D971F9"/>
    <w:rsid w:val="00DA09C8"/>
    <w:rsid w:val="00DA35E3"/>
    <w:rsid w:val="00DA3934"/>
    <w:rsid w:val="00DA5307"/>
    <w:rsid w:val="00DD6DD6"/>
    <w:rsid w:val="00DD70A9"/>
    <w:rsid w:val="00E00AC8"/>
    <w:rsid w:val="00E067DE"/>
    <w:rsid w:val="00E12207"/>
    <w:rsid w:val="00E178D9"/>
    <w:rsid w:val="00E247C7"/>
    <w:rsid w:val="00E2597A"/>
    <w:rsid w:val="00E36433"/>
    <w:rsid w:val="00E4450D"/>
    <w:rsid w:val="00E72803"/>
    <w:rsid w:val="00E76A8A"/>
    <w:rsid w:val="00E82E71"/>
    <w:rsid w:val="00E837E2"/>
    <w:rsid w:val="00E85D38"/>
    <w:rsid w:val="00E870AE"/>
    <w:rsid w:val="00EB2888"/>
    <w:rsid w:val="00EC1A28"/>
    <w:rsid w:val="00EC4A6C"/>
    <w:rsid w:val="00EC6F85"/>
    <w:rsid w:val="00ED503C"/>
    <w:rsid w:val="00ED51B7"/>
    <w:rsid w:val="00EE028C"/>
    <w:rsid w:val="00EE1A59"/>
    <w:rsid w:val="00EE23C3"/>
    <w:rsid w:val="00EE6AA9"/>
    <w:rsid w:val="00EF160E"/>
    <w:rsid w:val="00EF4F1D"/>
    <w:rsid w:val="00EF55FE"/>
    <w:rsid w:val="00EF6A25"/>
    <w:rsid w:val="00F04C17"/>
    <w:rsid w:val="00F0652A"/>
    <w:rsid w:val="00F225D9"/>
    <w:rsid w:val="00F24EB7"/>
    <w:rsid w:val="00F2745D"/>
    <w:rsid w:val="00F37EBE"/>
    <w:rsid w:val="00F40328"/>
    <w:rsid w:val="00F479C3"/>
    <w:rsid w:val="00F56240"/>
    <w:rsid w:val="00F661AD"/>
    <w:rsid w:val="00F73CE6"/>
    <w:rsid w:val="00F961B0"/>
    <w:rsid w:val="00FA3FF1"/>
    <w:rsid w:val="00FD5990"/>
    <w:rsid w:val="00FE45B2"/>
    <w:rsid w:val="00FE481B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7C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7C2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C4A6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74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7410E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3D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3D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7C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7C2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C4A6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74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7410E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3D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3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anchor="ctr" anchorCtr="0"/>
          <a:lstStyle/>
          <a:p>
            <a:pPr>
              <a:defRPr/>
            </a:pPr>
            <a:r>
              <a:rPr lang="en-US" altLang="zh-CN" sz="1600"/>
              <a:t>1-7</a:t>
            </a:r>
            <a:r>
              <a:rPr lang="zh-CN" altLang="en-US" sz="1600"/>
              <a:t>月份全市各类事故起数分布图 </a:t>
            </a:r>
          </a:p>
        </c:rich>
      </c:tx>
      <c:layout>
        <c:manualLayout>
          <c:xMode val="edge"/>
          <c:yMode val="edge"/>
          <c:x val="0.18690408218365623"/>
          <c:y val="2.1804940173679881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479142046535924"/>
                  <c:y val="6.5974751920679461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0"/>
                  <c:y val="-1.9870842652028379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4064169466169174"/>
                  <c:y val="-1.4984136865535418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1.2945229272811488E-2"/>
                  <c:y val="1.5236918753230447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2085441259134344"/>
                  <c:y val="0.11529750875025738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0.17425519955030921"/>
                  <c:y val="3.3847734398785641E-2"/>
                </c:manualLayout>
              </c:layout>
              <c:dLblPos val="bestFit"/>
              <c:showCatName val="1"/>
              <c:showPercent val="1"/>
            </c:dLbl>
            <c:spPr>
              <a:noFill/>
            </c:spPr>
            <c:dLblPos val="outEnd"/>
            <c:showCatName val="1"/>
            <c:showPercent val="1"/>
            <c:showLeaderLines val="1"/>
          </c:dLbls>
          <c:cat>
            <c:strRef>
              <c:f>Sheet1!$A$2:$A$8</c:f>
              <c:strCache>
                <c:ptCount val="7"/>
                <c:pt idx="0">
                  <c:v>非煤矿山</c:v>
                </c:pt>
                <c:pt idx="1">
                  <c:v>冶金、机械八行业</c:v>
                </c:pt>
                <c:pt idx="2">
                  <c:v>其他工商贸</c:v>
                </c:pt>
                <c:pt idx="3">
                  <c:v>建筑业</c:v>
                </c:pt>
                <c:pt idx="4">
                  <c:v>交通运输和仓储业</c:v>
                </c:pt>
                <c:pt idx="5">
                  <c:v>农业机械</c:v>
                </c:pt>
                <c:pt idx="6">
                  <c:v>公共设施管理业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2273252608129879"/>
          <c:y val="0.52181125942532924"/>
          <c:w val="0.2716652330223428"/>
          <c:h val="0.3332488069260866"/>
        </c:manualLayout>
      </c:layout>
    </c:legend>
    <c:plotVisOnly val="1"/>
    <c:dispBlanksAs val="zero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anchor="ctr" anchorCtr="0"/>
          <a:lstStyle/>
          <a:p>
            <a:pPr>
              <a:defRPr/>
            </a:pPr>
            <a:r>
              <a:rPr lang="en-US" altLang="zh-CN" sz="1600"/>
              <a:t>1-7</a:t>
            </a:r>
            <a:r>
              <a:rPr lang="zh-CN" altLang="en-US" sz="1600"/>
              <a:t>月份全市各类事故死亡人数分布图 </a:t>
            </a:r>
          </a:p>
        </c:rich>
      </c:tx>
      <c:layout>
        <c:manualLayout>
          <c:xMode val="edge"/>
          <c:yMode val="edge"/>
          <c:x val="0.15133289588801399"/>
          <c:y val="2.6646259381511747E-3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799886248677177"/>
                  <c:y val="8.703989752477112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5.8848034916190339E-2"/>
                  <c:y val="-3.8376674116290636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1.1209191537060393E-2"/>
                  <c:y val="5.5517002081887576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9.6011816838995686E-4"/>
                  <c:y val="0.1570724022400426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1.1111111111111115E-2"/>
                  <c:y val="1.95160031225605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4.1666666666666664E-2"/>
                  <c:y val="1.5612802498048401E-2"/>
                </c:manualLayout>
              </c:layout>
              <c:dLblPos val="bestFit"/>
              <c:showCatName val="1"/>
              <c:showPercent val="1"/>
            </c:dLbl>
            <c:spPr>
              <a:noFill/>
            </c:spPr>
            <c:dLblPos val="outEnd"/>
            <c:showCatName val="1"/>
            <c:showPercent val="1"/>
            <c:showLeaderLines val="1"/>
          </c:dLbls>
          <c:cat>
            <c:strRef>
              <c:f>Sheet1!$A$10:$A$16</c:f>
              <c:strCache>
                <c:ptCount val="7"/>
                <c:pt idx="0">
                  <c:v>非煤矿山</c:v>
                </c:pt>
                <c:pt idx="1">
                  <c:v>冶金、机械八行业</c:v>
                </c:pt>
                <c:pt idx="2">
                  <c:v>其他工商贸</c:v>
                </c:pt>
                <c:pt idx="3">
                  <c:v>建筑业</c:v>
                </c:pt>
                <c:pt idx="4">
                  <c:v>交通运输和仓储业</c:v>
                </c:pt>
                <c:pt idx="5">
                  <c:v>农业机械</c:v>
                </c:pt>
                <c:pt idx="6">
                  <c:v>公共设施管理业</c:v>
                </c:pt>
              </c:strCache>
            </c:strRef>
          </c:cat>
          <c:val>
            <c:numRef>
              <c:f>Sheet1!$B$10:$B$16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2261597817296797"/>
          <c:y val="0.50247337929909019"/>
          <c:w val="0.27177942605850175"/>
          <c:h val="0.33463638002917934"/>
        </c:manualLayout>
      </c:layout>
    </c:legend>
    <c:plotVisOnly val="1"/>
    <c:dispBlanksAs val="zero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/>
            </a:pPr>
            <a:r>
              <a:rPr lang="en-US" altLang="zh-CN"/>
              <a:t>1-7</a:t>
            </a:r>
            <a:r>
              <a:rPr lang="zh-CN" altLang="en-US"/>
              <a:t>月份各区市事故起数和死亡人数分布图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事故起数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市南区</c:v>
                </c:pt>
                <c:pt idx="1">
                  <c:v>市北区</c:v>
                </c:pt>
                <c:pt idx="2">
                  <c:v>李沧区</c:v>
                </c:pt>
                <c:pt idx="3">
                  <c:v>崂山区</c:v>
                </c:pt>
                <c:pt idx="4">
                  <c:v>西海岸新区</c:v>
                </c:pt>
                <c:pt idx="5">
                  <c:v>城阳区</c:v>
                </c:pt>
                <c:pt idx="6">
                  <c:v>即墨区</c:v>
                </c:pt>
                <c:pt idx="7">
                  <c:v>胶州市</c:v>
                </c:pt>
                <c:pt idx="8">
                  <c:v>平度市</c:v>
                </c:pt>
                <c:pt idx="9">
                  <c:v>莱西市</c:v>
                </c:pt>
                <c:pt idx="10">
                  <c:v>高新区</c:v>
                </c:pt>
                <c:pt idx="11">
                  <c:v>保税港区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5</c:v>
                </c:pt>
                <c:pt idx="9">
                  <c:v>2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死亡人数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市南区</c:v>
                </c:pt>
                <c:pt idx="1">
                  <c:v>市北区</c:v>
                </c:pt>
                <c:pt idx="2">
                  <c:v>李沧区</c:v>
                </c:pt>
                <c:pt idx="3">
                  <c:v>崂山区</c:v>
                </c:pt>
                <c:pt idx="4">
                  <c:v>西海岸新区</c:v>
                </c:pt>
                <c:pt idx="5">
                  <c:v>城阳区</c:v>
                </c:pt>
                <c:pt idx="6">
                  <c:v>即墨区</c:v>
                </c:pt>
                <c:pt idx="7">
                  <c:v>胶州市</c:v>
                </c:pt>
                <c:pt idx="8">
                  <c:v>平度市</c:v>
                </c:pt>
                <c:pt idx="9">
                  <c:v>莱西市</c:v>
                </c:pt>
                <c:pt idx="10">
                  <c:v>高新区</c:v>
                </c:pt>
                <c:pt idx="11">
                  <c:v>保税港区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10</c:v>
                </c:pt>
                <c:pt idx="5">
                  <c:v>4</c:v>
                </c:pt>
                <c:pt idx="6">
                  <c:v>3</c:v>
                </c:pt>
                <c:pt idx="7">
                  <c:v>0</c:v>
                </c:pt>
                <c:pt idx="8">
                  <c:v>4</c:v>
                </c:pt>
                <c:pt idx="9">
                  <c:v>1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dLbls/>
        <c:axId val="74844032"/>
        <c:axId val="74845568"/>
      </c:barChart>
      <c:catAx>
        <c:axId val="74844032"/>
        <c:scaling>
          <c:orientation val="minMax"/>
        </c:scaling>
        <c:axPos val="b"/>
        <c:majorTickMark val="none"/>
        <c:tickLblPos val="nextTo"/>
        <c:crossAx val="74845568"/>
        <c:crosses val="autoZero"/>
        <c:auto val="1"/>
        <c:lblAlgn val="ctr"/>
        <c:lblOffset val="100"/>
      </c:catAx>
      <c:valAx>
        <c:axId val="74845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4844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6581-1386-43CB-8293-FEDAFCBA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189</Characters>
  <Application>Microsoft Office Word</Application>
  <DocSecurity>4</DocSecurity>
  <Lines>1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wangyuan</dc:creator>
  <cp:lastModifiedBy>青岛市</cp:lastModifiedBy>
  <cp:revision>2</cp:revision>
  <cp:lastPrinted>2020-07-16T07:27:00Z</cp:lastPrinted>
  <dcterms:created xsi:type="dcterms:W3CDTF">2020-08-07T02:59:00Z</dcterms:created>
  <dcterms:modified xsi:type="dcterms:W3CDTF">2020-08-07T02:59:00Z</dcterms:modified>
</cp:coreProperties>
</file>