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57" w:rsidRDefault="00826C57" w:rsidP="0037444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26C57">
        <w:rPr>
          <w:rFonts w:ascii="方正小标宋_GBK" w:eastAsia="方正小标宋_GBK" w:hint="eastAsia"/>
          <w:sz w:val="44"/>
          <w:szCs w:val="44"/>
        </w:rPr>
        <w:t>强化工作协调联动</w:t>
      </w:r>
      <w:r w:rsidR="00CC42EC">
        <w:rPr>
          <w:rFonts w:ascii="方正小标宋_GBK" w:eastAsia="方正小标宋_GBK" w:hint="eastAsia"/>
          <w:sz w:val="44"/>
          <w:szCs w:val="44"/>
        </w:rPr>
        <w:t xml:space="preserve"> </w:t>
      </w:r>
      <w:r w:rsidRPr="00826C57">
        <w:rPr>
          <w:rFonts w:ascii="方正小标宋_GBK" w:eastAsia="方正小标宋_GBK" w:hint="eastAsia"/>
          <w:sz w:val="44"/>
          <w:szCs w:val="44"/>
        </w:rPr>
        <w:t>提升监管执法效能</w:t>
      </w:r>
    </w:p>
    <w:p w:rsidR="00374444" w:rsidRDefault="00374444" w:rsidP="00374444">
      <w:pPr>
        <w:spacing w:line="56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</w:p>
    <w:p w:rsidR="00826C57" w:rsidRPr="006F0404" w:rsidRDefault="006F0404" w:rsidP="003744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0404">
        <w:rPr>
          <w:rFonts w:ascii="仿宋_GB2312" w:eastAsia="仿宋_GB2312" w:hAnsi="黑体" w:cs="黑体" w:hint="eastAsia"/>
          <w:sz w:val="32"/>
          <w:szCs w:val="32"/>
        </w:rPr>
        <w:t>近日</w:t>
      </w:r>
      <w:r w:rsidR="00CD4233">
        <w:rPr>
          <w:rFonts w:ascii="仿宋_GB2312" w:eastAsia="仿宋_GB2312" w:hAnsi="黑体" w:cs="黑体" w:hint="eastAsia"/>
          <w:sz w:val="32"/>
          <w:szCs w:val="32"/>
        </w:rPr>
        <w:t>，</w:t>
      </w:r>
      <w:r w:rsidRPr="006F0404">
        <w:rPr>
          <w:rFonts w:ascii="仿宋_GB2312" w:eastAsia="仿宋_GB2312" w:hAnsi="黑体" w:cs="黑体" w:hint="eastAsia"/>
          <w:sz w:val="32"/>
          <w:szCs w:val="32"/>
        </w:rPr>
        <w:t>青岛市应急管理局创新出台</w:t>
      </w:r>
      <w:r w:rsidRPr="006F0404">
        <w:rPr>
          <w:rFonts w:ascii="仿宋_GB2312" w:eastAsia="仿宋_GB2312" w:hint="eastAsia"/>
          <w:sz w:val="32"/>
          <w:szCs w:val="32"/>
        </w:rPr>
        <w:t>《安全生产监管执法工作协调联动暂行办法》（以下简称《办法》），</w:t>
      </w:r>
      <w:r w:rsidR="00BD3EE6">
        <w:rPr>
          <w:rFonts w:ascii="仿宋_GB2312" w:eastAsia="仿宋_GB2312" w:hint="eastAsia"/>
          <w:sz w:val="32"/>
          <w:szCs w:val="32"/>
        </w:rPr>
        <w:t>着力</w:t>
      </w:r>
      <w:r w:rsidR="00826C57" w:rsidRPr="006F0404">
        <w:rPr>
          <w:rFonts w:ascii="仿宋_GB2312" w:eastAsia="仿宋_GB2312" w:hint="eastAsia"/>
          <w:sz w:val="32"/>
          <w:szCs w:val="32"/>
        </w:rPr>
        <w:t>规范安全生产监管与行政执法工作机制，</w:t>
      </w:r>
      <w:r w:rsidR="00826C57" w:rsidRPr="006F0404">
        <w:rPr>
          <w:rFonts w:ascii="仿宋_GB2312" w:eastAsia="仿宋_GB2312" w:hAnsi="黑体" w:cs="黑体" w:hint="eastAsia"/>
          <w:sz w:val="32"/>
          <w:szCs w:val="32"/>
        </w:rPr>
        <w:t>实现</w:t>
      </w:r>
      <w:r w:rsidR="00CD4233">
        <w:rPr>
          <w:rFonts w:ascii="仿宋_GB2312" w:eastAsia="仿宋_GB2312" w:hAnsi="黑体" w:cs="黑体" w:hint="eastAsia"/>
          <w:sz w:val="32"/>
          <w:szCs w:val="32"/>
        </w:rPr>
        <w:t>局内</w:t>
      </w:r>
      <w:r w:rsidR="00826C57" w:rsidRPr="006F0404">
        <w:rPr>
          <w:rFonts w:ascii="仿宋_GB2312" w:eastAsia="仿宋_GB2312" w:hAnsi="黑体" w:cs="黑体" w:hint="eastAsia"/>
          <w:sz w:val="32"/>
          <w:szCs w:val="32"/>
        </w:rPr>
        <w:t>监管、审批、执法三方</w:t>
      </w:r>
      <w:r w:rsidR="00CD4233">
        <w:rPr>
          <w:rFonts w:ascii="仿宋_GB2312" w:eastAsia="仿宋_GB2312" w:hAnsi="黑体" w:cs="黑体" w:hint="eastAsia"/>
          <w:sz w:val="32"/>
          <w:szCs w:val="32"/>
        </w:rPr>
        <w:t>的</w:t>
      </w:r>
      <w:r w:rsidR="00826C57" w:rsidRPr="006F0404">
        <w:rPr>
          <w:rFonts w:ascii="仿宋_GB2312" w:eastAsia="仿宋_GB2312" w:hAnsi="黑体" w:cs="黑体" w:hint="eastAsia"/>
          <w:sz w:val="32"/>
          <w:szCs w:val="32"/>
        </w:rPr>
        <w:t>协调联动</w:t>
      </w:r>
      <w:r w:rsidR="00CD4233">
        <w:rPr>
          <w:rFonts w:ascii="仿宋_GB2312" w:eastAsia="仿宋_GB2312" w:hAnsi="黑体" w:cs="黑体" w:hint="eastAsia"/>
          <w:sz w:val="32"/>
          <w:szCs w:val="32"/>
        </w:rPr>
        <w:t>、</w:t>
      </w:r>
      <w:r w:rsidR="00826C57" w:rsidRPr="006F0404">
        <w:rPr>
          <w:rFonts w:ascii="仿宋_GB2312" w:eastAsia="仿宋_GB2312" w:hAnsi="黑体" w:cs="黑体" w:hint="eastAsia"/>
          <w:sz w:val="32"/>
          <w:szCs w:val="32"/>
        </w:rPr>
        <w:t>统筹管控</w:t>
      </w:r>
      <w:r w:rsidR="00CD4233">
        <w:rPr>
          <w:rFonts w:ascii="仿宋_GB2312" w:eastAsia="仿宋_GB2312" w:hAnsi="黑体" w:cs="黑体" w:hint="eastAsia"/>
          <w:sz w:val="32"/>
          <w:szCs w:val="32"/>
        </w:rPr>
        <w:t>和</w:t>
      </w:r>
      <w:r w:rsidR="00CD4233">
        <w:rPr>
          <w:rFonts w:ascii="仿宋_GB2312" w:eastAsia="仿宋_GB2312" w:hint="eastAsia"/>
          <w:sz w:val="32"/>
          <w:szCs w:val="32"/>
        </w:rPr>
        <w:t>监管执法</w:t>
      </w:r>
      <w:r w:rsidRPr="006F0404">
        <w:rPr>
          <w:rFonts w:ascii="仿宋_GB2312" w:eastAsia="仿宋_GB2312" w:hint="eastAsia"/>
          <w:sz w:val="32"/>
          <w:szCs w:val="32"/>
        </w:rPr>
        <w:t>效能</w:t>
      </w:r>
      <w:r w:rsidR="00CD4233" w:rsidRPr="006F0404">
        <w:rPr>
          <w:rFonts w:ascii="仿宋_GB2312" w:eastAsia="仿宋_GB2312" w:hint="eastAsia"/>
          <w:sz w:val="32"/>
          <w:szCs w:val="32"/>
        </w:rPr>
        <w:t>提升</w:t>
      </w:r>
      <w:r w:rsidRPr="006F0404">
        <w:rPr>
          <w:rFonts w:ascii="仿宋_GB2312" w:eastAsia="仿宋_GB2312" w:hint="eastAsia"/>
          <w:sz w:val="32"/>
          <w:szCs w:val="32"/>
        </w:rPr>
        <w:t>。</w:t>
      </w:r>
    </w:p>
    <w:p w:rsidR="00CD4233" w:rsidRDefault="00307726" w:rsidP="002803D4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明确联动</w:t>
      </w:r>
      <w:r w:rsidR="000A3477">
        <w:rPr>
          <w:rFonts w:ascii="楷体_GB2312" w:eastAsia="楷体_GB2312" w:hint="eastAsia"/>
          <w:sz w:val="32"/>
          <w:szCs w:val="32"/>
        </w:rPr>
        <w:t>工作</w:t>
      </w:r>
      <w:r w:rsidR="00374444" w:rsidRPr="00501C1E">
        <w:rPr>
          <w:rFonts w:ascii="楷体_GB2312" w:eastAsia="楷体_GB2312" w:hint="eastAsia"/>
          <w:sz w:val="32"/>
          <w:szCs w:val="32"/>
        </w:rPr>
        <w:t>原则</w:t>
      </w:r>
      <w:r w:rsidR="00045DB9" w:rsidRPr="00501C1E">
        <w:rPr>
          <w:rFonts w:ascii="楷体_GB2312" w:eastAsia="楷体_GB2312" w:hint="eastAsia"/>
          <w:sz w:val="32"/>
          <w:szCs w:val="32"/>
        </w:rPr>
        <w:t>。</w:t>
      </w:r>
      <w:r w:rsidR="00374444">
        <w:rPr>
          <w:rFonts w:ascii="仿宋_GB2312" w:eastAsia="仿宋_GB2312" w:hint="eastAsia"/>
          <w:sz w:val="32"/>
          <w:szCs w:val="32"/>
        </w:rPr>
        <w:t>《办法》明确，全局安全生产监管执法协调联动工作，坚持目标导向、问题导向、结果导向，</w:t>
      </w:r>
      <w:r w:rsidR="00374444">
        <w:rPr>
          <w:rFonts w:ascii="仿宋_GB2312" w:eastAsia="仿宋_GB2312" w:hint="eastAsia"/>
          <w:bCs/>
          <w:sz w:val="32"/>
          <w:szCs w:val="32"/>
        </w:rPr>
        <w:t>实行“统分结合、相对集中、减少频次、务求实效”的原则，避免因同类事项对同一企业重复检查。</w:t>
      </w:r>
    </w:p>
    <w:p w:rsidR="002803D4" w:rsidRDefault="00307726" w:rsidP="002803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明确联动</w:t>
      </w:r>
      <w:r w:rsidR="000A3477">
        <w:rPr>
          <w:rFonts w:ascii="楷体_GB2312" w:eastAsia="楷体_GB2312" w:hint="eastAsia"/>
          <w:sz w:val="32"/>
          <w:szCs w:val="32"/>
        </w:rPr>
        <w:t>工作</w:t>
      </w:r>
      <w:r w:rsidR="00CD4233">
        <w:rPr>
          <w:rFonts w:ascii="楷体_GB2312" w:eastAsia="楷体_GB2312" w:hint="eastAsia"/>
          <w:sz w:val="32"/>
          <w:szCs w:val="32"/>
        </w:rPr>
        <w:t>事项</w:t>
      </w:r>
      <w:r w:rsidR="00CD4233" w:rsidRPr="00501C1E"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《办法》</w:t>
      </w:r>
      <w:r w:rsidR="00CC42EC">
        <w:rPr>
          <w:rFonts w:ascii="仿宋_GB2312" w:eastAsia="仿宋_GB2312" w:hint="eastAsia"/>
          <w:sz w:val="32"/>
          <w:szCs w:val="32"/>
        </w:rPr>
        <w:t>明确</w:t>
      </w:r>
      <w:r>
        <w:rPr>
          <w:rFonts w:ascii="仿宋_GB2312" w:eastAsia="仿宋_GB2312" w:hint="eastAsia"/>
          <w:sz w:val="32"/>
          <w:szCs w:val="32"/>
        </w:rPr>
        <w:t>，</w:t>
      </w:r>
      <w:r w:rsidRPr="00307726">
        <w:rPr>
          <w:rFonts w:ascii="仿宋_GB2312" w:eastAsia="仿宋_GB2312" w:hint="eastAsia"/>
          <w:sz w:val="32"/>
          <w:szCs w:val="32"/>
        </w:rPr>
        <w:t>政策法规处</w:t>
      </w: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监管业务处和监察支队年度工作</w:t>
      </w:r>
      <w:r w:rsidR="00BD3EE6">
        <w:rPr>
          <w:rFonts w:ascii="仿宋_GB2312" w:eastAsia="仿宋_GB2312" w:hAnsi="仿宋_GB2312" w:cs="仿宋_GB2312" w:hint="eastAsia"/>
          <w:bCs/>
          <w:sz w:val="32"/>
          <w:szCs w:val="32"/>
        </w:rPr>
        <w:t>实际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，统筹制定年度监督检查计划；</w:t>
      </w:r>
      <w:r w:rsidR="002803D4">
        <w:rPr>
          <w:rFonts w:ascii="仿宋_GB2312" w:eastAsia="仿宋_GB2312" w:hAnsi="仿宋_GB2312" w:cs="仿宋_GB2312" w:hint="eastAsia"/>
          <w:bCs/>
          <w:sz w:val="32"/>
          <w:szCs w:val="32"/>
        </w:rPr>
        <w:t>监管业务处</w:t>
      </w:r>
      <w:r w:rsidR="00CD4233">
        <w:rPr>
          <w:rFonts w:ascii="仿宋_GB2312" w:eastAsia="仿宋_GB2312" w:hint="eastAsia"/>
          <w:sz w:val="32"/>
          <w:szCs w:val="32"/>
        </w:rPr>
        <w:t>对监督检查中发现的应</w:t>
      </w:r>
      <w:proofErr w:type="gramStart"/>
      <w:r w:rsidR="00CD4233">
        <w:rPr>
          <w:rFonts w:ascii="仿宋_GB2312" w:eastAsia="仿宋_GB2312" w:hint="eastAsia"/>
          <w:sz w:val="32"/>
          <w:szCs w:val="32"/>
        </w:rPr>
        <w:t>予行</w:t>
      </w:r>
      <w:proofErr w:type="gramEnd"/>
      <w:r w:rsidR="00CD4233">
        <w:rPr>
          <w:rFonts w:ascii="仿宋_GB2312" w:eastAsia="仿宋_GB2312" w:hint="eastAsia"/>
          <w:sz w:val="32"/>
          <w:szCs w:val="32"/>
        </w:rPr>
        <w:t>政处罚的违法行为，</w:t>
      </w:r>
      <w:r w:rsidR="002803D4">
        <w:rPr>
          <w:rFonts w:ascii="仿宋_GB2312" w:eastAsia="仿宋_GB2312" w:hint="eastAsia"/>
          <w:sz w:val="32"/>
          <w:szCs w:val="32"/>
        </w:rPr>
        <w:t>按规定采集各项证据</w:t>
      </w:r>
      <w:r w:rsidR="00CD4233">
        <w:rPr>
          <w:rFonts w:ascii="仿宋_GB2312" w:eastAsia="仿宋_GB2312" w:hint="eastAsia"/>
          <w:sz w:val="32"/>
          <w:szCs w:val="32"/>
        </w:rPr>
        <w:t>后</w:t>
      </w:r>
      <w:r w:rsidR="002803D4">
        <w:rPr>
          <w:rFonts w:ascii="仿宋_GB2312" w:eastAsia="仿宋_GB2312" w:hint="eastAsia"/>
          <w:sz w:val="32"/>
          <w:szCs w:val="32"/>
        </w:rPr>
        <w:t>，及时将企业问题隐患及非法违法行为等相关资料移交监察支队</w:t>
      </w:r>
      <w:r w:rsidR="002803D4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CD4233">
        <w:rPr>
          <w:rFonts w:ascii="仿宋_GB2312" w:eastAsia="仿宋_GB2312" w:hAnsi="仿宋_GB2312" w:cs="仿宋_GB2312" w:hint="eastAsia"/>
          <w:bCs/>
          <w:sz w:val="32"/>
          <w:szCs w:val="32"/>
        </w:rPr>
        <w:t>由监察支队</w:t>
      </w:r>
      <w:r w:rsidR="002803D4">
        <w:rPr>
          <w:rFonts w:ascii="仿宋_GB2312" w:eastAsia="仿宋_GB2312" w:hAnsi="仿宋_GB2312" w:cs="仿宋_GB2312" w:hint="eastAsia"/>
          <w:bCs/>
          <w:sz w:val="32"/>
          <w:szCs w:val="32"/>
        </w:rPr>
        <w:t>集中实施行政处罚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；监管业务处</w:t>
      </w:r>
      <w:r w:rsidR="00CD4233">
        <w:rPr>
          <w:rFonts w:ascii="仿宋_GB2312" w:eastAsia="仿宋_GB2312" w:hint="eastAsia"/>
          <w:sz w:val="32"/>
          <w:szCs w:val="32"/>
        </w:rPr>
        <w:t>对监督检查中发现的应</w:t>
      </w:r>
      <w:proofErr w:type="gramStart"/>
      <w:r w:rsidR="00CD4233">
        <w:rPr>
          <w:rFonts w:ascii="仿宋_GB2312" w:eastAsia="仿宋_GB2312" w:hint="eastAsia"/>
          <w:sz w:val="32"/>
          <w:szCs w:val="32"/>
        </w:rPr>
        <w:t>予行</w:t>
      </w:r>
      <w:proofErr w:type="gramEnd"/>
      <w:r w:rsidR="00CD4233">
        <w:rPr>
          <w:rFonts w:ascii="仿宋_GB2312" w:eastAsia="仿宋_GB2312" w:hint="eastAsia"/>
          <w:sz w:val="32"/>
          <w:szCs w:val="32"/>
        </w:rPr>
        <w:t>政强制的违法行为，及时协调</w:t>
      </w:r>
      <w:r w:rsidR="00CD4233">
        <w:rPr>
          <w:rFonts w:ascii="仿宋_GB2312" w:eastAsia="仿宋_GB2312" w:hAnsi="仿宋_GB2312" w:cs="仿宋_GB2312" w:hint="eastAsia"/>
          <w:bCs/>
          <w:sz w:val="32"/>
          <w:szCs w:val="32"/>
        </w:rPr>
        <w:t>监察支队联合实施</w:t>
      </w:r>
      <w:r w:rsidR="00CD4233">
        <w:rPr>
          <w:rFonts w:ascii="仿宋_GB2312" w:eastAsia="仿宋_GB2312" w:hint="eastAsia"/>
          <w:sz w:val="32"/>
          <w:szCs w:val="32"/>
        </w:rPr>
        <w:t>行政强制程序</w:t>
      </w:r>
      <w:r w:rsidR="00CD4233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BD3EE6" w:rsidRDefault="00BD3EE6" w:rsidP="00BD3EE6">
      <w:pPr>
        <w:pStyle w:val="p0"/>
        <w:widowControl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强化联动工作</w:t>
      </w:r>
      <w:r w:rsidRPr="00501C1E">
        <w:rPr>
          <w:rFonts w:ascii="楷体_GB2312" w:eastAsia="楷体_GB2312" w:hint="eastAsia"/>
          <w:sz w:val="32"/>
          <w:szCs w:val="32"/>
        </w:rPr>
        <w:t>配合。</w:t>
      </w:r>
      <w:r>
        <w:rPr>
          <w:rFonts w:ascii="仿宋_GB2312" w:eastAsia="仿宋_GB2312" w:hint="eastAsia"/>
          <w:sz w:val="32"/>
          <w:szCs w:val="32"/>
        </w:rPr>
        <w:t>《办法》明确，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监管业务处、监察支队各自部署开展的专项检查，需要对方予以配合的，监管业务处、监察支队应积极配合。对上级临时部署需通过执法跟进的执法事项，监管业务处应及时通报监察支队，监察支队应及时调整执法计划并组织落实，执法检查结果反馈相关监管业务处。</w:t>
      </w:r>
    </w:p>
    <w:p w:rsidR="00BD3EE6" w:rsidRPr="00BB5E0E" w:rsidRDefault="00BD3EE6" w:rsidP="00BD3EE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强化执法目标考核</w:t>
      </w:r>
      <w:r w:rsidRPr="00E91BCE"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《办法》要求</w:t>
      </w:r>
      <w:r w:rsidRPr="00BB5E0E">
        <w:rPr>
          <w:rFonts w:ascii="仿宋_GB2312" w:eastAsia="仿宋_GB2312" w:hint="eastAsia"/>
          <w:sz w:val="32"/>
          <w:szCs w:val="32"/>
        </w:rPr>
        <w:t>，</w:t>
      </w:r>
      <w:r w:rsidRPr="00BB5E0E">
        <w:rPr>
          <w:rFonts w:ascii="仿宋_GB2312" w:eastAsia="仿宋_GB2312" w:hAnsi="仿宋_GB2312" w:cs="仿宋_GB2312" w:hint="eastAsia"/>
          <w:sz w:val="32"/>
          <w:szCs w:val="32"/>
        </w:rPr>
        <w:t>执法检查计划的完成率和</w:t>
      </w:r>
      <w:r w:rsidRPr="00BB5E0E">
        <w:rPr>
          <w:rFonts w:ascii="仿宋_GB2312" w:eastAsia="仿宋_GB2312" w:hAnsi="黑体" w:cs="黑体" w:hint="eastAsia"/>
          <w:sz w:val="32"/>
          <w:szCs w:val="32"/>
        </w:rPr>
        <w:t>立案率达标情况纳入</w:t>
      </w:r>
      <w:r w:rsidR="00BB5E0E" w:rsidRPr="00BB5E0E">
        <w:rPr>
          <w:rFonts w:ascii="仿宋_GB2312" w:eastAsia="仿宋_GB2312" w:hAnsi="仿宋_GB2312" w:cs="仿宋_GB2312" w:hint="eastAsia"/>
          <w:bCs/>
          <w:sz w:val="32"/>
          <w:szCs w:val="32"/>
        </w:rPr>
        <w:t>相关</w:t>
      </w:r>
      <w:r w:rsidR="00BB5E0E" w:rsidRPr="00BB5E0E">
        <w:rPr>
          <w:rFonts w:ascii="仿宋_GB2312" w:eastAsia="仿宋_GB2312" w:hAnsi="仿宋_GB2312" w:cs="仿宋_GB2312" w:hint="eastAsia"/>
          <w:bCs/>
          <w:sz w:val="32"/>
          <w:szCs w:val="32"/>
        </w:rPr>
        <w:t>业务处和监察支队</w:t>
      </w:r>
      <w:r w:rsidRPr="00BB5E0E">
        <w:rPr>
          <w:rFonts w:ascii="仿宋_GB2312" w:eastAsia="仿宋_GB2312" w:hAnsi="黑体" w:cs="黑体" w:hint="eastAsia"/>
          <w:sz w:val="32"/>
          <w:szCs w:val="32"/>
        </w:rPr>
        <w:t>年度业务职能目标绩效考核</w:t>
      </w:r>
      <w:r w:rsidRPr="00BB5E0E">
        <w:rPr>
          <w:rFonts w:ascii="仿宋_GB2312" w:eastAsia="仿宋_GB2312" w:hint="eastAsia"/>
          <w:sz w:val="32"/>
          <w:szCs w:val="32"/>
        </w:rPr>
        <w:t>。</w:t>
      </w:r>
    </w:p>
    <w:p w:rsidR="0012647A" w:rsidRPr="0012647A" w:rsidRDefault="00BD3EE6" w:rsidP="0012647A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CD00EA">
        <w:rPr>
          <w:rFonts w:ascii="楷体_GB2312" w:eastAsia="楷体_GB2312" w:hAnsi="黑体" w:cs="黑体" w:hint="eastAsia"/>
          <w:sz w:val="32"/>
          <w:szCs w:val="32"/>
        </w:rPr>
        <w:t>规范执法</w:t>
      </w:r>
      <w:r w:rsidR="0012647A">
        <w:rPr>
          <w:rFonts w:ascii="楷体_GB2312" w:eastAsia="楷体_GB2312" w:hAnsi="黑体" w:cs="黑体" w:hint="eastAsia"/>
          <w:sz w:val="32"/>
          <w:szCs w:val="32"/>
        </w:rPr>
        <w:t>标准</w:t>
      </w:r>
      <w:r w:rsidR="00CC42EC">
        <w:rPr>
          <w:rFonts w:ascii="楷体_GB2312" w:eastAsia="楷体_GB2312" w:hAnsi="黑体" w:cs="黑体" w:hint="eastAsia"/>
          <w:sz w:val="32"/>
          <w:szCs w:val="32"/>
        </w:rPr>
        <w:t>程序</w:t>
      </w:r>
      <w:r w:rsidRPr="00CD00EA">
        <w:rPr>
          <w:rFonts w:ascii="楷体_GB2312" w:eastAsia="楷体_GB2312" w:hAnsi="黑体" w:cs="黑体" w:hint="eastAsia"/>
          <w:sz w:val="32"/>
          <w:szCs w:val="32"/>
        </w:rPr>
        <w:t>。</w:t>
      </w:r>
      <w:r w:rsidR="0012647A" w:rsidRPr="0012647A">
        <w:rPr>
          <w:rFonts w:ascii="仿宋_GB2312" w:eastAsia="仿宋_GB2312" w:hAnsi="仿宋_GB2312" w:cs="仿宋_GB2312" w:hint="eastAsia"/>
          <w:bCs/>
          <w:sz w:val="32"/>
          <w:szCs w:val="32"/>
        </w:rPr>
        <w:t>监管业务处和监察支队在对企业进行现场执法检查时，均</w:t>
      </w:r>
      <w:r w:rsidR="00CC42EC">
        <w:rPr>
          <w:rFonts w:ascii="仿宋_GB2312" w:eastAsia="仿宋_GB2312" w:hAnsi="仿宋_GB2312" w:cs="仿宋_GB2312" w:hint="eastAsia"/>
          <w:bCs/>
          <w:sz w:val="32"/>
          <w:szCs w:val="32"/>
        </w:rPr>
        <w:t>应</w:t>
      </w:r>
      <w:r w:rsidR="0012647A" w:rsidRPr="0012647A">
        <w:rPr>
          <w:rFonts w:ascii="仿宋_GB2312" w:eastAsia="仿宋_GB2312" w:hAnsi="仿宋_GB2312" w:cs="仿宋_GB2312" w:hint="eastAsia"/>
          <w:bCs/>
          <w:sz w:val="32"/>
          <w:szCs w:val="32"/>
        </w:rPr>
        <w:t>制</w:t>
      </w:r>
      <w:proofErr w:type="gramStart"/>
      <w:r w:rsidR="0012647A" w:rsidRPr="0012647A">
        <w:rPr>
          <w:rFonts w:ascii="仿宋_GB2312" w:eastAsia="仿宋_GB2312" w:hAnsi="仿宋_GB2312" w:cs="仿宋_GB2312" w:hint="eastAsia"/>
          <w:bCs/>
          <w:sz w:val="32"/>
          <w:szCs w:val="32"/>
        </w:rPr>
        <w:t>定现场</w:t>
      </w:r>
      <w:proofErr w:type="gramEnd"/>
      <w:r w:rsidR="0012647A" w:rsidRPr="0012647A">
        <w:rPr>
          <w:rFonts w:ascii="仿宋_GB2312" w:eastAsia="仿宋_GB2312" w:hAnsi="仿宋_GB2312" w:cs="仿宋_GB2312" w:hint="eastAsia"/>
          <w:bCs/>
          <w:sz w:val="32"/>
          <w:szCs w:val="32"/>
        </w:rPr>
        <w:t>检查方案</w:t>
      </w:r>
      <w:r w:rsidR="00CC42EC">
        <w:rPr>
          <w:rFonts w:ascii="仿宋_GB2312" w:eastAsia="仿宋_GB2312" w:hAnsi="仿宋_GB2312" w:cs="仿宋_GB2312" w:hint="eastAsia"/>
          <w:bCs/>
          <w:sz w:val="32"/>
          <w:szCs w:val="32"/>
        </w:rPr>
        <w:t>，按照</w:t>
      </w:r>
      <w:r w:rsidR="0012647A" w:rsidRPr="0012647A">
        <w:rPr>
          <w:rFonts w:ascii="仿宋_GB2312" w:eastAsia="仿宋_GB2312" w:hAnsi="仿宋_GB2312" w:cs="仿宋_GB2312" w:hint="eastAsia"/>
          <w:bCs/>
          <w:sz w:val="32"/>
          <w:szCs w:val="32"/>
        </w:rPr>
        <w:t>“召开启动会、现场检查、执法会商、反馈会”的程序进行。检查中应严格</w:t>
      </w:r>
      <w:proofErr w:type="gramStart"/>
      <w:r w:rsidR="0012647A" w:rsidRPr="0012647A">
        <w:rPr>
          <w:rFonts w:ascii="仿宋_GB2312" w:eastAsia="仿宋_GB2312" w:hAnsi="仿宋_GB2312" w:cs="仿宋_GB2312" w:hint="eastAsia"/>
          <w:bCs/>
          <w:sz w:val="32"/>
          <w:szCs w:val="32"/>
        </w:rPr>
        <w:t>落实全</w:t>
      </w:r>
      <w:proofErr w:type="gramEnd"/>
      <w:r w:rsidR="0012647A" w:rsidRPr="0012647A">
        <w:rPr>
          <w:rFonts w:ascii="仿宋_GB2312" w:eastAsia="仿宋_GB2312" w:hAnsi="仿宋_GB2312" w:cs="仿宋_GB2312" w:hint="eastAsia"/>
          <w:bCs/>
          <w:sz w:val="32"/>
          <w:szCs w:val="32"/>
        </w:rPr>
        <w:t>过程记录制度，</w:t>
      </w:r>
      <w:r w:rsidR="0012647A">
        <w:rPr>
          <w:rFonts w:ascii="仿宋_GB2312" w:eastAsia="仿宋_GB2312" w:hAnsi="仿宋_GB2312" w:cs="仿宋_GB2312" w:hint="eastAsia"/>
          <w:bCs/>
          <w:sz w:val="32"/>
          <w:szCs w:val="32"/>
        </w:rPr>
        <w:t>按要求</w:t>
      </w:r>
      <w:r w:rsidR="0012647A" w:rsidRPr="0012647A">
        <w:rPr>
          <w:rFonts w:ascii="Calibri" w:eastAsia="仿宋_GB2312" w:hAnsi="Calibri" w:hint="eastAsia"/>
          <w:sz w:val="32"/>
          <w:szCs w:val="32"/>
        </w:rPr>
        <w:t>实时完整固定</w:t>
      </w:r>
      <w:r w:rsidR="0012647A">
        <w:rPr>
          <w:rFonts w:ascii="Calibri" w:eastAsia="仿宋_GB2312" w:hAnsi="Calibri" w:hint="eastAsia"/>
          <w:sz w:val="32"/>
          <w:szCs w:val="32"/>
        </w:rPr>
        <w:t>各类</w:t>
      </w:r>
      <w:r w:rsidR="0012647A" w:rsidRPr="0012647A">
        <w:rPr>
          <w:rFonts w:ascii="Calibri" w:eastAsia="仿宋_GB2312" w:hAnsi="Calibri" w:hint="eastAsia"/>
          <w:sz w:val="32"/>
          <w:szCs w:val="32"/>
        </w:rPr>
        <w:t>证据，</w:t>
      </w:r>
      <w:r w:rsidR="0012647A" w:rsidRPr="0012647A">
        <w:rPr>
          <w:rFonts w:ascii="Calibri" w:eastAsia="仿宋_GB2312" w:hAnsi="Calibri"/>
          <w:sz w:val="32"/>
          <w:szCs w:val="32"/>
        </w:rPr>
        <w:t>实现</w:t>
      </w:r>
      <w:r w:rsidR="0012647A" w:rsidRPr="0012647A">
        <w:rPr>
          <w:rFonts w:ascii="Calibri" w:eastAsia="仿宋_GB2312" w:hAnsi="Calibri" w:hint="eastAsia"/>
          <w:sz w:val="32"/>
          <w:szCs w:val="32"/>
        </w:rPr>
        <w:t>执法检查</w:t>
      </w:r>
      <w:r w:rsidR="0012647A" w:rsidRPr="0012647A">
        <w:rPr>
          <w:rFonts w:ascii="Calibri" w:eastAsia="仿宋_GB2312" w:hAnsi="Calibri"/>
          <w:sz w:val="32"/>
          <w:szCs w:val="32"/>
        </w:rPr>
        <w:t>全过程</w:t>
      </w:r>
      <w:r w:rsidR="0012647A">
        <w:rPr>
          <w:rFonts w:ascii="Calibri" w:eastAsia="仿宋_GB2312" w:hAnsi="Calibri" w:hint="eastAsia"/>
          <w:sz w:val="32"/>
          <w:szCs w:val="32"/>
        </w:rPr>
        <w:t>标准统一和</w:t>
      </w:r>
      <w:proofErr w:type="gramStart"/>
      <w:r w:rsidR="0012647A" w:rsidRPr="0012647A">
        <w:rPr>
          <w:rFonts w:ascii="Calibri" w:eastAsia="仿宋_GB2312" w:hAnsi="Calibri"/>
          <w:sz w:val="32"/>
          <w:szCs w:val="32"/>
        </w:rPr>
        <w:t>可</w:t>
      </w:r>
      <w:proofErr w:type="gramEnd"/>
      <w:r w:rsidR="0012647A" w:rsidRPr="0012647A">
        <w:rPr>
          <w:rFonts w:ascii="Calibri" w:eastAsia="仿宋_GB2312" w:hAnsi="Calibri"/>
          <w:sz w:val="32"/>
          <w:szCs w:val="32"/>
        </w:rPr>
        <w:t>回溯管理。</w:t>
      </w:r>
    </w:p>
    <w:p w:rsidR="00587D98" w:rsidRDefault="000A3477" w:rsidP="00587D98">
      <w:pPr>
        <w:pStyle w:val="p0"/>
        <w:widowControl w:val="0"/>
        <w:spacing w:line="56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规范执法平台使用</w:t>
      </w:r>
      <w:r w:rsidR="00343BFB" w:rsidRPr="00501C1E">
        <w:rPr>
          <w:rFonts w:ascii="楷体_GB2312" w:eastAsia="楷体_GB2312" w:hint="eastAsia"/>
          <w:sz w:val="32"/>
          <w:szCs w:val="32"/>
        </w:rPr>
        <w:t>。</w:t>
      </w:r>
      <w:r w:rsidR="00587D98">
        <w:rPr>
          <w:rFonts w:ascii="仿宋_GB2312" w:eastAsia="仿宋_GB2312" w:hint="eastAsia"/>
          <w:sz w:val="32"/>
          <w:szCs w:val="32"/>
        </w:rPr>
        <w:t>《办法》要求，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监管业务处更新</w:t>
      </w:r>
      <w:r w:rsidR="00307726"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 w:rsidR="00587D98">
        <w:rPr>
          <w:rFonts w:ascii="仿宋_GB2312" w:eastAsia="仿宋_GB2312" w:hAnsi="仿宋_GB2312" w:cs="仿宋_GB2312" w:hint="eastAsia"/>
          <w:sz w:val="32"/>
          <w:szCs w:val="32"/>
        </w:rPr>
        <w:t>监管范围内生产经营单位台</w:t>
      </w:r>
      <w:proofErr w:type="gramStart"/>
      <w:r w:rsidR="00587D98">
        <w:rPr>
          <w:rFonts w:ascii="仿宋_GB2312" w:eastAsia="仿宋_GB2312" w:hAnsi="仿宋_GB2312" w:cs="仿宋_GB2312" w:hint="eastAsia"/>
          <w:sz w:val="32"/>
          <w:szCs w:val="32"/>
        </w:rPr>
        <w:t>账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 w:rsidR="00587D98">
        <w:rPr>
          <w:rFonts w:ascii="仿宋_GB2312" w:eastAsia="仿宋_GB2312" w:hAnsi="仿宋_GB2312" w:cs="仿宋_GB2312" w:hint="eastAsia"/>
          <w:sz w:val="32"/>
          <w:szCs w:val="32"/>
        </w:rPr>
        <w:t>监察支队</w:t>
      </w:r>
      <w:r>
        <w:rPr>
          <w:rFonts w:ascii="仿宋_GB2312" w:eastAsia="仿宋_GB2312" w:hAnsi="仿宋_GB2312" w:cs="仿宋_GB2312" w:hint="eastAsia"/>
          <w:sz w:val="32"/>
          <w:szCs w:val="32"/>
        </w:rPr>
        <w:t>共享；</w:t>
      </w:r>
      <w:r>
        <w:rPr>
          <w:rFonts w:ascii="仿宋_GB2312" w:eastAsia="仿宋_GB2312" w:hint="eastAsia"/>
          <w:sz w:val="32"/>
          <w:szCs w:val="32"/>
        </w:rPr>
        <w:t>监管业务处和监察支队在执行年度监督检查计划时，</w:t>
      </w:r>
      <w:r w:rsidR="00587D98">
        <w:rPr>
          <w:rFonts w:ascii="仿宋_GB2312" w:eastAsia="仿宋_GB2312" w:hint="eastAsia"/>
          <w:sz w:val="32"/>
          <w:szCs w:val="32"/>
        </w:rPr>
        <w:t>统一使用“山东省安全生产执法信息平台”制作执法文书</w:t>
      </w:r>
      <w:r>
        <w:rPr>
          <w:rFonts w:ascii="仿宋_GB2312" w:eastAsia="仿宋_GB2312" w:hint="eastAsia"/>
          <w:sz w:val="32"/>
          <w:szCs w:val="32"/>
        </w:rPr>
        <w:t>、录入执法信息；</w:t>
      </w:r>
      <w:r w:rsidR="00587D98">
        <w:rPr>
          <w:rFonts w:ascii="仿宋_GB2312" w:eastAsia="仿宋_GB2312" w:hAnsi="黑体" w:cs="黑体" w:hint="eastAsia"/>
          <w:sz w:val="32"/>
          <w:szCs w:val="32"/>
        </w:rPr>
        <w:t>监察支队负责</w:t>
      </w:r>
      <w:r w:rsidR="00587D98">
        <w:rPr>
          <w:rFonts w:ascii="仿宋_GB2312" w:eastAsia="仿宋_GB2312" w:hint="eastAsia"/>
          <w:sz w:val="32"/>
          <w:szCs w:val="32"/>
        </w:rPr>
        <w:t>平台使用的培训</w:t>
      </w:r>
      <w:r>
        <w:rPr>
          <w:rFonts w:ascii="仿宋_GB2312" w:eastAsia="仿宋_GB2312" w:hint="eastAsia"/>
          <w:sz w:val="32"/>
          <w:szCs w:val="32"/>
        </w:rPr>
        <w:t>及执法</w:t>
      </w:r>
      <w:r w:rsidR="00587D98">
        <w:rPr>
          <w:rFonts w:ascii="仿宋_GB2312" w:eastAsia="仿宋_GB2312" w:hint="eastAsia"/>
          <w:sz w:val="32"/>
          <w:szCs w:val="32"/>
        </w:rPr>
        <w:t>统计、汇总、分析，并</w:t>
      </w:r>
      <w:r w:rsidR="00587D98">
        <w:rPr>
          <w:rFonts w:ascii="仿宋_GB2312" w:eastAsia="仿宋_GB2312" w:hAnsi="黑体" w:cs="黑体" w:hint="eastAsia"/>
          <w:sz w:val="32"/>
          <w:szCs w:val="32"/>
        </w:rPr>
        <w:t>及时通报监管业务处。</w:t>
      </w:r>
      <w:bookmarkStart w:id="0" w:name="_GoBack"/>
      <w:bookmarkEnd w:id="0"/>
    </w:p>
    <w:p w:rsidR="00BD3EE6" w:rsidRPr="006F0404" w:rsidRDefault="00BD3EE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sectPr w:rsidR="00BD3EE6" w:rsidRPr="006F0404" w:rsidSect="0037444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46" w:rsidRDefault="00135C46" w:rsidP="00CC42EC">
      <w:r>
        <w:separator/>
      </w:r>
    </w:p>
  </w:endnote>
  <w:endnote w:type="continuationSeparator" w:id="0">
    <w:p w:rsidR="00135C46" w:rsidRDefault="00135C46" w:rsidP="00CC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46" w:rsidRDefault="00135C46" w:rsidP="00CC42EC">
      <w:r>
        <w:separator/>
      </w:r>
    </w:p>
  </w:footnote>
  <w:footnote w:type="continuationSeparator" w:id="0">
    <w:p w:rsidR="00135C46" w:rsidRDefault="00135C46" w:rsidP="00CC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830"/>
    <w:rsid w:val="00045DB9"/>
    <w:rsid w:val="000A3477"/>
    <w:rsid w:val="00113A6E"/>
    <w:rsid w:val="0012647A"/>
    <w:rsid w:val="00135C46"/>
    <w:rsid w:val="00180E50"/>
    <w:rsid w:val="002803D4"/>
    <w:rsid w:val="002A3830"/>
    <w:rsid w:val="002F201D"/>
    <w:rsid w:val="00307726"/>
    <w:rsid w:val="00343BFB"/>
    <w:rsid w:val="00374444"/>
    <w:rsid w:val="00501C1E"/>
    <w:rsid w:val="00587D98"/>
    <w:rsid w:val="006F0404"/>
    <w:rsid w:val="00733D45"/>
    <w:rsid w:val="0075116F"/>
    <w:rsid w:val="007C73B7"/>
    <w:rsid w:val="00826C57"/>
    <w:rsid w:val="0084170F"/>
    <w:rsid w:val="00965389"/>
    <w:rsid w:val="00BB5E0E"/>
    <w:rsid w:val="00BD3EE6"/>
    <w:rsid w:val="00CC42EC"/>
    <w:rsid w:val="00CD00EA"/>
    <w:rsid w:val="00CD4233"/>
    <w:rsid w:val="00D7038A"/>
    <w:rsid w:val="00D913B9"/>
    <w:rsid w:val="00E91BCE"/>
    <w:rsid w:val="00F60450"/>
    <w:rsid w:val="00F7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26C5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CC4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2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26C57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15</cp:revision>
  <cp:lastPrinted>2021-08-16T08:09:00Z</cp:lastPrinted>
  <dcterms:created xsi:type="dcterms:W3CDTF">2021-08-12T02:23:00Z</dcterms:created>
  <dcterms:modified xsi:type="dcterms:W3CDTF">2021-08-16T08:17:00Z</dcterms:modified>
</cp:coreProperties>
</file>