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8"/>
        <w:tblW w:w="133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031"/>
        <w:gridCol w:w="1031"/>
        <w:gridCol w:w="1031"/>
        <w:gridCol w:w="1146"/>
        <w:gridCol w:w="1032"/>
        <w:gridCol w:w="1306"/>
        <w:gridCol w:w="1032"/>
        <w:gridCol w:w="1032"/>
        <w:gridCol w:w="1032"/>
        <w:gridCol w:w="1032"/>
        <w:gridCol w:w="10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31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b/>
                <w:i w:val="0"/>
                <w:color w:val="000000"/>
                <w:sz w:val="36"/>
                <w:szCs w:val="36"/>
                <w:highlight w:val="none"/>
                <w:u w:val="single"/>
              </w:rPr>
            </w:pPr>
            <w:r>
              <w:rPr>
                <w:rStyle w:val="9"/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highlight w:val="none"/>
                <w:lang w:val="en-US" w:eastAsia="zh-CN" w:bidi="ar"/>
              </w:rPr>
              <w:t>青岛地铁集团有限公司行政处罚情况统计表（2025）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行政处罚实施数量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罚没金额(万元)</w:t>
            </w:r>
          </w:p>
        </w:tc>
        <w:tc>
          <w:tcPr>
            <w:tcW w:w="4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被行政复议诉讼数量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移送司法机关数量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立案数量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结案数量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警告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罚款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被行政复议数量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被行政复议纠错数量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被行政诉讼数量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行政诉讼败诉数量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青岛地铁集团有限公司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0.115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2C3B"/>
    <w:rsid w:val="367D0180"/>
    <w:rsid w:val="404B57CE"/>
    <w:rsid w:val="4C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pPr>
      <w:widowControl/>
      <w:jc w:val="left"/>
    </w:pPr>
    <w:rPr>
      <w:rFonts w:cs="Calibri"/>
      <w:kern w:val="0"/>
      <w:szCs w:val="21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01"/>
    <w:basedOn w:val="7"/>
    <w:qFormat/>
    <w:uiPriority w:val="0"/>
    <w:rPr>
      <w:rFonts w:hint="default" w:ascii="文星标宋" w:hAnsi="文星标宋" w:eastAsia="文星标宋" w:cs="文星标宋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2026-01-07T01:53:00Z</dcterms:created>
  <dc:creator>DELL</dc:creator>
  <cp:lastModifiedBy>别刁难我胖虎</cp:lastModifiedBy>
  <dcterms:modified xsi:type="dcterms:W3CDTF">2026-01-07T06:16:48Z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