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服务指南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一、执法主体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青岛地铁集团有限公司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二、执法机构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办理程序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发现违法事实→立案→调查取证→提出行政处罚意见→法制机构审核→集体研究决定→处罚事前告知→作出处罚决定→送达→执行→结案。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有法定时限的，按法定时限执行。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法定时限的，行政执法程序由行政机关依职权启动的，行政机关应当自程序启动之日起60日内办结；60日内不能办结的，经本行政机关负责人批准，可以延长30日，并将延长期限的理由告知当事人。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366AA"/>
    <w:rsid w:val="358C489E"/>
    <w:rsid w:val="717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pPr>
      <w:widowControl/>
      <w:jc w:val="left"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2025-01-03T02:09:00Z</dcterms:created>
  <dc:creator>DELL</dc:creator>
  <cp:lastModifiedBy>别刁难我胖虎</cp:lastModifiedBy>
  <dcterms:modified xsi:type="dcterms:W3CDTF">2025-10-20T05:46:39Z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