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45" w:rsidRPr="009F0245" w:rsidRDefault="009F0245" w:rsidP="009F0245">
      <w:pPr>
        <w:pStyle w:val="a5"/>
        <w:shd w:val="clear" w:color="auto" w:fill="FFFFFF"/>
        <w:spacing w:before="0" w:beforeAutospacing="0" w:after="0" w:afterAutospacing="0"/>
        <w:ind w:firstLine="480"/>
        <w:rPr>
          <w:rFonts w:ascii="黑体" w:eastAsia="黑体" w:hAnsi="黑体" w:cs="Helvetica"/>
          <w:sz w:val="32"/>
          <w:szCs w:val="32"/>
        </w:rPr>
      </w:pPr>
      <w:r w:rsidRPr="009F0245">
        <w:rPr>
          <w:rFonts w:ascii="黑体" w:eastAsia="黑体" w:hAnsi="黑体" w:cs="Helvetica" w:hint="eastAsia"/>
          <w:sz w:val="32"/>
          <w:szCs w:val="32"/>
        </w:rPr>
        <w:t>一、行政执法主体</w:t>
      </w:r>
    </w:p>
    <w:p w:rsidR="009F0245" w:rsidRPr="009F0245" w:rsidRDefault="009F0245" w:rsidP="009F0245">
      <w:pPr>
        <w:pStyle w:val="a5"/>
        <w:shd w:val="clear" w:color="auto" w:fill="FFFFFF"/>
        <w:spacing w:before="0" w:beforeAutospacing="0" w:after="0" w:afterAutospacing="0"/>
        <w:ind w:firstLine="480"/>
        <w:rPr>
          <w:rFonts w:ascii="仿宋_GB2312" w:eastAsia="仿宋_GB2312" w:hAnsi="Helvetica" w:cs="Helvetica"/>
          <w:sz w:val="32"/>
          <w:szCs w:val="32"/>
        </w:rPr>
      </w:pPr>
      <w:r w:rsidRPr="009F0245">
        <w:rPr>
          <w:rFonts w:ascii="仿宋_GB2312" w:eastAsia="仿宋_GB2312" w:hAnsi="Helvetica" w:cs="Helvetica" w:hint="eastAsia"/>
          <w:sz w:val="32"/>
          <w:szCs w:val="32"/>
        </w:rPr>
        <w:t>青岛市</w:t>
      </w:r>
      <w:r>
        <w:rPr>
          <w:rFonts w:ascii="仿宋_GB2312" w:eastAsia="仿宋_GB2312" w:hAnsi="Helvetica" w:cs="Helvetica" w:hint="eastAsia"/>
          <w:sz w:val="32"/>
          <w:szCs w:val="32"/>
        </w:rPr>
        <w:t>商务</w:t>
      </w:r>
      <w:r w:rsidRPr="009F0245">
        <w:rPr>
          <w:rFonts w:ascii="仿宋_GB2312" w:eastAsia="仿宋_GB2312" w:hAnsi="Helvetica" w:cs="Helvetica" w:hint="eastAsia"/>
          <w:sz w:val="32"/>
          <w:szCs w:val="32"/>
        </w:rPr>
        <w:t>局</w:t>
      </w:r>
    </w:p>
    <w:p w:rsidR="009F0245" w:rsidRDefault="009F0245" w:rsidP="009F0245">
      <w:pPr>
        <w:pStyle w:val="a5"/>
        <w:shd w:val="clear" w:color="auto" w:fill="FFFFFF"/>
        <w:spacing w:before="0" w:beforeAutospacing="0" w:after="0" w:afterAutospacing="0"/>
        <w:ind w:firstLine="480"/>
        <w:rPr>
          <w:rFonts w:ascii="黑体" w:eastAsia="黑体" w:hAnsi="黑体" w:cs="Helvetica"/>
          <w:sz w:val="32"/>
          <w:szCs w:val="32"/>
        </w:rPr>
      </w:pPr>
      <w:r w:rsidRPr="009F0245">
        <w:rPr>
          <w:rFonts w:ascii="黑体" w:eastAsia="黑体" w:hAnsi="黑体" w:cs="Helvetica" w:hint="eastAsia"/>
          <w:sz w:val="32"/>
          <w:szCs w:val="32"/>
        </w:rPr>
        <w:t>二、岗位名称及职责</w:t>
      </w:r>
    </w:p>
    <w:tbl>
      <w:tblPr>
        <w:tblW w:w="88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7854"/>
      </w:tblGrid>
      <w:tr w:rsidR="004836B3" w:rsidRPr="00BF20F9" w:rsidTr="004836B3">
        <w:trPr>
          <w:cantSplit/>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4836B3" w:rsidRDefault="004836B3" w:rsidP="00634548">
            <w:pPr>
              <w:snapToGrid w:val="0"/>
              <w:jc w:val="center"/>
              <w:rPr>
                <w:rFonts w:ascii="宋体" w:hAnsi="宋体"/>
                <w:b/>
                <w:sz w:val="24"/>
              </w:rPr>
            </w:pPr>
            <w:r>
              <w:rPr>
                <w:rFonts w:ascii="宋体" w:hAnsi="宋体" w:hint="eastAsia"/>
                <w:b/>
                <w:sz w:val="24"/>
              </w:rPr>
              <w:t>执法</w:t>
            </w:r>
          </w:p>
          <w:p w:rsidR="004836B3" w:rsidRPr="00BF20F9" w:rsidRDefault="004836B3" w:rsidP="00634548">
            <w:pPr>
              <w:snapToGrid w:val="0"/>
              <w:jc w:val="center"/>
              <w:rPr>
                <w:rFonts w:ascii="宋体" w:hAnsi="宋体"/>
                <w:b/>
                <w:sz w:val="24"/>
              </w:rPr>
            </w:pPr>
            <w:r>
              <w:rPr>
                <w:rFonts w:ascii="宋体" w:hAnsi="宋体" w:hint="eastAsia"/>
                <w:b/>
                <w:sz w:val="24"/>
              </w:rPr>
              <w:t>岗位</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4836B3" w:rsidRPr="00BF20F9" w:rsidRDefault="004836B3" w:rsidP="00634548">
            <w:pPr>
              <w:snapToGrid w:val="0"/>
              <w:jc w:val="center"/>
              <w:rPr>
                <w:rFonts w:ascii="宋体" w:hAnsi="宋体"/>
                <w:b/>
                <w:sz w:val="24"/>
              </w:rPr>
            </w:pPr>
            <w:r>
              <w:rPr>
                <w:rFonts w:ascii="宋体" w:hAnsi="宋体" w:hint="eastAsia"/>
                <w:b/>
                <w:sz w:val="24"/>
              </w:rPr>
              <w:t>许可</w:t>
            </w:r>
            <w:r w:rsidRPr="00BF20F9">
              <w:rPr>
                <w:rFonts w:ascii="宋体" w:hAnsi="宋体" w:hint="eastAsia"/>
                <w:b/>
                <w:sz w:val="24"/>
              </w:rPr>
              <w:t>事项</w:t>
            </w:r>
          </w:p>
        </w:tc>
      </w:tr>
      <w:tr w:rsidR="004836B3" w:rsidRPr="00BF20F9" w:rsidTr="004836B3">
        <w:trPr>
          <w:cantSplit/>
          <w:trHeight w:val="60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4836B3" w:rsidRPr="004836B3" w:rsidRDefault="004836B3" w:rsidP="004836B3">
            <w:pPr>
              <w:snapToGrid w:val="0"/>
              <w:spacing w:line="276" w:lineRule="auto"/>
              <w:jc w:val="center"/>
              <w:rPr>
                <w:rFonts w:ascii="宋体" w:hAnsi="宋体"/>
                <w:sz w:val="24"/>
              </w:rPr>
            </w:pPr>
            <w:r w:rsidRPr="004836B3">
              <w:rPr>
                <w:rFonts w:ascii="宋体" w:hAnsi="宋体" w:hint="eastAsia"/>
                <w:sz w:val="24"/>
              </w:rPr>
              <w:t>流通处</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4836B3" w:rsidRPr="004836B3" w:rsidRDefault="004836B3" w:rsidP="004836B3">
            <w:pPr>
              <w:snapToGrid w:val="0"/>
              <w:spacing w:line="276" w:lineRule="auto"/>
              <w:jc w:val="center"/>
              <w:rPr>
                <w:rFonts w:ascii="宋体" w:hAnsi="宋体"/>
                <w:sz w:val="24"/>
              </w:rPr>
            </w:pPr>
            <w:r w:rsidRPr="004836B3">
              <w:rPr>
                <w:rFonts w:ascii="宋体" w:hAnsi="宋体" w:hint="eastAsia"/>
                <w:sz w:val="24"/>
              </w:rPr>
              <w:t>从事拍卖业务许可</w:t>
            </w:r>
          </w:p>
        </w:tc>
      </w:tr>
      <w:tr w:rsidR="004836B3" w:rsidRPr="00BF20F9" w:rsidTr="004836B3">
        <w:trPr>
          <w:cantSplit/>
          <w:trHeight w:val="729"/>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4836B3" w:rsidRPr="004836B3" w:rsidRDefault="00024DD7" w:rsidP="004836B3">
            <w:pPr>
              <w:snapToGrid w:val="0"/>
              <w:spacing w:line="276" w:lineRule="auto"/>
              <w:jc w:val="center"/>
              <w:rPr>
                <w:rFonts w:ascii="宋体" w:hAnsi="宋体"/>
                <w:sz w:val="24"/>
              </w:rPr>
            </w:pPr>
            <w:r>
              <w:rPr>
                <w:rFonts w:ascii="宋体" w:hAnsi="宋体" w:hint="eastAsia"/>
                <w:sz w:val="24"/>
              </w:rPr>
              <w:t>外</w:t>
            </w:r>
            <w:r w:rsidR="004836B3" w:rsidRPr="004836B3">
              <w:rPr>
                <w:rFonts w:ascii="宋体" w:hAnsi="宋体" w:hint="eastAsia"/>
                <w:sz w:val="24"/>
              </w:rPr>
              <w:t>贸处</w:t>
            </w:r>
          </w:p>
        </w:tc>
        <w:tc>
          <w:tcPr>
            <w:tcW w:w="7854" w:type="dxa"/>
            <w:tcBorders>
              <w:top w:val="single" w:sz="4" w:space="0" w:color="auto"/>
              <w:left w:val="single" w:sz="4" w:space="0" w:color="auto"/>
              <w:bottom w:val="single" w:sz="4" w:space="0" w:color="auto"/>
              <w:right w:val="single" w:sz="4" w:space="0" w:color="auto"/>
            </w:tcBorders>
            <w:shd w:val="clear" w:color="auto" w:fill="auto"/>
            <w:vAlign w:val="center"/>
          </w:tcPr>
          <w:p w:rsidR="004836B3" w:rsidRPr="004836B3" w:rsidRDefault="00024DD7" w:rsidP="004836B3">
            <w:pPr>
              <w:snapToGrid w:val="0"/>
              <w:spacing w:line="276" w:lineRule="auto"/>
              <w:jc w:val="center"/>
              <w:rPr>
                <w:rFonts w:ascii="宋体" w:hAnsi="宋体"/>
                <w:sz w:val="24"/>
              </w:rPr>
            </w:pPr>
            <w:r w:rsidRPr="00024DD7">
              <w:rPr>
                <w:rFonts w:ascii="宋体" w:hAnsi="宋体" w:hint="eastAsia"/>
                <w:sz w:val="24"/>
              </w:rPr>
              <w:t>限制进出</w:t>
            </w:r>
            <w:bookmarkStart w:id="0" w:name="_GoBack"/>
            <w:bookmarkEnd w:id="0"/>
            <w:r w:rsidRPr="00024DD7">
              <w:rPr>
                <w:rFonts w:ascii="宋体" w:hAnsi="宋体" w:hint="eastAsia"/>
                <w:sz w:val="24"/>
              </w:rPr>
              <w:t>口货物进出口许可</w:t>
            </w:r>
          </w:p>
        </w:tc>
      </w:tr>
      <w:tr w:rsidR="00945250" w:rsidTr="00945250">
        <w:trPr>
          <w:cantSplit/>
        </w:trPr>
        <w:tc>
          <w:tcPr>
            <w:tcW w:w="980" w:type="dxa"/>
            <w:shd w:val="clear" w:color="auto" w:fill="auto"/>
            <w:vAlign w:val="center"/>
          </w:tcPr>
          <w:p w:rsidR="00945250" w:rsidRDefault="00945250" w:rsidP="0052693B">
            <w:pPr>
              <w:snapToGrid w:val="0"/>
              <w:jc w:val="center"/>
              <w:rPr>
                <w:rFonts w:ascii="宋体" w:hAnsi="宋体"/>
                <w:b/>
                <w:sz w:val="24"/>
              </w:rPr>
            </w:pPr>
            <w:r>
              <w:rPr>
                <w:rFonts w:ascii="宋体" w:hAnsi="宋体" w:hint="eastAsia"/>
                <w:b/>
                <w:sz w:val="24"/>
              </w:rPr>
              <w:t>执法</w:t>
            </w:r>
          </w:p>
          <w:p w:rsidR="00945250" w:rsidRPr="00BF20F9" w:rsidRDefault="00945250" w:rsidP="0052693B">
            <w:pPr>
              <w:snapToGrid w:val="0"/>
              <w:jc w:val="center"/>
              <w:rPr>
                <w:rFonts w:ascii="宋体" w:hAnsi="宋体"/>
                <w:b/>
                <w:sz w:val="24"/>
              </w:rPr>
            </w:pPr>
            <w:r>
              <w:rPr>
                <w:rFonts w:ascii="宋体" w:hAnsi="宋体" w:hint="eastAsia"/>
                <w:b/>
                <w:sz w:val="24"/>
              </w:rPr>
              <w:t>岗位</w:t>
            </w:r>
          </w:p>
        </w:tc>
        <w:tc>
          <w:tcPr>
            <w:tcW w:w="7854" w:type="dxa"/>
            <w:shd w:val="clear" w:color="auto" w:fill="auto"/>
            <w:vAlign w:val="center"/>
          </w:tcPr>
          <w:p w:rsidR="00945250" w:rsidRPr="00BF20F9" w:rsidRDefault="00945250" w:rsidP="0052693B">
            <w:pPr>
              <w:snapToGrid w:val="0"/>
              <w:jc w:val="center"/>
              <w:rPr>
                <w:rFonts w:ascii="宋体" w:hAnsi="宋体"/>
                <w:b/>
                <w:sz w:val="24"/>
              </w:rPr>
            </w:pPr>
            <w:r w:rsidRPr="00BF20F9">
              <w:rPr>
                <w:rFonts w:ascii="宋体" w:hAnsi="宋体" w:hint="eastAsia"/>
                <w:b/>
                <w:sz w:val="24"/>
              </w:rPr>
              <w:t>处罚事项</w:t>
            </w:r>
          </w:p>
        </w:tc>
      </w:tr>
      <w:tr w:rsidR="00945250" w:rsidRPr="00CC4F5D" w:rsidTr="00945250">
        <w:trPr>
          <w:cantSplit/>
          <w:trHeight w:val="1314"/>
        </w:trPr>
        <w:tc>
          <w:tcPr>
            <w:tcW w:w="980" w:type="dxa"/>
            <w:vMerge w:val="restart"/>
            <w:shd w:val="clear" w:color="auto" w:fill="auto"/>
            <w:vAlign w:val="center"/>
          </w:tcPr>
          <w:p w:rsidR="00945250" w:rsidRPr="00BF20F9" w:rsidRDefault="00945250" w:rsidP="0052693B">
            <w:pPr>
              <w:snapToGrid w:val="0"/>
              <w:rPr>
                <w:rFonts w:ascii="宋体" w:hAnsi="宋体"/>
                <w:sz w:val="24"/>
              </w:rPr>
            </w:pPr>
            <w:r w:rsidRPr="00BF20F9">
              <w:rPr>
                <w:rFonts w:ascii="宋体" w:hAnsi="宋体" w:hint="eastAsia"/>
                <w:sz w:val="24"/>
              </w:rPr>
              <w:t>商贸处</w:t>
            </w:r>
          </w:p>
          <w:p w:rsidR="00945250" w:rsidRPr="00BF20F9" w:rsidRDefault="00945250" w:rsidP="0052693B">
            <w:pPr>
              <w:snapToGrid w:val="0"/>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对特许人不具备法定条件从事商业特许经营行为的处罚；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对特许人未依法向商务主管部门备案的行为的处罚；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对特许人违反说明和报告义务的行为的处罚；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对特许人违反信息披露义务行为的处罚；</w:t>
            </w:r>
          </w:p>
        </w:tc>
      </w:tr>
      <w:tr w:rsidR="00945250" w:rsidRPr="00CC4F5D" w:rsidTr="00945250">
        <w:trPr>
          <w:cantSplit/>
          <w:trHeight w:val="570"/>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对家电维修经营者违规行为的处罚</w:t>
            </w:r>
          </w:p>
        </w:tc>
      </w:tr>
      <w:tr w:rsidR="00945250" w:rsidRPr="00CC4F5D" w:rsidTr="00945250">
        <w:trPr>
          <w:cantSplit/>
          <w:trHeight w:val="2831"/>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对家庭服务机构违规未公开服务项目、收费标准和投诉监督电话行为的处罚；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对家庭服务机构未按要求建立工作档案、跟踪管理制度，不妥善处理投诉行为的处罚；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对家庭服务机构未按要求提供信息行为的处罚；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对家庭服务机构违法违规经营行为的处罚；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对家庭服务机构未按要求订立家庭服务合同、拒绝家庭服务员获取家庭服务合同的行为的处罚；</w:t>
            </w:r>
          </w:p>
        </w:tc>
      </w:tr>
      <w:tr w:rsidR="00945250" w:rsidRPr="00CC4F5D" w:rsidTr="00945250">
        <w:trPr>
          <w:cantSplit/>
          <w:trHeight w:val="519"/>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vAlign w:val="center"/>
          </w:tcPr>
          <w:p w:rsidR="00945250" w:rsidRPr="00BF20F9" w:rsidRDefault="00945250" w:rsidP="0052693B">
            <w:pPr>
              <w:tabs>
                <w:tab w:val="left" w:pos="1188"/>
              </w:tabs>
              <w:snapToGrid w:val="0"/>
              <w:spacing w:line="276" w:lineRule="auto"/>
              <w:rPr>
                <w:rFonts w:ascii="宋体" w:hAnsi="宋体"/>
                <w:sz w:val="24"/>
              </w:rPr>
            </w:pPr>
            <w:r w:rsidRPr="00BF20F9">
              <w:rPr>
                <w:rFonts w:ascii="宋体" w:hAnsi="宋体" w:hint="eastAsia"/>
                <w:sz w:val="24"/>
              </w:rPr>
              <w:t>对餐饮经营者违规行为的处罚</w:t>
            </w:r>
          </w:p>
        </w:tc>
      </w:tr>
      <w:tr w:rsidR="00945250" w:rsidRPr="00CC4F5D" w:rsidTr="00945250">
        <w:trPr>
          <w:cantSplit/>
          <w:trHeight w:val="556"/>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对洗染业经营者违规行为的处罚</w:t>
            </w:r>
          </w:p>
        </w:tc>
      </w:tr>
      <w:tr w:rsidR="00945250" w:rsidRPr="00CC4F5D" w:rsidTr="00945250">
        <w:trPr>
          <w:cantSplit/>
          <w:trHeight w:val="1120"/>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对零售商违规促销行为的处罚；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对零售商供应商违反公平交易行为的处罚；</w:t>
            </w:r>
          </w:p>
        </w:tc>
      </w:tr>
      <w:tr w:rsidR="00945250" w:rsidRPr="00CC4F5D" w:rsidTr="00945250">
        <w:trPr>
          <w:cantSplit/>
          <w:trHeight w:val="7078"/>
        </w:trPr>
        <w:tc>
          <w:tcPr>
            <w:tcW w:w="980" w:type="dxa"/>
            <w:vMerge w:val="restart"/>
            <w:shd w:val="clear" w:color="auto" w:fill="auto"/>
            <w:vAlign w:val="center"/>
          </w:tcPr>
          <w:p w:rsidR="00945250" w:rsidRPr="00BF20F9" w:rsidRDefault="00945250" w:rsidP="0052693B">
            <w:pPr>
              <w:snapToGrid w:val="0"/>
              <w:rPr>
                <w:rFonts w:ascii="宋体" w:hAnsi="宋体"/>
                <w:sz w:val="24"/>
              </w:rPr>
            </w:pPr>
            <w:r w:rsidRPr="00BF20F9">
              <w:rPr>
                <w:rFonts w:ascii="宋体" w:hAnsi="宋体" w:hint="eastAsia"/>
                <w:sz w:val="24"/>
              </w:rPr>
              <w:lastRenderedPageBreak/>
              <w:t>秩序处</w:t>
            </w:r>
          </w:p>
          <w:p w:rsidR="00945250" w:rsidRPr="00BF20F9" w:rsidRDefault="00945250" w:rsidP="0052693B">
            <w:pPr>
              <w:snapToGrid w:val="0"/>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对单用途商业预付卡发卡企业未按规定备案的处罚；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对发卡企业或售卡企业未按规定履行提示或告知义务的处罚；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对发卡企业或售卡企业未按规定留存购卡人及其代理人有关信息的处罚；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对发卡企业或售卡企业未按规定保存购卡人的登记信息5年以上的处罚；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对发卡企业或售卡企业未按规定执行大额购卡银行转账和信息登记等的处罚；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对发卡企业或售卡企业对使用单用途预付卡购买商品后退货的，未执行资金退卡规定的处罚；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对发卡企业或售卡企业未依单用途预付卡章程或协议约定提供退卡服务并按规定留存有关信息的处罚；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对发卡企业或售卡企业终止兑付未到期单用途卡，未按规定提供免费退卡服务或未履行公示义务的处罚；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对发卡企业未按规定严格管理预收资金的处罚；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对发卡企业预收资金余额超过规定比例的处罚；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对发卡企业未实行资金存管制度，以及存管资金低于规定比例的处罚；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对发卡企业未按规定确定资金存管账户，以及未与存管资金银行签订存管协议的处罚；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对发卡企业未按规定填报单用途卡业务信息的处罚；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对规模发卡企业、集团发卡企业、品牌发卡企业未按规定建立业务处理系统、发生重大技术故障时未立即向备案机关报告的处罚；</w:t>
            </w:r>
          </w:p>
        </w:tc>
      </w:tr>
      <w:tr w:rsidR="00945250" w:rsidRPr="00CC4F5D" w:rsidTr="00945250">
        <w:trPr>
          <w:cantSplit/>
          <w:trHeight w:val="1969"/>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商务职责范围内</w:t>
            </w:r>
            <w:r w:rsidRPr="00BF20F9">
              <w:rPr>
                <w:rFonts w:ascii="宋体" w:hAnsi="宋体"/>
                <w:sz w:val="24"/>
              </w:rPr>
              <w:t>，对成品油零售经营企业其他的违法、违规行为的行政处罚；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w:t>
            </w:r>
            <w:r w:rsidRPr="00BF20F9">
              <w:rPr>
                <w:rFonts w:ascii="宋体" w:hAnsi="宋体"/>
                <w:sz w:val="24"/>
              </w:rPr>
              <w:t>已取得成品油零售经营资格，但已不再具备成品油零售经营资格申请条件等情况企业的行政处罚；</w:t>
            </w:r>
          </w:p>
        </w:tc>
      </w:tr>
      <w:tr w:rsidR="00945250" w:rsidRPr="00CC4F5D" w:rsidTr="00945250">
        <w:trPr>
          <w:cantSplit/>
        </w:trPr>
        <w:tc>
          <w:tcPr>
            <w:tcW w:w="980" w:type="dxa"/>
            <w:vMerge w:val="restart"/>
            <w:shd w:val="clear" w:color="auto" w:fill="auto"/>
            <w:vAlign w:val="center"/>
          </w:tcPr>
          <w:p w:rsidR="00945250" w:rsidRPr="00BF20F9" w:rsidRDefault="00945250" w:rsidP="0052693B">
            <w:pPr>
              <w:snapToGrid w:val="0"/>
              <w:rPr>
                <w:rFonts w:ascii="宋体" w:hAnsi="宋体"/>
                <w:sz w:val="24"/>
              </w:rPr>
            </w:pPr>
            <w:r w:rsidRPr="00BF20F9">
              <w:rPr>
                <w:rFonts w:ascii="宋体" w:hAnsi="宋体" w:hint="eastAsia"/>
                <w:sz w:val="24"/>
              </w:rPr>
              <w:lastRenderedPageBreak/>
              <w:t>流通处</w:t>
            </w:r>
          </w:p>
          <w:p w:rsidR="00945250" w:rsidRPr="00BF20F9" w:rsidRDefault="00945250" w:rsidP="0052693B">
            <w:pPr>
              <w:snapToGrid w:val="0"/>
              <w:rPr>
                <w:rFonts w:ascii="宋体" w:hAnsi="宋体"/>
                <w:sz w:val="24"/>
              </w:rPr>
            </w:pPr>
          </w:p>
        </w:tc>
        <w:tc>
          <w:tcPr>
            <w:tcW w:w="7854" w:type="dxa"/>
            <w:shd w:val="clear" w:color="auto" w:fill="auto"/>
          </w:tcPr>
          <w:p w:rsidR="00945250" w:rsidRPr="00BF20F9" w:rsidRDefault="00945250" w:rsidP="0052693B">
            <w:pPr>
              <w:snapToGrid w:val="0"/>
              <w:rPr>
                <w:rFonts w:ascii="宋体" w:hAnsi="宋体"/>
                <w:sz w:val="24"/>
              </w:rPr>
            </w:pPr>
            <w:r w:rsidRPr="00BF20F9">
              <w:rPr>
                <w:rFonts w:ascii="宋体" w:hAnsi="宋体" w:hint="eastAsia"/>
                <w:sz w:val="24"/>
              </w:rPr>
              <w:t>对汽车经销商违反明示价格，不得在标价之外加价销售或收取额外费用规定的处罚；</w:t>
            </w:r>
          </w:p>
          <w:p w:rsidR="00945250" w:rsidRPr="00BF20F9" w:rsidRDefault="00945250" w:rsidP="0052693B">
            <w:pPr>
              <w:snapToGrid w:val="0"/>
              <w:rPr>
                <w:rFonts w:ascii="宋体" w:hAnsi="宋体"/>
                <w:sz w:val="24"/>
              </w:rPr>
            </w:pPr>
            <w:r w:rsidRPr="00BF20F9">
              <w:rPr>
                <w:rFonts w:ascii="宋体" w:hAnsi="宋体" w:hint="eastAsia"/>
                <w:sz w:val="24"/>
              </w:rPr>
              <w:t>对汽车经销商违反书面告知未授权情况规定的处罚；</w:t>
            </w:r>
          </w:p>
          <w:p w:rsidR="00945250" w:rsidRPr="00BF20F9" w:rsidRDefault="00945250" w:rsidP="0052693B">
            <w:pPr>
              <w:snapToGrid w:val="0"/>
              <w:rPr>
                <w:rFonts w:ascii="宋体" w:hAnsi="宋体"/>
                <w:sz w:val="24"/>
              </w:rPr>
            </w:pPr>
            <w:r w:rsidRPr="00BF20F9">
              <w:rPr>
                <w:rFonts w:ascii="宋体" w:hAnsi="宋体" w:hint="eastAsia"/>
                <w:sz w:val="24"/>
              </w:rPr>
              <w:t>对汽车供应商、经销商违反不得实施限定或强制行为规定的处罚；</w:t>
            </w:r>
          </w:p>
          <w:p w:rsidR="00945250" w:rsidRPr="00BF20F9" w:rsidRDefault="00945250" w:rsidP="0052693B">
            <w:pPr>
              <w:snapToGrid w:val="0"/>
              <w:rPr>
                <w:rFonts w:ascii="宋体" w:hAnsi="宋体"/>
                <w:sz w:val="24"/>
              </w:rPr>
            </w:pPr>
            <w:r w:rsidRPr="00BF20F9">
              <w:rPr>
                <w:rFonts w:ascii="宋体" w:hAnsi="宋体" w:hint="eastAsia"/>
                <w:sz w:val="24"/>
              </w:rPr>
              <w:t>对汽车经销商、售后服务商违反如实标明配件信息规定的处罚；</w:t>
            </w:r>
          </w:p>
          <w:p w:rsidR="00945250" w:rsidRPr="00BF20F9" w:rsidRDefault="00945250" w:rsidP="0052693B">
            <w:pPr>
              <w:snapToGrid w:val="0"/>
              <w:rPr>
                <w:rFonts w:ascii="宋体" w:hAnsi="宋体"/>
                <w:sz w:val="24"/>
              </w:rPr>
            </w:pPr>
            <w:r w:rsidRPr="00BF20F9">
              <w:rPr>
                <w:rFonts w:ascii="宋体" w:hAnsi="宋体" w:hint="eastAsia"/>
                <w:sz w:val="24"/>
              </w:rPr>
              <w:t>对汽车供应商违反不得限制配件销售规定的处罚；</w:t>
            </w:r>
          </w:p>
          <w:p w:rsidR="00945250" w:rsidRPr="00BF20F9" w:rsidRDefault="00945250" w:rsidP="0052693B">
            <w:pPr>
              <w:snapToGrid w:val="0"/>
              <w:rPr>
                <w:rFonts w:ascii="宋体" w:hAnsi="宋体"/>
                <w:sz w:val="24"/>
              </w:rPr>
            </w:pPr>
            <w:r w:rsidRPr="00BF20F9">
              <w:rPr>
                <w:rFonts w:ascii="宋体" w:hAnsi="宋体" w:hint="eastAsia"/>
                <w:sz w:val="24"/>
              </w:rPr>
              <w:t>对汽车供应商未公布停产或停售车型并不提供相应售后服务的处罚；</w:t>
            </w:r>
          </w:p>
          <w:p w:rsidR="00945250" w:rsidRPr="00BF20F9" w:rsidRDefault="00945250" w:rsidP="0052693B">
            <w:pPr>
              <w:snapToGrid w:val="0"/>
              <w:rPr>
                <w:rFonts w:ascii="宋体" w:hAnsi="宋体"/>
                <w:sz w:val="24"/>
              </w:rPr>
            </w:pPr>
            <w:r w:rsidRPr="00BF20F9">
              <w:rPr>
                <w:rFonts w:ascii="宋体" w:hAnsi="宋体" w:hint="eastAsia"/>
                <w:sz w:val="24"/>
              </w:rPr>
              <w:t>对汽车经销商违反不再经营后有关义务规定的处罚；</w:t>
            </w:r>
          </w:p>
          <w:p w:rsidR="00945250" w:rsidRPr="00BF20F9" w:rsidRDefault="00945250" w:rsidP="0052693B">
            <w:pPr>
              <w:snapToGrid w:val="0"/>
              <w:rPr>
                <w:rFonts w:ascii="宋体" w:hAnsi="宋体"/>
                <w:sz w:val="24"/>
              </w:rPr>
            </w:pPr>
            <w:r w:rsidRPr="00BF20F9">
              <w:rPr>
                <w:rFonts w:ascii="宋体" w:hAnsi="宋体" w:hint="eastAsia"/>
                <w:sz w:val="24"/>
              </w:rPr>
              <w:t>对汽车供应商违反不得限制或干涉经销商规定的处罚；</w:t>
            </w:r>
          </w:p>
          <w:p w:rsidR="00945250" w:rsidRPr="00BF20F9" w:rsidRDefault="00945250" w:rsidP="0052693B">
            <w:pPr>
              <w:snapToGrid w:val="0"/>
              <w:rPr>
                <w:rFonts w:ascii="宋体" w:hAnsi="宋体"/>
                <w:sz w:val="24"/>
              </w:rPr>
            </w:pPr>
            <w:r w:rsidRPr="00BF20F9">
              <w:rPr>
                <w:rFonts w:ascii="宋体" w:hAnsi="宋体" w:hint="eastAsia"/>
                <w:sz w:val="24"/>
              </w:rPr>
              <w:t>对汽车供应商违反制定或实施商务政策规定的处罚；</w:t>
            </w:r>
          </w:p>
          <w:p w:rsidR="00945250" w:rsidRPr="00BF20F9" w:rsidRDefault="00945250" w:rsidP="0052693B">
            <w:pPr>
              <w:snapToGrid w:val="0"/>
              <w:rPr>
                <w:rFonts w:ascii="宋体" w:hAnsi="宋体"/>
                <w:sz w:val="24"/>
              </w:rPr>
            </w:pPr>
            <w:r w:rsidRPr="00BF20F9">
              <w:rPr>
                <w:rFonts w:ascii="宋体" w:hAnsi="宋体" w:hint="eastAsia"/>
                <w:sz w:val="24"/>
              </w:rPr>
              <w:t>对汽车供应商违反不得直接销售规定的处罚；</w:t>
            </w:r>
          </w:p>
          <w:p w:rsidR="00945250" w:rsidRPr="00BF20F9" w:rsidRDefault="00945250" w:rsidP="0052693B">
            <w:pPr>
              <w:snapToGrid w:val="0"/>
              <w:rPr>
                <w:rFonts w:ascii="宋体" w:hAnsi="宋体"/>
                <w:sz w:val="24"/>
              </w:rPr>
            </w:pPr>
            <w:r w:rsidRPr="00BF20F9">
              <w:rPr>
                <w:rFonts w:ascii="宋体" w:hAnsi="宋体" w:hint="eastAsia"/>
                <w:sz w:val="24"/>
              </w:rPr>
              <w:t>对汽车经销商未明示售后服务政策或信息的处罚；</w:t>
            </w:r>
          </w:p>
          <w:p w:rsidR="00945250" w:rsidRPr="00BF20F9" w:rsidRDefault="00945250" w:rsidP="0052693B">
            <w:pPr>
              <w:snapToGrid w:val="0"/>
              <w:rPr>
                <w:rFonts w:ascii="宋体" w:hAnsi="宋体"/>
                <w:sz w:val="24"/>
              </w:rPr>
            </w:pPr>
            <w:r w:rsidRPr="00BF20F9">
              <w:rPr>
                <w:rFonts w:ascii="宋体" w:hAnsi="宋体" w:hint="eastAsia"/>
                <w:sz w:val="24"/>
              </w:rPr>
              <w:t>对汽车经销商未履行核实义务、未如实开具发票的处罚；</w:t>
            </w:r>
          </w:p>
          <w:p w:rsidR="00945250" w:rsidRPr="00BF20F9" w:rsidRDefault="00945250" w:rsidP="0052693B">
            <w:pPr>
              <w:snapToGrid w:val="0"/>
              <w:rPr>
                <w:rFonts w:ascii="宋体" w:hAnsi="宋体"/>
                <w:sz w:val="24"/>
              </w:rPr>
            </w:pPr>
            <w:r w:rsidRPr="00BF20F9">
              <w:rPr>
                <w:rFonts w:ascii="宋体" w:hAnsi="宋体" w:hint="eastAsia"/>
                <w:sz w:val="24"/>
              </w:rPr>
              <w:t>对汽车供应商、经销商未建立或执行消费者投诉制度的处罚；</w:t>
            </w:r>
          </w:p>
          <w:p w:rsidR="00945250" w:rsidRPr="00BF20F9" w:rsidRDefault="00945250" w:rsidP="0052693B">
            <w:pPr>
              <w:snapToGrid w:val="0"/>
              <w:rPr>
                <w:rFonts w:ascii="宋体" w:hAnsi="宋体"/>
                <w:sz w:val="24"/>
              </w:rPr>
            </w:pPr>
            <w:r w:rsidRPr="00BF20F9">
              <w:rPr>
                <w:rFonts w:ascii="宋体" w:hAnsi="宋体" w:hint="eastAsia"/>
                <w:sz w:val="24"/>
              </w:rPr>
              <w:t>对汽车供应商、经销商未按规定公示售后服务商名单的处罚；</w:t>
            </w:r>
          </w:p>
          <w:p w:rsidR="00945250" w:rsidRPr="00BF20F9" w:rsidRDefault="00945250" w:rsidP="0052693B">
            <w:pPr>
              <w:snapToGrid w:val="0"/>
              <w:rPr>
                <w:rFonts w:ascii="宋体" w:hAnsi="宋体"/>
                <w:sz w:val="24"/>
              </w:rPr>
            </w:pPr>
            <w:r w:rsidRPr="00BF20F9">
              <w:rPr>
                <w:rFonts w:ascii="宋体" w:hAnsi="宋体" w:hint="eastAsia"/>
                <w:sz w:val="24"/>
              </w:rPr>
              <w:t>对汽车供应商、经销商未按规定进行信息备案或报送的处罚；</w:t>
            </w:r>
          </w:p>
          <w:p w:rsidR="00945250" w:rsidRPr="00BF20F9" w:rsidRDefault="00945250" w:rsidP="0052693B">
            <w:pPr>
              <w:snapToGrid w:val="0"/>
              <w:rPr>
                <w:rFonts w:ascii="宋体" w:hAnsi="宋体"/>
                <w:sz w:val="24"/>
              </w:rPr>
            </w:pPr>
            <w:r w:rsidRPr="00BF20F9">
              <w:rPr>
                <w:rFonts w:ascii="宋体" w:hAnsi="宋体" w:hint="eastAsia"/>
                <w:sz w:val="24"/>
              </w:rPr>
              <w:t>对汽车经销商违反信息档案规定的处罚；</w:t>
            </w:r>
          </w:p>
        </w:tc>
      </w:tr>
      <w:tr w:rsidR="00945250" w:rsidRPr="00CC4F5D" w:rsidTr="00945250">
        <w:trPr>
          <w:cantSplit/>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tcPr>
          <w:p w:rsidR="00945250" w:rsidRPr="00BF20F9" w:rsidRDefault="00945250" w:rsidP="0052693B">
            <w:pPr>
              <w:snapToGrid w:val="0"/>
              <w:rPr>
                <w:rFonts w:ascii="宋体" w:hAnsi="宋体"/>
                <w:sz w:val="24"/>
              </w:rPr>
            </w:pPr>
            <w:r w:rsidRPr="00BF20F9">
              <w:rPr>
                <w:rFonts w:ascii="宋体" w:hAnsi="宋体" w:hint="eastAsia"/>
                <w:sz w:val="24"/>
              </w:rPr>
              <w:t>对出租、擅自转让拍卖经营权行为的处罚；</w:t>
            </w:r>
          </w:p>
          <w:p w:rsidR="00945250" w:rsidRPr="00BF20F9" w:rsidRDefault="00945250" w:rsidP="0052693B">
            <w:pPr>
              <w:snapToGrid w:val="0"/>
              <w:rPr>
                <w:rFonts w:ascii="宋体" w:hAnsi="宋体"/>
                <w:sz w:val="24"/>
              </w:rPr>
            </w:pPr>
            <w:r w:rsidRPr="00BF20F9">
              <w:rPr>
                <w:rFonts w:ascii="宋体" w:hAnsi="宋体" w:hint="eastAsia"/>
                <w:sz w:val="24"/>
              </w:rPr>
              <w:t>对雇佣未依法注册的拍卖师或其他人员充任拍卖师主持拍卖活动行为的处罚；</w:t>
            </w:r>
          </w:p>
          <w:p w:rsidR="00945250" w:rsidRPr="00BF20F9" w:rsidRDefault="00945250" w:rsidP="0052693B">
            <w:pPr>
              <w:snapToGrid w:val="0"/>
              <w:rPr>
                <w:rFonts w:ascii="宋体" w:hAnsi="宋体"/>
                <w:sz w:val="24"/>
              </w:rPr>
            </w:pPr>
            <w:r w:rsidRPr="00BF20F9">
              <w:rPr>
                <w:rFonts w:ascii="宋体" w:hAnsi="宋体" w:hint="eastAsia"/>
                <w:sz w:val="24"/>
              </w:rPr>
              <w:t>对拍卖前违规进行公告或展示行为的处罚；</w:t>
            </w:r>
          </w:p>
        </w:tc>
      </w:tr>
      <w:tr w:rsidR="00945250" w:rsidRPr="00CC4F5D" w:rsidTr="00945250">
        <w:trPr>
          <w:cantSplit/>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tcPr>
          <w:p w:rsidR="00945250" w:rsidRPr="00BF20F9" w:rsidRDefault="00945250" w:rsidP="0052693B">
            <w:pPr>
              <w:snapToGrid w:val="0"/>
              <w:rPr>
                <w:rFonts w:ascii="宋体" w:hAnsi="宋体"/>
                <w:sz w:val="24"/>
              </w:rPr>
            </w:pPr>
            <w:r w:rsidRPr="00BF20F9">
              <w:rPr>
                <w:rFonts w:ascii="宋体" w:hAnsi="宋体" w:hint="eastAsia"/>
                <w:sz w:val="24"/>
              </w:rPr>
              <w:t>对未取得资质认定，擅自从事报废机动车回收活动的处罚；</w:t>
            </w:r>
          </w:p>
          <w:p w:rsidR="00945250" w:rsidRPr="00BF20F9" w:rsidRDefault="00945250" w:rsidP="0052693B">
            <w:pPr>
              <w:snapToGrid w:val="0"/>
              <w:rPr>
                <w:rFonts w:ascii="宋体" w:hAnsi="宋体"/>
                <w:sz w:val="24"/>
              </w:rPr>
            </w:pPr>
            <w:r w:rsidRPr="00BF20F9">
              <w:rPr>
                <w:rFonts w:ascii="宋体" w:hAnsi="宋体" w:hint="eastAsia"/>
                <w:sz w:val="24"/>
              </w:rPr>
              <w:t>对报废机动车回收企业违规出售报废机动车“五大总成”和其他零部件的处罚；</w:t>
            </w:r>
          </w:p>
          <w:p w:rsidR="00945250" w:rsidRPr="00BF20F9" w:rsidRDefault="00945250" w:rsidP="0052693B">
            <w:pPr>
              <w:snapToGrid w:val="0"/>
              <w:rPr>
                <w:rFonts w:ascii="宋体" w:hAnsi="宋体"/>
                <w:sz w:val="24"/>
              </w:rPr>
            </w:pPr>
            <w:r w:rsidRPr="00BF20F9">
              <w:rPr>
                <w:rFonts w:ascii="宋体" w:hAnsi="宋体" w:hint="eastAsia"/>
                <w:sz w:val="24"/>
              </w:rPr>
              <w:t>对回收的报废机动车，未按规定及时向公安机关交通管理部门办理注销登记并将注销证明转交机动车所有人的处罚；</w:t>
            </w:r>
          </w:p>
          <w:p w:rsidR="00945250" w:rsidRPr="00BF20F9" w:rsidRDefault="00945250" w:rsidP="0052693B">
            <w:pPr>
              <w:snapToGrid w:val="0"/>
              <w:rPr>
                <w:rFonts w:ascii="宋体" w:hAnsi="宋体"/>
                <w:sz w:val="24"/>
              </w:rPr>
            </w:pPr>
            <w:r w:rsidRPr="00BF20F9">
              <w:rPr>
                <w:rFonts w:ascii="宋体" w:hAnsi="宋体" w:hint="eastAsia"/>
                <w:sz w:val="24"/>
              </w:rPr>
              <w:t>对未如实记录回收的报废机动车“五大总成”等主要部件信息并上传信息系统的处罚；</w:t>
            </w:r>
          </w:p>
        </w:tc>
      </w:tr>
      <w:tr w:rsidR="00945250" w:rsidRPr="00CC4F5D" w:rsidTr="00945250">
        <w:trPr>
          <w:cantSplit/>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tcPr>
          <w:p w:rsidR="00945250" w:rsidRPr="00BF20F9" w:rsidRDefault="00945250" w:rsidP="0052693B">
            <w:pPr>
              <w:snapToGrid w:val="0"/>
              <w:rPr>
                <w:rFonts w:ascii="宋体" w:hAnsi="宋体"/>
                <w:sz w:val="24"/>
              </w:rPr>
            </w:pPr>
            <w:r w:rsidRPr="00BF20F9">
              <w:rPr>
                <w:rFonts w:ascii="宋体" w:hAnsi="宋体" w:hint="eastAsia"/>
                <w:sz w:val="24"/>
              </w:rPr>
              <w:t>对经营者违反旧电器电子产品登记建档义务的处罚；</w:t>
            </w:r>
          </w:p>
          <w:p w:rsidR="00945250" w:rsidRPr="00BF20F9" w:rsidRDefault="00945250" w:rsidP="0052693B">
            <w:pPr>
              <w:snapToGrid w:val="0"/>
              <w:rPr>
                <w:rFonts w:ascii="宋体" w:hAnsi="宋体"/>
                <w:sz w:val="24"/>
              </w:rPr>
            </w:pPr>
            <w:r w:rsidRPr="00BF20F9">
              <w:rPr>
                <w:rFonts w:ascii="宋体" w:hAnsi="宋体" w:hint="eastAsia"/>
                <w:sz w:val="24"/>
              </w:rPr>
              <w:t>对经营者违反旧电器电子产品信息、标识、说明等义务的处罚；</w:t>
            </w:r>
          </w:p>
          <w:p w:rsidR="00945250" w:rsidRPr="00BF20F9" w:rsidRDefault="00945250" w:rsidP="0052693B">
            <w:pPr>
              <w:snapToGrid w:val="0"/>
              <w:rPr>
                <w:rFonts w:ascii="宋体" w:hAnsi="宋体"/>
                <w:sz w:val="24"/>
              </w:rPr>
            </w:pPr>
            <w:r w:rsidRPr="00BF20F9">
              <w:rPr>
                <w:rFonts w:ascii="宋体" w:hAnsi="宋体" w:hint="eastAsia"/>
                <w:sz w:val="24"/>
              </w:rPr>
              <w:t>对经营者收购、销售法定禁止收购、销售的旧电子电器产品行为的处罚；</w:t>
            </w:r>
          </w:p>
        </w:tc>
      </w:tr>
      <w:tr w:rsidR="00945250" w:rsidRPr="00CC4F5D" w:rsidTr="00945250">
        <w:trPr>
          <w:cantSplit/>
        </w:trPr>
        <w:tc>
          <w:tcPr>
            <w:tcW w:w="980" w:type="dxa"/>
            <w:vMerge/>
            <w:shd w:val="clear" w:color="auto" w:fill="auto"/>
            <w:vAlign w:val="center"/>
          </w:tcPr>
          <w:p w:rsidR="00945250" w:rsidRPr="00BF20F9" w:rsidRDefault="00945250" w:rsidP="0052693B">
            <w:pPr>
              <w:snapToGrid w:val="0"/>
              <w:rPr>
                <w:rFonts w:ascii="宋体" w:hAnsi="宋体"/>
                <w:sz w:val="24"/>
              </w:rPr>
            </w:pPr>
          </w:p>
        </w:tc>
        <w:tc>
          <w:tcPr>
            <w:tcW w:w="7854" w:type="dxa"/>
            <w:shd w:val="clear" w:color="auto" w:fill="auto"/>
            <w:vAlign w:val="center"/>
          </w:tcPr>
          <w:p w:rsidR="00945250" w:rsidRPr="00BF20F9" w:rsidRDefault="00945250" w:rsidP="0052693B">
            <w:pPr>
              <w:snapToGrid w:val="0"/>
              <w:rPr>
                <w:rFonts w:ascii="宋体" w:hAnsi="宋体"/>
                <w:sz w:val="24"/>
              </w:rPr>
            </w:pPr>
            <w:r w:rsidRPr="00BF20F9">
              <w:rPr>
                <w:rFonts w:ascii="宋体" w:hAnsi="宋体" w:hint="eastAsia"/>
                <w:sz w:val="24"/>
              </w:rPr>
              <w:t>对违反商品现货市场交易特别规定行为的处罚</w:t>
            </w:r>
          </w:p>
        </w:tc>
      </w:tr>
      <w:tr w:rsidR="00945250" w:rsidRPr="00CC4F5D" w:rsidTr="00945250">
        <w:trPr>
          <w:cantSplit/>
          <w:trHeight w:val="1833"/>
        </w:trPr>
        <w:tc>
          <w:tcPr>
            <w:tcW w:w="980" w:type="dxa"/>
            <w:vMerge w:val="restart"/>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外经处</w:t>
            </w:r>
          </w:p>
          <w:p w:rsidR="00945250" w:rsidRPr="00BF20F9" w:rsidRDefault="00945250" w:rsidP="0052693B">
            <w:pPr>
              <w:snapToGrid w:val="0"/>
              <w:spacing w:line="276" w:lineRule="auto"/>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对违反对外承包工程质量和安全生产管理行为的处罚；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对违反对外承包工程承包和分包规定行为的处罚；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对违反对外承包工程报告义务的处罚；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对外承包工程单位损害外派人员利益行为的处罚；</w:t>
            </w:r>
          </w:p>
        </w:tc>
      </w:tr>
      <w:tr w:rsidR="00945250" w:rsidRPr="00CC4F5D" w:rsidTr="00945250">
        <w:trPr>
          <w:cantSplit/>
          <w:trHeight w:val="1830"/>
        </w:trPr>
        <w:tc>
          <w:tcPr>
            <w:tcW w:w="980" w:type="dxa"/>
            <w:vMerge/>
            <w:shd w:val="clear" w:color="auto" w:fill="auto"/>
            <w:vAlign w:val="center"/>
          </w:tcPr>
          <w:p w:rsidR="00945250" w:rsidRPr="00BF20F9" w:rsidRDefault="00945250" w:rsidP="0052693B">
            <w:pPr>
              <w:snapToGrid w:val="0"/>
              <w:spacing w:line="276" w:lineRule="auto"/>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对企业以提供虚假材料等不正当手段办理备案并取得《企业境外投资证书》的处罚；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对企业伪造、涂改、出租、出借或以任何其他形式转让《企业境外投资证书》的处罚；</w:t>
            </w:r>
          </w:p>
        </w:tc>
      </w:tr>
      <w:tr w:rsidR="00945250" w:rsidRPr="00CC4F5D" w:rsidTr="00945250">
        <w:trPr>
          <w:cantSplit/>
          <w:trHeight w:val="2110"/>
        </w:trPr>
        <w:tc>
          <w:tcPr>
            <w:tcW w:w="980" w:type="dxa"/>
            <w:vMerge/>
            <w:shd w:val="clear" w:color="auto" w:fill="auto"/>
            <w:vAlign w:val="center"/>
          </w:tcPr>
          <w:p w:rsidR="00945250" w:rsidRPr="00BF20F9" w:rsidRDefault="00945250" w:rsidP="0052693B">
            <w:pPr>
              <w:snapToGrid w:val="0"/>
              <w:spacing w:line="276" w:lineRule="auto"/>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对违规组织劳务人员出国的处罚；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对外劳务合作企业未依法缴存或者补足备用金行为的处罚；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对外劳务合作企业损害劳务人员权益行为的处罚；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对外劳务合作企业劳务合同违规行为的处罚；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对外劳务合作企业未履行备案报告义务的处罚；</w:t>
            </w:r>
          </w:p>
        </w:tc>
      </w:tr>
      <w:tr w:rsidR="00945250" w:rsidRPr="00CC4F5D" w:rsidTr="00945250">
        <w:trPr>
          <w:cantSplit/>
          <w:trHeight w:val="5656"/>
        </w:trPr>
        <w:tc>
          <w:tcPr>
            <w:tcW w:w="980"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外贸处</w:t>
            </w:r>
          </w:p>
          <w:p w:rsidR="00945250" w:rsidRPr="00BF20F9" w:rsidRDefault="00945250" w:rsidP="0052693B">
            <w:pPr>
              <w:snapToGrid w:val="0"/>
              <w:spacing w:line="276" w:lineRule="auto"/>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对机电产品国际招投标评标委员会成员有关违规行为的处罚；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对机电产品中标人相关违规行为的处罚；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对机电产品招标机构有违招标投标法、招标实施条例规定及有违公平，违规操作相关行为的处罚；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对机电产品投标人在投标过程中违规行为的处罚；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对机电产品投标人串通投标等违反招标投标法、招标投标法实施条例行为的处罚；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对机电产品招标人在招投标之前和之后的过程中违规操作相关行为的处罚；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对机电产品招标人在招投标过程中有违公平，违规操作相关行为的处罚；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对机电产品招标人违规逃避国际招标行为的处罚；</w:t>
            </w:r>
          </w:p>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对机电产品国际招投标过程中，出让或者出租资格、资质证书供他人投标行为的处罚；</w:t>
            </w:r>
          </w:p>
        </w:tc>
      </w:tr>
      <w:tr w:rsidR="00945250" w:rsidRPr="00CC4F5D" w:rsidTr="00945250">
        <w:trPr>
          <w:cantSplit/>
        </w:trPr>
        <w:tc>
          <w:tcPr>
            <w:tcW w:w="980"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外资处</w:t>
            </w:r>
          </w:p>
          <w:p w:rsidR="00945250" w:rsidRPr="00BF20F9" w:rsidRDefault="00945250" w:rsidP="0052693B">
            <w:pPr>
              <w:snapToGrid w:val="0"/>
              <w:spacing w:line="276" w:lineRule="auto"/>
              <w:rPr>
                <w:rFonts w:ascii="宋体" w:hAnsi="宋体"/>
                <w:sz w:val="24"/>
              </w:rPr>
            </w:pPr>
          </w:p>
        </w:tc>
        <w:tc>
          <w:tcPr>
            <w:tcW w:w="7854" w:type="dxa"/>
            <w:shd w:val="clear" w:color="auto" w:fill="auto"/>
            <w:vAlign w:val="center"/>
          </w:tcPr>
          <w:p w:rsidR="00945250" w:rsidRPr="00BF20F9" w:rsidRDefault="00945250" w:rsidP="0052693B">
            <w:pPr>
              <w:snapToGrid w:val="0"/>
              <w:spacing w:line="276" w:lineRule="auto"/>
              <w:rPr>
                <w:rFonts w:ascii="宋体" w:hAnsi="宋体"/>
                <w:sz w:val="24"/>
              </w:rPr>
            </w:pPr>
            <w:r w:rsidRPr="00BF20F9">
              <w:rPr>
                <w:rFonts w:ascii="宋体" w:hAnsi="宋体" w:hint="eastAsia"/>
                <w:sz w:val="24"/>
              </w:rPr>
              <w:t>对外国投资者、外商投资企业未按照外商投资信息报告制度的要求报送投资信息的处罚</w:t>
            </w:r>
          </w:p>
        </w:tc>
      </w:tr>
    </w:tbl>
    <w:p w:rsidR="0069503D" w:rsidRPr="009F0245" w:rsidRDefault="0069503D" w:rsidP="009F0245">
      <w:pPr>
        <w:rPr>
          <w:rFonts w:ascii="仿宋_GB2312" w:eastAsia="仿宋_GB2312"/>
          <w:sz w:val="32"/>
          <w:szCs w:val="32"/>
        </w:rPr>
      </w:pPr>
    </w:p>
    <w:sectPr w:rsidR="0069503D" w:rsidRPr="009F0245" w:rsidSect="0069503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207" w:rsidRDefault="004F3207" w:rsidP="0028111A">
      <w:r>
        <w:separator/>
      </w:r>
    </w:p>
  </w:endnote>
  <w:endnote w:type="continuationSeparator" w:id="0">
    <w:p w:rsidR="004F3207" w:rsidRDefault="004F3207" w:rsidP="0028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207" w:rsidRDefault="004F3207" w:rsidP="0028111A">
      <w:r>
        <w:separator/>
      </w:r>
    </w:p>
  </w:footnote>
  <w:footnote w:type="continuationSeparator" w:id="0">
    <w:p w:rsidR="004F3207" w:rsidRDefault="004F3207" w:rsidP="00281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5F"/>
    <w:rsid w:val="00024DD7"/>
    <w:rsid w:val="0028111A"/>
    <w:rsid w:val="00395F7D"/>
    <w:rsid w:val="004836B3"/>
    <w:rsid w:val="004C47A6"/>
    <w:rsid w:val="004D7619"/>
    <w:rsid w:val="004F3207"/>
    <w:rsid w:val="005803A1"/>
    <w:rsid w:val="005E4AF5"/>
    <w:rsid w:val="00635B5F"/>
    <w:rsid w:val="0069503D"/>
    <w:rsid w:val="006A31E4"/>
    <w:rsid w:val="007B74AA"/>
    <w:rsid w:val="00945250"/>
    <w:rsid w:val="009A4EDC"/>
    <w:rsid w:val="009F0245"/>
    <w:rsid w:val="00DD5B22"/>
    <w:rsid w:val="00FB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18971C-72D1-4C25-94DB-5DC70C3C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F7D"/>
    <w:pPr>
      <w:widowControl w:val="0"/>
      <w:jc w:val="both"/>
    </w:pPr>
    <w:rPr>
      <w:kern w:val="2"/>
      <w:sz w:val="21"/>
      <w:szCs w:val="24"/>
    </w:rPr>
  </w:style>
  <w:style w:type="paragraph" w:styleId="1">
    <w:name w:val="heading 1"/>
    <w:basedOn w:val="a"/>
    <w:link w:val="1Char"/>
    <w:uiPriority w:val="9"/>
    <w:qFormat/>
    <w:rsid w:val="0028111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
    <w:qFormat/>
    <w:rsid w:val="0028111A"/>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11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111A"/>
    <w:rPr>
      <w:kern w:val="2"/>
      <w:sz w:val="18"/>
      <w:szCs w:val="18"/>
    </w:rPr>
  </w:style>
  <w:style w:type="paragraph" w:styleId="a4">
    <w:name w:val="footer"/>
    <w:basedOn w:val="a"/>
    <w:link w:val="Char0"/>
    <w:uiPriority w:val="99"/>
    <w:unhideWhenUsed/>
    <w:rsid w:val="0028111A"/>
    <w:pPr>
      <w:tabs>
        <w:tab w:val="center" w:pos="4153"/>
        <w:tab w:val="right" w:pos="8306"/>
      </w:tabs>
      <w:snapToGrid w:val="0"/>
      <w:jc w:val="left"/>
    </w:pPr>
    <w:rPr>
      <w:sz w:val="18"/>
      <w:szCs w:val="18"/>
    </w:rPr>
  </w:style>
  <w:style w:type="character" w:customStyle="1" w:styleId="Char0">
    <w:name w:val="页脚 Char"/>
    <w:basedOn w:val="a0"/>
    <w:link w:val="a4"/>
    <w:uiPriority w:val="99"/>
    <w:rsid w:val="0028111A"/>
    <w:rPr>
      <w:kern w:val="2"/>
      <w:sz w:val="18"/>
      <w:szCs w:val="18"/>
    </w:rPr>
  </w:style>
  <w:style w:type="character" w:customStyle="1" w:styleId="1Char">
    <w:name w:val="标题 1 Char"/>
    <w:basedOn w:val="a0"/>
    <w:link w:val="1"/>
    <w:uiPriority w:val="9"/>
    <w:rsid w:val="0028111A"/>
    <w:rPr>
      <w:rFonts w:ascii="宋体" w:hAnsi="宋体" w:cs="宋体"/>
      <w:b/>
      <w:bCs/>
      <w:kern w:val="36"/>
      <w:sz w:val="48"/>
      <w:szCs w:val="48"/>
    </w:rPr>
  </w:style>
  <w:style w:type="character" w:customStyle="1" w:styleId="2Char">
    <w:name w:val="标题 2 Char"/>
    <w:basedOn w:val="a0"/>
    <w:link w:val="2"/>
    <w:uiPriority w:val="9"/>
    <w:rsid w:val="0028111A"/>
    <w:rPr>
      <w:rFonts w:ascii="宋体" w:hAnsi="宋体" w:cs="宋体"/>
      <w:b/>
      <w:bCs/>
      <w:sz w:val="36"/>
      <w:szCs w:val="36"/>
    </w:rPr>
  </w:style>
  <w:style w:type="paragraph" w:styleId="a5">
    <w:name w:val="Normal (Web)"/>
    <w:basedOn w:val="a"/>
    <w:uiPriority w:val="99"/>
    <w:semiHidden/>
    <w:unhideWhenUsed/>
    <w:rsid w:val="0028111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216604">
      <w:bodyDiv w:val="1"/>
      <w:marLeft w:val="0"/>
      <w:marRight w:val="0"/>
      <w:marTop w:val="0"/>
      <w:marBottom w:val="0"/>
      <w:divBdr>
        <w:top w:val="none" w:sz="0" w:space="0" w:color="auto"/>
        <w:left w:val="none" w:sz="0" w:space="0" w:color="auto"/>
        <w:bottom w:val="none" w:sz="0" w:space="0" w:color="auto"/>
        <w:right w:val="none" w:sz="0" w:space="0" w:color="auto"/>
      </w:divBdr>
      <w:divsChild>
        <w:div w:id="489249786">
          <w:marLeft w:val="0"/>
          <w:marRight w:val="0"/>
          <w:marTop w:val="0"/>
          <w:marBottom w:val="0"/>
          <w:divBdr>
            <w:top w:val="none" w:sz="0" w:space="0" w:color="auto"/>
            <w:left w:val="none" w:sz="0" w:space="0" w:color="auto"/>
            <w:bottom w:val="none" w:sz="0" w:space="0" w:color="auto"/>
            <w:right w:val="none" w:sz="0" w:space="0" w:color="auto"/>
          </w:divBdr>
        </w:div>
        <w:div w:id="963996187">
          <w:marLeft w:val="0"/>
          <w:marRight w:val="0"/>
          <w:marTop w:val="0"/>
          <w:marBottom w:val="0"/>
          <w:divBdr>
            <w:top w:val="none" w:sz="0" w:space="0" w:color="auto"/>
            <w:left w:val="none" w:sz="0" w:space="0" w:color="auto"/>
            <w:bottom w:val="none" w:sz="0" w:space="0" w:color="auto"/>
            <w:right w:val="none" w:sz="0" w:space="0" w:color="auto"/>
          </w:divBdr>
        </w:div>
      </w:divsChild>
    </w:div>
    <w:div w:id="15586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356</Words>
  <Characters>2032</Characters>
  <Application>Microsoft Office Word</Application>
  <DocSecurity>0</DocSecurity>
  <Lines>16</Lines>
  <Paragraphs>4</Paragraphs>
  <ScaleCrop>false</ScaleCrop>
  <Company>Microsoft</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2023-12-11T02:26:00Z</cp:lastPrinted>
  <dcterms:created xsi:type="dcterms:W3CDTF">2023-11-22T05:51:00Z</dcterms:created>
  <dcterms:modified xsi:type="dcterms:W3CDTF">2024-11-14T03:00:00Z</dcterms:modified>
</cp:coreProperties>
</file>