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11" w:rsidRDefault="004A7878" w:rsidP="008C7F58">
      <w:pPr>
        <w:spacing w:afterLines="50" w:line="560" w:lineRule="exact"/>
        <w:jc w:val="center"/>
        <w:outlineLvl w:val="0"/>
        <w:rPr>
          <w:rFonts w:ascii="方正小标宋_GBK" w:eastAsia="方正小标宋_GBK" w:hAnsi="方正小标宋_GBK" w:cs="方正小标宋_GBK"/>
          <w:spacing w:val="6"/>
          <w:sz w:val="43"/>
          <w:szCs w:val="43"/>
          <w:lang w:eastAsia="zh-CN"/>
        </w:rPr>
      </w:pPr>
      <w:r>
        <w:rPr>
          <w:rFonts w:ascii="方正小标宋_GBK" w:eastAsia="方正小标宋_GBK" w:hAnsi="方正小标宋_GBK" w:cs="方正小标宋_GBK" w:hint="eastAsia"/>
          <w:spacing w:val="6"/>
          <w:sz w:val="43"/>
          <w:szCs w:val="43"/>
          <w:lang w:eastAsia="zh-CN"/>
        </w:rPr>
        <w:t>青岛市生态环境保护工程项目招标投标行政监督责任清单</w:t>
      </w:r>
    </w:p>
    <w:tbl>
      <w:tblPr>
        <w:tblStyle w:val="TableNormal"/>
        <w:tblW w:w="1474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81"/>
        <w:gridCol w:w="1615"/>
        <w:gridCol w:w="723"/>
        <w:gridCol w:w="1853"/>
        <w:gridCol w:w="2081"/>
        <w:gridCol w:w="2413"/>
        <w:gridCol w:w="2600"/>
        <w:gridCol w:w="2676"/>
      </w:tblGrid>
      <w:tr w:rsidR="00315411" w:rsidTr="005C4025">
        <w:trPr>
          <w:trHeight w:val="209"/>
        </w:trPr>
        <w:tc>
          <w:tcPr>
            <w:tcW w:w="781" w:type="dxa"/>
          </w:tcPr>
          <w:p w:rsidR="00315411" w:rsidRDefault="004A7878">
            <w:pPr>
              <w:spacing w:line="440" w:lineRule="exact"/>
              <w:jc w:val="center"/>
              <w:rPr>
                <w:rFonts w:ascii="黑体" w:eastAsia="黑体" w:hAnsi="黑体" w:cs="黑体"/>
                <w:spacing w:val="-4"/>
                <w:sz w:val="28"/>
                <w:szCs w:val="28"/>
              </w:rPr>
            </w:pPr>
            <w:r>
              <w:rPr>
                <w:rFonts w:ascii="黑体" w:eastAsia="黑体" w:hAnsi="黑体" w:cs="黑体"/>
                <w:spacing w:val="-4"/>
                <w:sz w:val="28"/>
                <w:szCs w:val="28"/>
              </w:rPr>
              <w:t>监督</w:t>
            </w:r>
          </w:p>
          <w:p w:rsidR="00315411" w:rsidRDefault="004A7878">
            <w:pPr>
              <w:spacing w:line="440" w:lineRule="exact"/>
              <w:jc w:val="center"/>
              <w:rPr>
                <w:rFonts w:ascii="黑体" w:eastAsia="黑体" w:hAnsi="黑体" w:cs="黑体"/>
                <w:sz w:val="28"/>
                <w:szCs w:val="28"/>
              </w:rPr>
            </w:pPr>
            <w:r>
              <w:rPr>
                <w:rFonts w:ascii="黑体" w:eastAsia="黑体" w:hAnsi="黑体" w:cs="黑体"/>
                <w:spacing w:val="-8"/>
                <w:sz w:val="28"/>
                <w:szCs w:val="28"/>
              </w:rPr>
              <w:t>部门</w:t>
            </w:r>
          </w:p>
        </w:tc>
        <w:tc>
          <w:tcPr>
            <w:tcW w:w="1615" w:type="dxa"/>
            <w:vAlign w:val="center"/>
          </w:tcPr>
          <w:p w:rsidR="00315411" w:rsidRDefault="004A7878">
            <w:pPr>
              <w:spacing w:line="400" w:lineRule="exact"/>
              <w:jc w:val="center"/>
              <w:rPr>
                <w:rFonts w:ascii="黑体" w:eastAsia="黑体" w:hAnsi="黑体" w:cs="黑体"/>
                <w:sz w:val="28"/>
                <w:szCs w:val="28"/>
              </w:rPr>
            </w:pPr>
            <w:r>
              <w:rPr>
                <w:rFonts w:ascii="黑体" w:eastAsia="黑体" w:hAnsi="黑体" w:cs="黑体"/>
                <w:spacing w:val="-1"/>
                <w:sz w:val="28"/>
                <w:szCs w:val="28"/>
              </w:rPr>
              <w:t>监督责任</w:t>
            </w:r>
          </w:p>
        </w:tc>
        <w:tc>
          <w:tcPr>
            <w:tcW w:w="0" w:type="auto"/>
            <w:gridSpan w:val="2"/>
            <w:vAlign w:val="center"/>
          </w:tcPr>
          <w:p w:rsidR="00315411" w:rsidRDefault="004A7878">
            <w:pPr>
              <w:spacing w:line="400" w:lineRule="exact"/>
              <w:jc w:val="center"/>
              <w:rPr>
                <w:rFonts w:ascii="黑体" w:eastAsia="黑体" w:hAnsi="黑体" w:cs="黑体"/>
                <w:sz w:val="28"/>
                <w:szCs w:val="28"/>
              </w:rPr>
            </w:pPr>
            <w:r>
              <w:rPr>
                <w:rFonts w:ascii="黑体" w:eastAsia="黑体" w:hAnsi="黑体" w:cs="黑体"/>
                <w:sz w:val="28"/>
                <w:szCs w:val="28"/>
              </w:rPr>
              <w:t>项目监督权限</w:t>
            </w:r>
          </w:p>
        </w:tc>
        <w:tc>
          <w:tcPr>
            <w:tcW w:w="2081" w:type="dxa"/>
            <w:vAlign w:val="center"/>
          </w:tcPr>
          <w:p w:rsidR="00315411" w:rsidRDefault="004A7878">
            <w:pPr>
              <w:spacing w:line="400" w:lineRule="exact"/>
              <w:jc w:val="center"/>
              <w:rPr>
                <w:rFonts w:ascii="黑体" w:eastAsia="黑体" w:hAnsi="黑体" w:cs="黑体"/>
                <w:spacing w:val="-1"/>
                <w:sz w:val="28"/>
                <w:szCs w:val="28"/>
              </w:rPr>
            </w:pPr>
            <w:r>
              <w:rPr>
                <w:rFonts w:ascii="黑体" w:eastAsia="黑体" w:hAnsi="黑体" w:cs="黑体"/>
                <w:spacing w:val="-1"/>
                <w:sz w:val="28"/>
                <w:szCs w:val="28"/>
              </w:rPr>
              <w:t>监督依据</w:t>
            </w:r>
          </w:p>
        </w:tc>
        <w:tc>
          <w:tcPr>
            <w:tcW w:w="2413" w:type="dxa"/>
            <w:vAlign w:val="center"/>
          </w:tcPr>
          <w:p w:rsidR="00315411" w:rsidRDefault="004A7878">
            <w:pPr>
              <w:spacing w:line="400" w:lineRule="exact"/>
              <w:jc w:val="center"/>
              <w:rPr>
                <w:rFonts w:ascii="黑体" w:eastAsia="黑体" w:hAnsi="黑体" w:cs="黑体"/>
                <w:spacing w:val="-1"/>
                <w:sz w:val="28"/>
                <w:szCs w:val="28"/>
              </w:rPr>
            </w:pPr>
            <w:r>
              <w:rPr>
                <w:rFonts w:ascii="黑体" w:eastAsia="黑体" w:hAnsi="黑体" w:cs="黑体"/>
                <w:spacing w:val="-1"/>
                <w:sz w:val="28"/>
                <w:szCs w:val="28"/>
              </w:rPr>
              <w:t>监督范围</w:t>
            </w:r>
          </w:p>
        </w:tc>
        <w:tc>
          <w:tcPr>
            <w:tcW w:w="2600" w:type="dxa"/>
            <w:vAlign w:val="center"/>
          </w:tcPr>
          <w:p w:rsidR="00315411" w:rsidRDefault="004A7878">
            <w:pPr>
              <w:spacing w:line="400" w:lineRule="exact"/>
              <w:jc w:val="center"/>
              <w:rPr>
                <w:rFonts w:ascii="黑体" w:eastAsia="黑体" w:hAnsi="黑体" w:cs="黑体"/>
                <w:spacing w:val="-1"/>
                <w:sz w:val="28"/>
                <w:szCs w:val="28"/>
              </w:rPr>
            </w:pPr>
            <w:r>
              <w:rPr>
                <w:rFonts w:ascii="黑体" w:eastAsia="黑体" w:hAnsi="黑体" w:cs="黑体"/>
                <w:spacing w:val="-1"/>
                <w:sz w:val="28"/>
                <w:szCs w:val="28"/>
              </w:rPr>
              <w:t>监督内容</w:t>
            </w:r>
          </w:p>
        </w:tc>
        <w:tc>
          <w:tcPr>
            <w:tcW w:w="2676" w:type="dxa"/>
            <w:vAlign w:val="center"/>
          </w:tcPr>
          <w:p w:rsidR="00315411" w:rsidRDefault="004A7878">
            <w:pPr>
              <w:spacing w:line="400" w:lineRule="exact"/>
              <w:jc w:val="center"/>
              <w:rPr>
                <w:rFonts w:ascii="黑体" w:eastAsia="黑体" w:hAnsi="黑体" w:cs="黑体"/>
                <w:spacing w:val="-1"/>
                <w:sz w:val="28"/>
                <w:szCs w:val="28"/>
              </w:rPr>
            </w:pPr>
            <w:r>
              <w:rPr>
                <w:rFonts w:ascii="黑体" w:eastAsia="黑体" w:hAnsi="黑体" w:cs="黑体"/>
                <w:spacing w:val="-1"/>
                <w:sz w:val="28"/>
                <w:szCs w:val="28"/>
              </w:rPr>
              <w:t>监管方式</w:t>
            </w:r>
          </w:p>
        </w:tc>
      </w:tr>
      <w:tr w:rsidR="00315411" w:rsidTr="005C4025">
        <w:trPr>
          <w:trHeight w:val="3132"/>
        </w:trPr>
        <w:tc>
          <w:tcPr>
            <w:tcW w:w="781" w:type="dxa"/>
            <w:vMerge w:val="restart"/>
            <w:tcBorders>
              <w:bottom w:val="nil"/>
            </w:tcBorders>
            <w:vAlign w:val="center"/>
          </w:tcPr>
          <w:p w:rsidR="005C4025" w:rsidRDefault="004A7878" w:rsidP="005C4025">
            <w:pPr>
              <w:pStyle w:val="TableText"/>
              <w:spacing w:line="320" w:lineRule="exact"/>
              <w:jc w:val="center"/>
              <w:rPr>
                <w:spacing w:val="-3"/>
                <w:lang w:eastAsia="zh-CN"/>
              </w:rPr>
            </w:pPr>
            <w:r>
              <w:rPr>
                <w:spacing w:val="-3"/>
                <w:lang w:eastAsia="zh-CN"/>
              </w:rPr>
              <w:t>生态环境行政主管部</w:t>
            </w:r>
          </w:p>
          <w:p w:rsidR="00315411" w:rsidRDefault="004A7878" w:rsidP="005C4025">
            <w:pPr>
              <w:pStyle w:val="TableText"/>
              <w:spacing w:line="320" w:lineRule="exact"/>
              <w:jc w:val="center"/>
              <w:rPr>
                <w:lang w:eastAsia="zh-CN"/>
              </w:rPr>
            </w:pPr>
            <w:r>
              <w:rPr>
                <w:lang w:eastAsia="zh-CN"/>
              </w:rPr>
              <w:t>门</w:t>
            </w:r>
          </w:p>
        </w:tc>
        <w:tc>
          <w:tcPr>
            <w:tcW w:w="1615" w:type="dxa"/>
            <w:vMerge w:val="restart"/>
            <w:tcBorders>
              <w:bottom w:val="nil"/>
            </w:tcBorders>
            <w:vAlign w:val="center"/>
          </w:tcPr>
          <w:p w:rsidR="00315411" w:rsidRDefault="004A7878">
            <w:pPr>
              <w:pStyle w:val="TableText"/>
              <w:spacing w:line="320" w:lineRule="exact"/>
              <w:jc w:val="both"/>
              <w:rPr>
                <w:lang w:eastAsia="zh-CN"/>
              </w:rPr>
            </w:pPr>
            <w:r>
              <w:rPr>
                <w:rFonts w:hint="eastAsia"/>
                <w:spacing w:val="-1"/>
                <w:lang w:eastAsia="zh-CN"/>
              </w:rPr>
              <w:t>市</w:t>
            </w:r>
            <w:r>
              <w:rPr>
                <w:spacing w:val="-1"/>
                <w:lang w:eastAsia="zh-CN"/>
              </w:rPr>
              <w:t>生态环境</w:t>
            </w:r>
            <w:r>
              <w:rPr>
                <w:rFonts w:hint="eastAsia"/>
                <w:spacing w:val="-1"/>
                <w:lang w:eastAsia="zh-CN"/>
              </w:rPr>
              <w:t>局</w:t>
            </w:r>
            <w:r>
              <w:rPr>
                <w:spacing w:val="-1"/>
                <w:lang w:eastAsia="zh-CN"/>
              </w:rPr>
              <w:t>、</w:t>
            </w:r>
            <w:r>
              <w:rPr>
                <w:rFonts w:hint="eastAsia"/>
                <w:spacing w:val="-1"/>
                <w:lang w:eastAsia="zh-CN"/>
              </w:rPr>
              <w:t>区（市）</w:t>
            </w:r>
            <w:r>
              <w:rPr>
                <w:spacing w:val="-1"/>
                <w:lang w:eastAsia="zh-CN"/>
              </w:rPr>
              <w:t>生态环境</w:t>
            </w:r>
            <w:r>
              <w:rPr>
                <w:rFonts w:hint="eastAsia"/>
                <w:spacing w:val="-1"/>
                <w:lang w:eastAsia="zh-CN"/>
              </w:rPr>
              <w:t>分</w:t>
            </w:r>
            <w:r>
              <w:rPr>
                <w:spacing w:val="-1"/>
                <w:lang w:eastAsia="zh-CN"/>
              </w:rPr>
              <w:t>局按管理权限分别负责生态环境保护工程项目招标投标活动的行政监督工作，国家另有规定</w:t>
            </w:r>
            <w:r>
              <w:rPr>
                <w:spacing w:val="-4"/>
                <w:lang w:eastAsia="zh-CN"/>
              </w:rPr>
              <w:t>的，从其规定。</w:t>
            </w:r>
          </w:p>
        </w:tc>
        <w:tc>
          <w:tcPr>
            <w:tcW w:w="723" w:type="dxa"/>
            <w:vAlign w:val="center"/>
          </w:tcPr>
          <w:p w:rsidR="00315411" w:rsidRDefault="004A7878">
            <w:pPr>
              <w:pStyle w:val="TableText"/>
              <w:spacing w:line="360" w:lineRule="exact"/>
              <w:jc w:val="center"/>
            </w:pPr>
            <w:r>
              <w:rPr>
                <w:rFonts w:hint="eastAsia"/>
                <w:spacing w:val="-13"/>
                <w:lang w:eastAsia="zh-CN"/>
              </w:rPr>
              <w:t>市</w:t>
            </w:r>
            <w:r>
              <w:rPr>
                <w:spacing w:val="-13"/>
              </w:rPr>
              <w:t>级</w:t>
            </w:r>
          </w:p>
        </w:tc>
        <w:tc>
          <w:tcPr>
            <w:tcW w:w="1853" w:type="dxa"/>
            <w:vAlign w:val="center"/>
          </w:tcPr>
          <w:p w:rsidR="00315411" w:rsidRDefault="004A7878" w:rsidP="006418B8">
            <w:pPr>
              <w:pStyle w:val="TableText"/>
              <w:spacing w:line="320" w:lineRule="exact"/>
              <w:jc w:val="both"/>
              <w:rPr>
                <w:lang w:eastAsia="zh-CN"/>
              </w:rPr>
            </w:pPr>
            <w:r>
              <w:rPr>
                <w:rFonts w:hint="eastAsia"/>
                <w:spacing w:val="-1"/>
                <w:lang w:eastAsia="zh-CN"/>
              </w:rPr>
              <w:t>市</w:t>
            </w:r>
            <w:r>
              <w:rPr>
                <w:spacing w:val="-1"/>
                <w:lang w:eastAsia="zh-CN"/>
              </w:rPr>
              <w:t>生态环境</w:t>
            </w:r>
            <w:r>
              <w:rPr>
                <w:rFonts w:hint="eastAsia"/>
                <w:spacing w:val="-1"/>
                <w:lang w:eastAsia="zh-CN"/>
              </w:rPr>
              <w:t>局</w:t>
            </w:r>
            <w:r>
              <w:rPr>
                <w:spacing w:val="-1"/>
                <w:lang w:eastAsia="zh-CN"/>
              </w:rPr>
              <w:t>负责指</w:t>
            </w:r>
            <w:r>
              <w:rPr>
                <w:lang w:eastAsia="zh-CN"/>
              </w:rPr>
              <w:t>导全</w:t>
            </w:r>
            <w:r>
              <w:rPr>
                <w:rFonts w:hint="eastAsia"/>
                <w:lang w:eastAsia="zh-CN"/>
              </w:rPr>
              <w:t>市</w:t>
            </w:r>
            <w:r>
              <w:rPr>
                <w:lang w:eastAsia="zh-CN"/>
              </w:rPr>
              <w:t>生态环境保护工程项目招标投标行政监督工作，</w:t>
            </w:r>
            <w:r>
              <w:rPr>
                <w:rFonts w:hint="eastAsia"/>
                <w:lang w:eastAsia="zh-CN"/>
              </w:rPr>
              <w:t>并负责</w:t>
            </w:r>
            <w:r>
              <w:rPr>
                <w:rFonts w:hint="eastAsia"/>
                <w:spacing w:val="-1"/>
                <w:lang w:eastAsia="zh-CN"/>
              </w:rPr>
              <w:t>市</w:t>
            </w:r>
            <w:r w:rsidR="006418B8">
              <w:rPr>
                <w:rFonts w:hint="eastAsia"/>
                <w:spacing w:val="-1"/>
                <w:lang w:eastAsia="zh-CN"/>
              </w:rPr>
              <w:t>生态环境局审批</w:t>
            </w:r>
            <w:r>
              <w:rPr>
                <w:lang w:eastAsia="zh-CN"/>
              </w:rPr>
              <w:t>、</w:t>
            </w:r>
            <w:r>
              <w:rPr>
                <w:spacing w:val="-1"/>
                <w:lang w:eastAsia="zh-CN"/>
              </w:rPr>
              <w:t>核准、备案的生态环</w:t>
            </w:r>
            <w:r>
              <w:rPr>
                <w:lang w:eastAsia="zh-CN"/>
              </w:rPr>
              <w:t>境保护工程项目招标</w:t>
            </w:r>
            <w:r>
              <w:rPr>
                <w:spacing w:val="-1"/>
                <w:lang w:eastAsia="zh-CN"/>
              </w:rPr>
              <w:t>投标行政监督工作</w:t>
            </w:r>
            <w:r>
              <w:rPr>
                <w:rFonts w:hint="eastAsia"/>
                <w:spacing w:val="-1"/>
                <w:lang w:eastAsia="zh-CN"/>
              </w:rPr>
              <w:t>。</w:t>
            </w:r>
          </w:p>
        </w:tc>
        <w:tc>
          <w:tcPr>
            <w:tcW w:w="2081" w:type="dxa"/>
            <w:vMerge w:val="restart"/>
            <w:tcBorders>
              <w:bottom w:val="nil"/>
            </w:tcBorders>
            <w:vAlign w:val="center"/>
          </w:tcPr>
          <w:p w:rsidR="00315411" w:rsidRDefault="004A7878">
            <w:pPr>
              <w:pStyle w:val="TableText"/>
              <w:spacing w:line="320" w:lineRule="exact"/>
              <w:jc w:val="both"/>
              <w:rPr>
                <w:lang w:eastAsia="zh-CN"/>
              </w:rPr>
            </w:pPr>
            <w:r>
              <w:rPr>
                <w:spacing w:val="-1"/>
                <w:lang w:eastAsia="zh-CN"/>
              </w:rPr>
              <w:t>《中华人民共和国招标投标法》</w:t>
            </w:r>
            <w:r>
              <w:rPr>
                <w:rFonts w:hint="eastAsia"/>
                <w:spacing w:val="-1"/>
                <w:lang w:eastAsia="zh-CN"/>
              </w:rPr>
              <w:t>、</w:t>
            </w:r>
            <w:r>
              <w:rPr>
                <w:spacing w:val="-1"/>
                <w:lang w:eastAsia="zh-CN"/>
              </w:rPr>
              <w:t>《中华人民共和国招标投标法实施条例》</w:t>
            </w:r>
            <w:r>
              <w:rPr>
                <w:rFonts w:hint="eastAsia"/>
                <w:spacing w:val="-1"/>
                <w:lang w:eastAsia="zh-CN"/>
              </w:rPr>
              <w:t>、</w:t>
            </w:r>
            <w:r>
              <w:rPr>
                <w:spacing w:val="-1"/>
                <w:lang w:eastAsia="zh-CN"/>
              </w:rPr>
              <w:t>《电子招标投标办法》</w:t>
            </w:r>
            <w:r>
              <w:rPr>
                <w:rFonts w:hint="eastAsia"/>
                <w:spacing w:val="-1"/>
                <w:lang w:eastAsia="zh-CN"/>
              </w:rPr>
              <w:t>、</w:t>
            </w:r>
            <w:r>
              <w:rPr>
                <w:spacing w:val="-1"/>
                <w:lang w:eastAsia="zh-CN"/>
              </w:rPr>
              <w:t>《山东省实施&lt;中华人民共和国招标投标法&gt;办</w:t>
            </w:r>
            <w:r>
              <w:rPr>
                <w:spacing w:val="-3"/>
                <w:lang w:eastAsia="zh-CN"/>
              </w:rPr>
              <w:t>法》等。</w:t>
            </w:r>
          </w:p>
        </w:tc>
        <w:tc>
          <w:tcPr>
            <w:tcW w:w="2413" w:type="dxa"/>
            <w:vMerge w:val="restart"/>
            <w:tcBorders>
              <w:bottom w:val="nil"/>
            </w:tcBorders>
            <w:vAlign w:val="center"/>
          </w:tcPr>
          <w:p w:rsidR="00315411" w:rsidRDefault="004A7878">
            <w:pPr>
              <w:pStyle w:val="TableText"/>
              <w:spacing w:line="320" w:lineRule="exact"/>
              <w:jc w:val="both"/>
              <w:rPr>
                <w:lang w:eastAsia="zh-CN"/>
              </w:rPr>
            </w:pPr>
            <w:r>
              <w:rPr>
                <w:spacing w:val="-1"/>
                <w:lang w:eastAsia="zh-CN"/>
              </w:rPr>
              <w:t>生态环境保护工程项目的勘察设计、施工</w:t>
            </w:r>
            <w:r>
              <w:rPr>
                <w:lang w:eastAsia="zh-CN"/>
              </w:rPr>
              <w:t>、监理以及与生态环境保护工程有关的重</w:t>
            </w:r>
            <w:r>
              <w:rPr>
                <w:spacing w:val="-1"/>
                <w:lang w:eastAsia="zh-CN"/>
              </w:rPr>
              <w:t>要设备、材料采购等的招标投标活动。生</w:t>
            </w:r>
            <w:r>
              <w:rPr>
                <w:lang w:eastAsia="zh-CN"/>
              </w:rPr>
              <w:t>态环</w:t>
            </w:r>
            <w:r>
              <w:rPr>
                <w:spacing w:val="-5"/>
                <w:lang w:eastAsia="zh-CN"/>
              </w:rPr>
              <w:t>境保护工程项目的具体内容以</w:t>
            </w:r>
            <w:r>
              <w:rPr>
                <w:rFonts w:hint="eastAsia"/>
                <w:spacing w:val="-5"/>
                <w:lang w:eastAsia="zh-CN"/>
              </w:rPr>
              <w:t>市</w:t>
            </w:r>
            <w:r>
              <w:rPr>
                <w:spacing w:val="-5"/>
                <w:lang w:eastAsia="zh-CN"/>
              </w:rPr>
              <w:t>级人民政府印发的公共资源交易目录为准。</w:t>
            </w:r>
            <w:bookmarkStart w:id="0" w:name="_GoBack"/>
            <w:bookmarkEnd w:id="0"/>
          </w:p>
        </w:tc>
        <w:tc>
          <w:tcPr>
            <w:tcW w:w="2600" w:type="dxa"/>
            <w:vMerge w:val="restart"/>
            <w:tcBorders>
              <w:bottom w:val="nil"/>
            </w:tcBorders>
          </w:tcPr>
          <w:p w:rsidR="00315411" w:rsidRDefault="004A7878">
            <w:pPr>
              <w:pStyle w:val="TableText"/>
              <w:spacing w:line="320" w:lineRule="exact"/>
              <w:jc w:val="both"/>
              <w:rPr>
                <w:lang w:eastAsia="zh-CN"/>
              </w:rPr>
            </w:pPr>
            <w:r>
              <w:rPr>
                <w:lang w:eastAsia="zh-CN"/>
              </w:rPr>
              <w:t>对标前审批、开标、投标、评标、定标</w:t>
            </w:r>
            <w:r>
              <w:rPr>
                <w:rFonts w:hint="eastAsia"/>
                <w:lang w:eastAsia="zh-CN"/>
              </w:rPr>
              <w:t>、</w:t>
            </w:r>
            <w:r>
              <w:rPr>
                <w:lang w:eastAsia="zh-CN"/>
              </w:rPr>
              <w:t>合同订立及履约验</w:t>
            </w:r>
            <w:r>
              <w:rPr>
                <w:spacing w:val="-1"/>
                <w:lang w:eastAsia="zh-CN"/>
              </w:rPr>
              <w:t>收等重点环节实施监督。</w:t>
            </w:r>
          </w:p>
          <w:p w:rsidR="00315411" w:rsidRDefault="004A7878">
            <w:pPr>
              <w:pStyle w:val="TableText"/>
              <w:spacing w:line="320" w:lineRule="exact"/>
              <w:jc w:val="both"/>
              <w:rPr>
                <w:spacing w:val="-1"/>
                <w:lang w:eastAsia="zh-CN"/>
              </w:rPr>
            </w:pPr>
            <w:r>
              <w:rPr>
                <w:spacing w:val="-1"/>
                <w:lang w:eastAsia="zh-CN"/>
              </w:rPr>
              <w:t>1.招标备案。招标人应在发布</w:t>
            </w:r>
            <w:r>
              <w:rPr>
                <w:lang w:eastAsia="zh-CN"/>
              </w:rPr>
              <w:t>招标公告</w:t>
            </w:r>
            <w:r>
              <w:rPr>
                <w:spacing w:val="-1"/>
                <w:lang w:eastAsia="zh-CN"/>
              </w:rPr>
              <w:t>前向行政监督部门提交招标备案。</w:t>
            </w:r>
          </w:p>
          <w:p w:rsidR="00315411" w:rsidRDefault="004A7878">
            <w:pPr>
              <w:pStyle w:val="TableText"/>
              <w:spacing w:line="320" w:lineRule="exact"/>
              <w:jc w:val="both"/>
              <w:rPr>
                <w:spacing w:val="-1"/>
                <w:lang w:eastAsia="zh-CN"/>
              </w:rPr>
            </w:pPr>
            <w:r>
              <w:rPr>
                <w:spacing w:val="-1"/>
                <w:lang w:eastAsia="zh-CN"/>
              </w:rPr>
              <w:t>2.开标报告。招标人在开标前，须提前2日向行政监督部门报告开标的具体时间、地点，行政监督部门根据情况进行监督。大中型重点工程建设项目重点监督。</w:t>
            </w:r>
          </w:p>
          <w:p w:rsidR="00315411" w:rsidRDefault="004A7878">
            <w:pPr>
              <w:pStyle w:val="TableText"/>
              <w:spacing w:line="320" w:lineRule="exact"/>
              <w:jc w:val="both"/>
              <w:rPr>
                <w:lang w:eastAsia="zh-CN"/>
              </w:rPr>
            </w:pPr>
            <w:r>
              <w:rPr>
                <w:spacing w:val="-1"/>
                <w:lang w:eastAsia="zh-CN"/>
              </w:rPr>
              <w:t>3.中标及合同报告。在合同签订后5日内，招标人须向行政监督部门提交招标投标情况书面总结报告，行政监督部门对报告进行审查存档。</w:t>
            </w:r>
          </w:p>
        </w:tc>
        <w:tc>
          <w:tcPr>
            <w:tcW w:w="2676" w:type="dxa"/>
            <w:vMerge w:val="restart"/>
            <w:tcBorders>
              <w:bottom w:val="nil"/>
            </w:tcBorders>
          </w:tcPr>
          <w:p w:rsidR="005C4025" w:rsidRDefault="005C4025" w:rsidP="005C4025">
            <w:pPr>
              <w:pStyle w:val="TableText"/>
              <w:spacing w:line="320" w:lineRule="exact"/>
              <w:rPr>
                <w:spacing w:val="-2"/>
                <w:lang w:eastAsia="zh-CN"/>
              </w:rPr>
            </w:pPr>
          </w:p>
          <w:p w:rsidR="005C4025" w:rsidRDefault="005C4025" w:rsidP="005C4025">
            <w:pPr>
              <w:pStyle w:val="TableText"/>
              <w:spacing w:line="320" w:lineRule="exact"/>
              <w:rPr>
                <w:spacing w:val="-2"/>
                <w:lang w:eastAsia="zh-CN"/>
              </w:rPr>
            </w:pPr>
          </w:p>
          <w:p w:rsidR="005C4025" w:rsidRDefault="005C4025" w:rsidP="005C4025">
            <w:pPr>
              <w:pStyle w:val="TableText"/>
              <w:spacing w:line="320" w:lineRule="exact"/>
              <w:rPr>
                <w:spacing w:val="-2"/>
                <w:lang w:eastAsia="zh-CN"/>
              </w:rPr>
            </w:pPr>
          </w:p>
          <w:p w:rsidR="005C4025" w:rsidRDefault="005C4025" w:rsidP="005C4025">
            <w:pPr>
              <w:pStyle w:val="TableText"/>
              <w:spacing w:line="320" w:lineRule="exact"/>
              <w:rPr>
                <w:spacing w:val="-2"/>
                <w:lang w:eastAsia="zh-CN"/>
              </w:rPr>
            </w:pPr>
          </w:p>
          <w:p w:rsidR="00315411" w:rsidRDefault="004A7878" w:rsidP="005C4025">
            <w:pPr>
              <w:pStyle w:val="TableText"/>
              <w:spacing w:line="320" w:lineRule="exact"/>
              <w:rPr>
                <w:lang w:eastAsia="zh-CN"/>
              </w:rPr>
            </w:pPr>
            <w:r>
              <w:rPr>
                <w:spacing w:val="-2"/>
                <w:lang w:eastAsia="zh-CN"/>
              </w:rPr>
              <w:t>1.采取标前备案监督、</w:t>
            </w:r>
            <w:r>
              <w:rPr>
                <w:spacing w:val="-1"/>
                <w:lang w:eastAsia="zh-CN"/>
              </w:rPr>
              <w:t>标中过程监督、标后监督检查的方式进行。</w:t>
            </w:r>
          </w:p>
          <w:p w:rsidR="00315411" w:rsidRDefault="004A7878" w:rsidP="005C4025">
            <w:pPr>
              <w:pStyle w:val="TableText"/>
              <w:spacing w:line="320" w:lineRule="exact"/>
              <w:rPr>
                <w:lang w:eastAsia="zh-CN"/>
              </w:rPr>
            </w:pPr>
            <w:r>
              <w:rPr>
                <w:spacing w:val="-1"/>
                <w:lang w:eastAsia="zh-CN"/>
              </w:rPr>
              <w:t>2.建立健全投诉举报接</w:t>
            </w:r>
            <w:r>
              <w:rPr>
                <w:lang w:eastAsia="zh-CN"/>
              </w:rPr>
              <w:t>收、转办、反馈工作机</w:t>
            </w:r>
            <w:r>
              <w:rPr>
                <w:spacing w:val="-5"/>
                <w:lang w:eastAsia="zh-CN"/>
              </w:rPr>
              <w:t>制。自收到投诉之日起</w:t>
            </w:r>
            <w:r>
              <w:rPr>
                <w:lang w:eastAsia="zh-CN"/>
              </w:rPr>
              <w:t>5个工作日内决定是否受理投诉，并自受理投诉之日起30个工作日内作出处理决定（需要检验、检测、鉴定、专家评审的，所需时间不计</w:t>
            </w:r>
            <w:r>
              <w:rPr>
                <w:spacing w:val="-2"/>
                <w:lang w:eastAsia="zh-CN"/>
              </w:rPr>
              <w:t>算在内）。</w:t>
            </w:r>
          </w:p>
        </w:tc>
      </w:tr>
      <w:tr w:rsidR="00315411" w:rsidTr="005C4025">
        <w:trPr>
          <w:trHeight w:val="3142"/>
        </w:trPr>
        <w:tc>
          <w:tcPr>
            <w:tcW w:w="781" w:type="dxa"/>
            <w:vMerge/>
            <w:tcBorders>
              <w:top w:val="nil"/>
            </w:tcBorders>
          </w:tcPr>
          <w:p w:rsidR="00315411" w:rsidRDefault="00315411">
            <w:pPr>
              <w:rPr>
                <w:lang w:eastAsia="zh-CN"/>
              </w:rPr>
            </w:pPr>
          </w:p>
        </w:tc>
        <w:tc>
          <w:tcPr>
            <w:tcW w:w="1615" w:type="dxa"/>
            <w:vMerge/>
            <w:tcBorders>
              <w:top w:val="nil"/>
            </w:tcBorders>
          </w:tcPr>
          <w:p w:rsidR="00315411" w:rsidRDefault="00315411">
            <w:pPr>
              <w:spacing w:line="400" w:lineRule="exact"/>
              <w:rPr>
                <w:lang w:eastAsia="zh-CN"/>
              </w:rPr>
            </w:pPr>
          </w:p>
        </w:tc>
        <w:tc>
          <w:tcPr>
            <w:tcW w:w="723" w:type="dxa"/>
            <w:vAlign w:val="center"/>
          </w:tcPr>
          <w:p w:rsidR="00315411" w:rsidRDefault="004A7878">
            <w:pPr>
              <w:pStyle w:val="TableText"/>
              <w:spacing w:line="360" w:lineRule="exact"/>
              <w:ind w:firstLine="2"/>
              <w:jc w:val="center"/>
            </w:pPr>
            <w:r>
              <w:rPr>
                <w:rFonts w:hint="eastAsia"/>
                <w:spacing w:val="-15"/>
                <w:lang w:eastAsia="zh-CN"/>
              </w:rPr>
              <w:t>区（市）</w:t>
            </w:r>
            <w:r>
              <w:rPr>
                <w:spacing w:val="-13"/>
              </w:rPr>
              <w:t>级</w:t>
            </w:r>
          </w:p>
        </w:tc>
        <w:tc>
          <w:tcPr>
            <w:tcW w:w="1853" w:type="dxa"/>
            <w:vAlign w:val="center"/>
          </w:tcPr>
          <w:p w:rsidR="00315411" w:rsidRDefault="004A7878" w:rsidP="00E92CCC">
            <w:pPr>
              <w:pStyle w:val="TableText"/>
              <w:spacing w:line="320" w:lineRule="exact"/>
              <w:jc w:val="both"/>
              <w:rPr>
                <w:lang w:eastAsia="zh-CN"/>
              </w:rPr>
            </w:pPr>
            <w:r>
              <w:rPr>
                <w:spacing w:val="-1"/>
                <w:lang w:eastAsia="zh-CN"/>
              </w:rPr>
              <w:t>各</w:t>
            </w:r>
            <w:r>
              <w:rPr>
                <w:rFonts w:hint="eastAsia"/>
                <w:spacing w:val="-1"/>
                <w:lang w:eastAsia="zh-CN"/>
              </w:rPr>
              <w:t>区（市）</w:t>
            </w:r>
            <w:r>
              <w:rPr>
                <w:spacing w:val="-1"/>
                <w:lang w:eastAsia="zh-CN"/>
              </w:rPr>
              <w:t>生态环境</w:t>
            </w:r>
            <w:r>
              <w:rPr>
                <w:rFonts w:hint="eastAsia"/>
                <w:spacing w:val="-1"/>
                <w:lang w:eastAsia="zh-CN"/>
              </w:rPr>
              <w:t>分</w:t>
            </w:r>
            <w:r w:rsidR="00E92CCC">
              <w:rPr>
                <w:spacing w:val="-1"/>
                <w:lang w:eastAsia="zh-CN"/>
              </w:rPr>
              <w:t>局负责</w:t>
            </w:r>
            <w:r w:rsidR="00E92CCC">
              <w:rPr>
                <w:rFonts w:hint="eastAsia"/>
                <w:spacing w:val="-1"/>
                <w:lang w:eastAsia="zh-CN"/>
              </w:rPr>
              <w:t>指导</w:t>
            </w:r>
            <w:r>
              <w:rPr>
                <w:rFonts w:hint="eastAsia"/>
                <w:spacing w:val="-1"/>
                <w:lang w:eastAsia="zh-CN"/>
              </w:rPr>
              <w:t>辖区内</w:t>
            </w:r>
            <w:r>
              <w:rPr>
                <w:spacing w:val="-1"/>
                <w:lang w:eastAsia="zh-CN"/>
              </w:rPr>
              <w:t>生态环境</w:t>
            </w:r>
            <w:r w:rsidR="00E92CCC">
              <w:rPr>
                <w:rFonts w:hint="eastAsia"/>
                <w:spacing w:val="-1"/>
                <w:lang w:eastAsia="zh-CN"/>
              </w:rPr>
              <w:t>保护工程项目招标投标行政监督工作，负责</w:t>
            </w:r>
            <w:r w:rsidR="008C7F58">
              <w:rPr>
                <w:rFonts w:hint="eastAsia"/>
                <w:spacing w:val="-1"/>
                <w:lang w:eastAsia="zh-CN"/>
              </w:rPr>
              <w:t>辖区内</w:t>
            </w:r>
            <w:r w:rsidR="00E92CCC">
              <w:rPr>
                <w:rFonts w:hint="eastAsia"/>
                <w:spacing w:val="-1"/>
                <w:lang w:eastAsia="zh-CN"/>
              </w:rPr>
              <w:t>审批、审核、备案的生态环境保护工程项目招标投标行政监督工作。</w:t>
            </w:r>
          </w:p>
        </w:tc>
        <w:tc>
          <w:tcPr>
            <w:tcW w:w="2081" w:type="dxa"/>
            <w:vMerge/>
            <w:tcBorders>
              <w:top w:val="nil"/>
            </w:tcBorders>
          </w:tcPr>
          <w:p w:rsidR="00315411" w:rsidRDefault="00315411">
            <w:pPr>
              <w:rPr>
                <w:lang w:eastAsia="zh-CN"/>
              </w:rPr>
            </w:pPr>
          </w:p>
        </w:tc>
        <w:tc>
          <w:tcPr>
            <w:tcW w:w="2413" w:type="dxa"/>
            <w:vMerge/>
            <w:tcBorders>
              <w:top w:val="nil"/>
            </w:tcBorders>
          </w:tcPr>
          <w:p w:rsidR="00315411" w:rsidRDefault="00315411">
            <w:pPr>
              <w:rPr>
                <w:lang w:eastAsia="zh-CN"/>
              </w:rPr>
            </w:pPr>
          </w:p>
        </w:tc>
        <w:tc>
          <w:tcPr>
            <w:tcW w:w="2600" w:type="dxa"/>
            <w:vMerge/>
            <w:tcBorders>
              <w:top w:val="nil"/>
            </w:tcBorders>
          </w:tcPr>
          <w:p w:rsidR="00315411" w:rsidRDefault="00315411">
            <w:pPr>
              <w:rPr>
                <w:lang w:eastAsia="zh-CN"/>
              </w:rPr>
            </w:pPr>
          </w:p>
        </w:tc>
        <w:tc>
          <w:tcPr>
            <w:tcW w:w="2676" w:type="dxa"/>
            <w:vMerge/>
            <w:tcBorders>
              <w:top w:val="nil"/>
            </w:tcBorders>
          </w:tcPr>
          <w:p w:rsidR="00315411" w:rsidRDefault="00315411">
            <w:pPr>
              <w:rPr>
                <w:lang w:eastAsia="zh-CN"/>
              </w:rPr>
            </w:pPr>
          </w:p>
        </w:tc>
      </w:tr>
    </w:tbl>
    <w:p w:rsidR="00315411" w:rsidRDefault="004A7878">
      <w:pPr>
        <w:spacing w:before="222" w:line="220" w:lineRule="auto"/>
        <w:ind w:left="53"/>
        <w:rPr>
          <w:rFonts w:ascii="宋体" w:eastAsia="宋体" w:hAnsi="宋体" w:cs="宋体"/>
          <w:sz w:val="22"/>
          <w:szCs w:val="22"/>
          <w:lang w:eastAsia="zh-CN"/>
        </w:rPr>
      </w:pPr>
      <w:r>
        <w:rPr>
          <w:rFonts w:ascii="宋体" w:eastAsia="宋体" w:hAnsi="宋体" w:cs="宋体"/>
          <w:spacing w:val="1"/>
          <w:sz w:val="22"/>
          <w:szCs w:val="22"/>
          <w:lang w:eastAsia="zh-CN"/>
        </w:rPr>
        <w:t>注：国家对生态环境保护工程项目招标投标行政监督工作另</w:t>
      </w:r>
      <w:r>
        <w:rPr>
          <w:rFonts w:ascii="宋体" w:eastAsia="宋体" w:hAnsi="宋体" w:cs="宋体"/>
          <w:sz w:val="22"/>
          <w:szCs w:val="22"/>
          <w:lang w:eastAsia="zh-CN"/>
        </w:rPr>
        <w:t>有新规定的，从其规定。</w:t>
      </w:r>
    </w:p>
    <w:sectPr w:rsidR="00315411" w:rsidSect="00EC1E31">
      <w:pgSz w:w="16834" w:h="11907" w:orient="landscape"/>
      <w:pgMar w:top="964" w:right="737" w:bottom="244" w:left="73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CE8" w:rsidRDefault="00956CE8" w:rsidP="00E92CCC">
      <w:r>
        <w:separator/>
      </w:r>
    </w:p>
  </w:endnote>
  <w:endnote w:type="continuationSeparator" w:id="1">
    <w:p w:rsidR="00956CE8" w:rsidRDefault="00956CE8" w:rsidP="00E92C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CE8" w:rsidRDefault="00956CE8" w:rsidP="00E92CCC">
      <w:r>
        <w:separator/>
      </w:r>
    </w:p>
  </w:footnote>
  <w:footnote w:type="continuationSeparator" w:id="1">
    <w:p w:rsidR="00956CE8" w:rsidRDefault="00956CE8" w:rsidP="00E92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spaceForUL/>
    <w:ulTrailSpace/>
    <w:useFELayout/>
  </w:compat>
  <w:docVars>
    <w:docVar w:name="commondata" w:val="eyJoZGlkIjoiZmI4YmQ4YThhZTMwZTYzY2MxOWM1YzQ4MDc3NTZkODgifQ=="/>
  </w:docVars>
  <w:rsids>
    <w:rsidRoot w:val="002A3057"/>
    <w:rsid w:val="002A3057"/>
    <w:rsid w:val="00315411"/>
    <w:rsid w:val="003910D7"/>
    <w:rsid w:val="004A7878"/>
    <w:rsid w:val="005C4025"/>
    <w:rsid w:val="006418B8"/>
    <w:rsid w:val="0083048B"/>
    <w:rsid w:val="008C7F58"/>
    <w:rsid w:val="00956CE8"/>
    <w:rsid w:val="00AD5773"/>
    <w:rsid w:val="00CD4D62"/>
    <w:rsid w:val="00DE7F75"/>
    <w:rsid w:val="00E92CCC"/>
    <w:rsid w:val="00EC1E31"/>
    <w:rsid w:val="00F246D0"/>
    <w:rsid w:val="1D6931F6"/>
    <w:rsid w:val="31915CE1"/>
    <w:rsid w:val="39E76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1541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15411"/>
    <w:pPr>
      <w:tabs>
        <w:tab w:val="center" w:pos="4153"/>
        <w:tab w:val="right" w:pos="8306"/>
      </w:tabs>
    </w:pPr>
    <w:rPr>
      <w:sz w:val="18"/>
      <w:szCs w:val="18"/>
    </w:rPr>
  </w:style>
  <w:style w:type="paragraph" w:styleId="a4">
    <w:name w:val="header"/>
    <w:basedOn w:val="a"/>
    <w:link w:val="Char0"/>
    <w:rsid w:val="00315411"/>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rsid w:val="00315411"/>
    <w:tblPr>
      <w:tblCellMar>
        <w:top w:w="0" w:type="dxa"/>
        <w:left w:w="0" w:type="dxa"/>
        <w:bottom w:w="0" w:type="dxa"/>
        <w:right w:w="0" w:type="dxa"/>
      </w:tblCellMar>
    </w:tblPr>
  </w:style>
  <w:style w:type="paragraph" w:customStyle="1" w:styleId="TableText">
    <w:name w:val="Table Text"/>
    <w:basedOn w:val="a"/>
    <w:semiHidden/>
    <w:qFormat/>
    <w:rsid w:val="00315411"/>
    <w:rPr>
      <w:rFonts w:ascii="宋体" w:eastAsia="宋体" w:hAnsi="宋体" w:cs="宋体"/>
      <w:sz w:val="22"/>
      <w:szCs w:val="22"/>
    </w:rPr>
  </w:style>
  <w:style w:type="character" w:customStyle="1" w:styleId="Char0">
    <w:name w:val="页眉 Char"/>
    <w:basedOn w:val="a0"/>
    <w:link w:val="a4"/>
    <w:rsid w:val="00315411"/>
    <w:rPr>
      <w:rFonts w:eastAsia="Arial"/>
      <w:snapToGrid w:val="0"/>
      <w:color w:val="000000"/>
      <w:sz w:val="18"/>
      <w:szCs w:val="18"/>
      <w:lang w:eastAsia="en-US"/>
    </w:rPr>
  </w:style>
  <w:style w:type="character" w:customStyle="1" w:styleId="Char">
    <w:name w:val="页脚 Char"/>
    <w:basedOn w:val="a0"/>
    <w:link w:val="a3"/>
    <w:rsid w:val="00315411"/>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126</Words>
  <Characters>719</Characters>
  <Application>Microsoft Office Word</Application>
  <DocSecurity>0</DocSecurity>
  <Lines>5</Lines>
  <Paragraphs>1</Paragraphs>
  <ScaleCrop>false</ScaleCrop>
  <Company>Microsoft</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2025-11-13T00:56:00Z</cp:lastPrinted>
  <dcterms:created xsi:type="dcterms:W3CDTF">2025-10-29T10:28:00Z</dcterms:created>
  <dcterms:modified xsi:type="dcterms:W3CDTF">2025-11-13T01:02:00Z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2025-11-06T09:05:29Z</vt:filetime>
  </property>
  <property fmtid="{D5CDD505-2E9C-101B-9397-08002B2CF9AE}" pid="4" name="KSOProductBuildVer">
    <vt:lpwstr>2052-12.1.0.23125</vt:lpwstr>
  </property>
  <property fmtid="{D5CDD505-2E9C-101B-9397-08002B2CF9AE}" pid="5" name="ICV">
    <vt:lpwstr>BC69C6088553454DA6E00058FFB87EAA_13</vt:lpwstr>
  </property>
  <property fmtid="{D5CDD505-2E9C-101B-9397-08002B2CF9AE}" pid="6" name="KSOTemplateDocerSaveRecord">
    <vt:lpwstr>eyJoZGlkIjoiNmJmZDI3Y2IwYjUwMDdmMjc1MGI3OWE4NzM1YTk0Y2MiLCJ1c2VySWQiOiIzNDM3MzU5NjAifQ==</vt:lpwstr>
  </property>
</Properties>
</file>