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二级及以下医疗机构第一批“互联网+”医疗服务项目价格表</w:t>
      </w:r>
      <w:bookmarkEnd w:id="0"/>
    </w:p>
    <w:p>
      <w:pPr>
        <w:spacing w:line="560" w:lineRule="exact"/>
        <w:jc w:val="both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</w:p>
    <w:tbl>
      <w:tblPr>
        <w:tblW w:w="14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951"/>
        <w:gridCol w:w="5781"/>
        <w:gridCol w:w="479"/>
        <w:gridCol w:w="420"/>
        <w:gridCol w:w="820"/>
        <w:gridCol w:w="1998"/>
        <w:gridCol w:w="416"/>
        <w:gridCol w:w="720"/>
        <w:gridCol w:w="416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299" w:type="dxa"/>
            <w:vMerge w:val="restart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编码</w:t>
            </w:r>
          </w:p>
        </w:tc>
        <w:tc>
          <w:tcPr>
            <w:tcW w:w="951" w:type="dxa"/>
            <w:vMerge w:val="restart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项目名</w:t>
            </w:r>
          </w:p>
        </w:tc>
        <w:tc>
          <w:tcPr>
            <w:tcW w:w="5781" w:type="dxa"/>
            <w:vMerge w:val="restart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项目内涵</w:t>
            </w:r>
          </w:p>
        </w:tc>
        <w:tc>
          <w:tcPr>
            <w:tcW w:w="479" w:type="dxa"/>
            <w:vMerge w:val="restart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计价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br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除外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br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内容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二级及以下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br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价格（元）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计价说明</w:t>
            </w:r>
          </w:p>
        </w:tc>
        <w:tc>
          <w:tcPr>
            <w:tcW w:w="2412" w:type="dxa"/>
            <w:gridSpan w:val="4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</w:rPr>
              <w:t>统筹金支付范围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99" w:type="dxa"/>
            <w:vMerge w:val="continue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51" w:type="dxa"/>
            <w:vMerge w:val="continue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5781" w:type="dxa"/>
            <w:vMerge w:val="continue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479" w:type="dxa"/>
            <w:vMerge w:val="continue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420" w:type="dxa"/>
            <w:vMerge w:val="continue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820" w:type="dxa"/>
            <w:vMerge w:val="continue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98" w:type="dxa"/>
            <w:vMerge w:val="continue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416" w:type="dxa"/>
            <w:vMerge w:val="restart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</w:rPr>
              <w:t>范围内</w:t>
            </w:r>
          </w:p>
        </w:tc>
        <w:tc>
          <w:tcPr>
            <w:tcW w:w="720" w:type="dxa"/>
            <w:vMerge w:val="restart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</w:rPr>
              <w:t>进统筹前自负比例</w:t>
            </w:r>
          </w:p>
        </w:tc>
        <w:tc>
          <w:tcPr>
            <w:tcW w:w="416" w:type="dxa"/>
            <w:vMerge w:val="restart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</w:rPr>
              <w:t>范围外</w:t>
            </w:r>
          </w:p>
        </w:tc>
        <w:tc>
          <w:tcPr>
            <w:tcW w:w="860" w:type="dxa"/>
            <w:vMerge w:val="restart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黑体" w:hAnsi="黑体" w:eastAsia="黑体" w:cs="宋体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</w:rPr>
              <w:t>最高费</w:t>
            </w:r>
            <w:r>
              <w:rPr>
                <w:rFonts w:hint="eastAsia" w:ascii="黑体" w:hAnsi="黑体" w:eastAsia="黑体" w:cs="宋体"/>
                <w:kern w:val="0"/>
                <w:sz w:val="20"/>
              </w:rPr>
              <w:br/>
            </w:r>
            <w:r>
              <w:rPr>
                <w:rFonts w:hint="eastAsia" w:ascii="黑体" w:hAnsi="黑体" w:eastAsia="黑体" w:cs="宋体"/>
                <w:kern w:val="0"/>
                <w:sz w:val="20"/>
              </w:rPr>
              <w:t>用限额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951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5781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479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82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</w:p>
        </w:tc>
        <w:tc>
          <w:tcPr>
            <w:tcW w:w="41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黑体" w:hAnsi="黑体" w:eastAsia="黑体" w:cs="宋体"/>
                <w:kern w:val="0"/>
                <w:sz w:val="20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黑体" w:hAnsi="黑体" w:eastAsia="黑体" w:cs="宋体"/>
                <w:kern w:val="0"/>
                <w:sz w:val="20"/>
              </w:rPr>
            </w:pPr>
          </w:p>
        </w:tc>
        <w:tc>
          <w:tcPr>
            <w:tcW w:w="416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黑体" w:hAnsi="黑体" w:eastAsia="黑体" w:cs="宋体"/>
                <w:kern w:val="0"/>
                <w:sz w:val="20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黑体" w:hAnsi="黑体" w:eastAsia="黑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1748" w:type="dxa"/>
            <w:gridSpan w:val="7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一、远程诊察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H110200001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互联网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复诊</w:t>
            </w:r>
          </w:p>
        </w:tc>
        <w:tc>
          <w:tcPr>
            <w:tcW w:w="5781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指医疗机构通过远程医疗服务平台，由具有3年以上独立临床工作经验的医师直接向患者提供的常见病、慢性病复诊诊疗服务。在线询问病史，听取患者主诉，查看影像、超声、心电等医疗图文信息，记录病情，提供诊疗建议，如提供治疗方案或开具处方。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16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30%</w:t>
            </w:r>
          </w:p>
        </w:tc>
        <w:tc>
          <w:tcPr>
            <w:tcW w:w="416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9750" w:type="dxa"/>
            <w:gridSpan w:val="6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二、远程会诊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邀请方为二级及以下医疗机构，受邀方为三级医疗机构的执行三级医疗机构收费标准</w:t>
            </w:r>
          </w:p>
        </w:tc>
        <w:tc>
          <w:tcPr>
            <w:tcW w:w="416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416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H111000000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远程单学科会诊</w:t>
            </w:r>
          </w:p>
        </w:tc>
        <w:tc>
          <w:tcPr>
            <w:tcW w:w="5781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指邀请方和受邀方医疗机构在远程会诊中心或会诊科室通过可视、交互、实时、同步的方式在线开展的单个学科会诊诊疗活动。邀请方医疗机构收集并上传患者完整的病历资料（包含病史、实验室检查和影像学检查、治疗经过等）至远程医疗网络系统，预约受邀方医疗机构。受邀方医疗机构依据会诊需求，确定会诊科室及高级职称会诊医师，会诊医师提前审阅病历资料。至约定时间双方登录远程医疗网络信息系统进行联通，在线讨论患者病情，解答邀请方医师的提问。受邀方将诊疗意见告知邀请方，出具由相关医师签名的诊疗意见报告。邀请方根据患者临床资料，参考受邀方的诊疗意见，决定诊断与治疗方案。 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双学科390元，多学科（3个及以上学科）540元</w:t>
            </w:r>
          </w:p>
        </w:tc>
        <w:tc>
          <w:tcPr>
            <w:tcW w:w="416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30%</w:t>
            </w:r>
          </w:p>
        </w:tc>
        <w:tc>
          <w:tcPr>
            <w:tcW w:w="416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H111000001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副主任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医师</w:t>
            </w:r>
          </w:p>
        </w:tc>
        <w:tc>
          <w:tcPr>
            <w:tcW w:w="5781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162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16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30%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H111000002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主任医师</w:t>
            </w:r>
          </w:p>
        </w:tc>
        <w:tc>
          <w:tcPr>
            <w:tcW w:w="5781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234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16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30%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H111000003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远程病理会诊</w:t>
            </w:r>
          </w:p>
        </w:tc>
        <w:tc>
          <w:tcPr>
            <w:tcW w:w="5781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指邀请方和受邀方医疗机构以可视、交互、实时、同步的方式，在线开展的临床病理会诊诊疗活动。一般用于术中冷冻病理诊断的远程会诊，需提前1天预约并在规定的短时间内快速完成诊断工作。开通远程医疗网络系统，邀请方医疗机构向受邀方医疗机构提供临床（常含病史、实验室检查和影像学检查结果等）及病理资料（含病理申请单、取材明细以及术中冷冻病理数字切片等），受邀方立即对患者的病情进行分析，短时间内作出综合诊断意见，在线出具由其签名的病理诊断报告。邀请方参考受邀方的会诊意见，决定最终诊断与后继手术方式。含受邀方高年资医师通过视频方式指导邀请方医师进行取材，不含冷冻切片制作，数字转换和上传云端。</w:t>
            </w: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396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以4张切片为基数，5张及以上切片486元</w:t>
            </w:r>
          </w:p>
        </w:tc>
        <w:tc>
          <w:tcPr>
            <w:tcW w:w="416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30%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748" w:type="dxa"/>
            <w:gridSpan w:val="7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三、远程监测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16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99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H310701001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远程心电监测</w:t>
            </w:r>
          </w:p>
        </w:tc>
        <w:tc>
          <w:tcPr>
            <w:tcW w:w="5781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指使用心电监测远程传输系统，利用无线网络收集传输数据，指导患者使用、记录并处理患者的心电事件，专业医师根据有关数据提供分析或指导服务，含设备安置。</w:t>
            </w:r>
          </w:p>
        </w:tc>
        <w:tc>
          <w:tcPr>
            <w:tcW w:w="479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420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998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按实际监测时间计收，不足1小时按1小时计收</w:t>
            </w:r>
          </w:p>
        </w:tc>
        <w:tc>
          <w:tcPr>
            <w:tcW w:w="416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30%</w:t>
            </w:r>
          </w:p>
        </w:tc>
        <w:tc>
          <w:tcPr>
            <w:tcW w:w="416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医保支付每次不超过24小时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99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H310701002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远程起搏器监测</w:t>
            </w:r>
          </w:p>
        </w:tc>
        <w:tc>
          <w:tcPr>
            <w:tcW w:w="5781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指通过带有远程监测功能的起搏器，利用无线网络收集传输起搏器的数据，专业医师根据数据判断起搏器工作状态，提供分析或指导服务，如确定患者到医院程控和随访的时间。含设备安置，不含起搏器程控功能检查。</w:t>
            </w:r>
          </w:p>
        </w:tc>
        <w:tc>
          <w:tcPr>
            <w:tcW w:w="479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420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998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按实际监测时间计收，不足1小时按1小时计收</w:t>
            </w:r>
          </w:p>
        </w:tc>
        <w:tc>
          <w:tcPr>
            <w:tcW w:w="416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30%</w:t>
            </w:r>
          </w:p>
        </w:tc>
        <w:tc>
          <w:tcPr>
            <w:tcW w:w="416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医保支付每次不超过24小时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299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H310701003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远程除颤器监测</w:t>
            </w:r>
          </w:p>
        </w:tc>
        <w:tc>
          <w:tcPr>
            <w:tcW w:w="5781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指通过带有远程监测功能的除颤器，利用无线网络收集传输除颤器数据，专业医师根据有关数据判断除颤器的工作状态，提供分析或指导服务，如确定患者到医院程控和随访的时间等。含设备安置，不含除颤器程控功能检查。</w:t>
            </w:r>
          </w:p>
        </w:tc>
        <w:tc>
          <w:tcPr>
            <w:tcW w:w="479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420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998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按实际监测时间计收，不足1小时按1小时计收</w:t>
            </w:r>
          </w:p>
        </w:tc>
        <w:tc>
          <w:tcPr>
            <w:tcW w:w="416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30%</w:t>
            </w:r>
          </w:p>
        </w:tc>
        <w:tc>
          <w:tcPr>
            <w:tcW w:w="416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医保支付每次不超过24小时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99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H311201026</w:t>
            </w:r>
          </w:p>
        </w:tc>
        <w:tc>
          <w:tcPr>
            <w:tcW w:w="951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远程胎心监测</w:t>
            </w:r>
          </w:p>
        </w:tc>
        <w:tc>
          <w:tcPr>
            <w:tcW w:w="5781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指通过带有远程监测功能的胎心监测仪，利用无线网络采集传输胎心数据，专业医师根据有关数据提供分析或指导服务。含设备安置。</w:t>
            </w:r>
          </w:p>
        </w:tc>
        <w:tc>
          <w:tcPr>
            <w:tcW w:w="479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小时</w:t>
            </w:r>
          </w:p>
        </w:tc>
        <w:tc>
          <w:tcPr>
            <w:tcW w:w="420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9.5</w:t>
            </w:r>
          </w:p>
        </w:tc>
        <w:tc>
          <w:tcPr>
            <w:tcW w:w="1998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按实际监测时间计收，不足1小时按1小时计收</w:t>
            </w:r>
          </w:p>
        </w:tc>
        <w:tc>
          <w:tcPr>
            <w:tcW w:w="416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20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30%</w:t>
            </w:r>
          </w:p>
        </w:tc>
        <w:tc>
          <w:tcPr>
            <w:tcW w:w="416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60" w:type="dxa"/>
            <w:shd w:val="clear" w:color="000000" w:fill="FFFFFF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限生育保险支付</w:t>
            </w:r>
          </w:p>
        </w:tc>
      </w:tr>
    </w:tbl>
    <w:p>
      <w:pPr>
        <w:wordWrap/>
        <w:adjustRightInd/>
        <w:snapToGrid/>
        <w:spacing w:before="0" w:after="0" w:line="240" w:lineRule="exact"/>
        <w:ind w:left="0" w:leftChars="0" w:right="0" w:firstLine="0" w:firstLineChars="0"/>
        <w:textAlignment w:val="auto"/>
        <w:outlineLvl w:val="9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spacing w:line="580" w:lineRule="exact"/>
        <w:rPr>
          <w:rFonts w:hint="eastAsia" w:ascii="黑体" w:eastAsia="黑体"/>
          <w:sz w:val="32"/>
        </w:rPr>
      </w:pPr>
    </w:p>
    <w:p>
      <w:pPr>
        <w:spacing w:line="580" w:lineRule="exact"/>
        <w:rPr>
          <w:rFonts w:hint="eastAsia" w:ascii="黑体" w:eastAsia="黑体"/>
          <w:sz w:val="32"/>
        </w:rPr>
      </w:pPr>
    </w:p>
    <w:p>
      <w:pPr>
        <w:spacing w:line="580" w:lineRule="exact"/>
        <w:rPr>
          <w:rFonts w:hint="eastAsia" w:ascii="黑体" w:eastAsia="黑体"/>
          <w:sz w:val="32"/>
        </w:rPr>
      </w:pPr>
    </w:p>
    <w:p>
      <w:pPr>
        <w:spacing w:line="580" w:lineRule="exact"/>
        <w:rPr>
          <w:rFonts w:hint="eastAsia" w:ascii="黑体" w:eastAsia="黑体"/>
          <w:sz w:val="32"/>
        </w:rPr>
      </w:pPr>
    </w:p>
    <w:p>
      <w:pPr>
        <w:spacing w:line="540" w:lineRule="exact"/>
        <w:rPr>
          <w:rFonts w:ascii="仿宋_GB2312" w:eastAsia="仿宋_GB2312"/>
          <w:color w:val="000000"/>
          <w:szCs w:val="32"/>
        </w:rPr>
      </w:pPr>
    </w:p>
    <w:sectPr>
      <w:footerReference r:id="rId4" w:type="default"/>
      <w:footerReference r:id="rId5" w:type="even"/>
      <w:pgSz w:w="16838" w:h="11906" w:orient="landscape"/>
      <w:pgMar w:top="1587" w:right="2098" w:bottom="1474" w:left="1984" w:header="851" w:footer="992" w:gutter="0"/>
      <w:paperSrc w:first="0" w:other="0"/>
      <w:pgNumType w:fmt="numberInDash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001010101"/>
    <w:charset w:val="7A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Text Box 2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rFonts w:ascii="Times New Roman" w:hAnsi="Times New Roman" w:eastAsia="宋体" w:cs="Times New Roman"/>
        <w:kern w:val="2"/>
        <w:sz w:val="32"/>
        <w:szCs w:val="24"/>
        <w:lang w:val="en-US" w:eastAsia="zh-CN" w:bidi="ar-SA"/>
      </w:rPr>
      <w:pict>
        <v:shape id="Text Box 1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0"/>
    <w:rPr/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/>
      <w:sz w:val="21"/>
      <w:szCs w:val="22"/>
    </w:rPr>
  </w:style>
  <w:style w:type="character" w:customStyle="1" w:styleId="8">
    <w:name w:val="页眉 Char"/>
    <w:link w:val="4"/>
    <w:uiPriority w:val="99"/>
    <w:rPr>
      <w:sz w:val="18"/>
      <w:szCs w:val="18"/>
    </w:rPr>
  </w:style>
  <w:style w:type="character" w:customStyle="1" w:styleId="9">
    <w:name w:val="页脚 Char"/>
    <w:link w:val="3"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684</Words>
  <Characters>3903</Characters>
  <Lines>32</Lines>
  <Paragraphs>9</Paragraphs>
  <ScaleCrop>false</ScaleCrop>
  <LinksUpToDate>false</LinksUpToDate>
  <CharactersWithSpaces>0</CharactersWithSpaces>
  <Application>WPS Office 个人版_9.1.0.4489_{F1E327BC-269C-435d-A152-05C5408002CA}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2019-03-04T03:21:00Z</dcterms:created>
  <dc:creator>Sky123.Org</dc:creator>
  <cp:lastModifiedBy>hp</cp:lastModifiedBy>
  <cp:lastPrinted>2020-03-23T07:02:00Z</cp:lastPrinted>
  <dcterms:modified xsi:type="dcterms:W3CDTF">2020-08-13T07:22:49Z</dcterms:modified>
  <dc:title>青岛市医疗保障局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2052-9.1.0.4489</vt:lpwstr>
  </property>
</Properties>
</file>