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16" w:rsidRDefault="00045D16" w:rsidP="00A31EC8">
      <w:pPr>
        <w:widowControl w:val="0"/>
        <w:spacing w:after="0" w:line="560" w:lineRule="exact"/>
        <w:rPr>
          <w:rFonts w:ascii="黑体" w:eastAsia="黑体"/>
          <w:spacing w:val="-4"/>
        </w:rPr>
      </w:pPr>
    </w:p>
    <w:p w:rsidR="00045D16" w:rsidRDefault="00045D16" w:rsidP="00A31EC8">
      <w:pPr>
        <w:widowControl w:val="0"/>
        <w:spacing w:after="0" w:line="560" w:lineRule="exact"/>
        <w:rPr>
          <w:rFonts w:ascii="黑体" w:eastAsia="黑体"/>
          <w:spacing w:val="-4"/>
        </w:rPr>
      </w:pPr>
    </w:p>
    <w:p w:rsidR="00045D16" w:rsidRDefault="00045D16" w:rsidP="00A31EC8">
      <w:pPr>
        <w:widowControl w:val="0"/>
        <w:spacing w:after="0" w:line="560" w:lineRule="exact"/>
        <w:rPr>
          <w:rFonts w:ascii="黑体" w:eastAsia="黑体"/>
          <w:spacing w:val="-4"/>
        </w:rPr>
      </w:pPr>
    </w:p>
    <w:p w:rsidR="00045D16" w:rsidRPr="00981E37" w:rsidRDefault="00045D16" w:rsidP="00881A32">
      <w:pPr>
        <w:jc w:val="center"/>
        <w:rPr>
          <w:rFonts w:ascii="文星标宋" w:eastAsia="文星标宋" w:hAnsi="文星标宋"/>
          <w:color w:val="FF0000"/>
          <w:w w:val="60"/>
          <w:sz w:val="120"/>
          <w:szCs w:val="120"/>
        </w:rPr>
      </w:pPr>
      <w:r w:rsidRPr="00981E37">
        <w:rPr>
          <w:rFonts w:ascii="文星标宋" w:eastAsia="文星标宋" w:hAnsi="文星标宋" w:hint="eastAsia"/>
          <w:color w:val="FF0000"/>
          <w:w w:val="60"/>
          <w:sz w:val="120"/>
          <w:szCs w:val="120"/>
        </w:rPr>
        <w:t>青岛市文化和旅游局文件</w:t>
      </w:r>
    </w:p>
    <w:p w:rsidR="00045D16" w:rsidRPr="002348A4" w:rsidRDefault="00045D16" w:rsidP="00881A32">
      <w:pPr>
        <w:spacing w:line="560" w:lineRule="exact"/>
        <w:rPr>
          <w:rFonts w:ascii="黑体" w:eastAsia="黑体"/>
          <w:spacing w:val="-4"/>
        </w:rPr>
      </w:pPr>
    </w:p>
    <w:p w:rsidR="00045D16" w:rsidRPr="00881A32" w:rsidRDefault="00045D16" w:rsidP="00881A32">
      <w:pPr>
        <w:widowControl w:val="0"/>
        <w:spacing w:after="0" w:line="560" w:lineRule="exact"/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青文旅财字</w:t>
      </w:r>
      <w:r w:rsidRPr="00881A32">
        <w:rPr>
          <w:rFonts w:ascii="仿宋_GB2312" w:eastAsia="仿宋_GB2312" w:hint="eastAsia"/>
          <w:spacing w:val="-4"/>
          <w:sz w:val="32"/>
          <w:szCs w:val="32"/>
        </w:rPr>
        <w:t>〔</w:t>
      </w:r>
      <w:r w:rsidRPr="00881A32">
        <w:rPr>
          <w:rFonts w:ascii="仿宋_GB2312" w:eastAsia="仿宋_GB2312"/>
          <w:spacing w:val="-4"/>
          <w:sz w:val="32"/>
          <w:szCs w:val="32"/>
        </w:rPr>
        <w:t>2019</w:t>
      </w:r>
      <w:r w:rsidRPr="00881A32">
        <w:rPr>
          <w:rFonts w:ascii="仿宋_GB2312" w:eastAsia="仿宋_GB2312" w:hint="eastAsia"/>
          <w:spacing w:val="-4"/>
          <w:sz w:val="32"/>
          <w:szCs w:val="32"/>
        </w:rPr>
        <w:t>〕</w:t>
      </w:r>
      <w:r>
        <w:rPr>
          <w:rFonts w:ascii="仿宋_GB2312" w:eastAsia="仿宋_GB2312"/>
          <w:spacing w:val="-4"/>
          <w:sz w:val="32"/>
          <w:szCs w:val="32"/>
        </w:rPr>
        <w:t>6</w:t>
      </w:r>
      <w:r w:rsidRPr="00881A32">
        <w:rPr>
          <w:rFonts w:ascii="仿宋_GB2312" w:eastAsia="仿宋_GB2312" w:hint="eastAsia"/>
          <w:spacing w:val="-4"/>
          <w:sz w:val="32"/>
          <w:szCs w:val="32"/>
        </w:rPr>
        <w:t>号</w:t>
      </w:r>
    </w:p>
    <w:p w:rsidR="00045D16" w:rsidRPr="00881A32" w:rsidRDefault="00045D16" w:rsidP="00881A32">
      <w:pPr>
        <w:widowControl w:val="0"/>
        <w:spacing w:after="0" w:line="400" w:lineRule="exact"/>
        <w:rPr>
          <w:rFonts w:ascii="仿宋_GB2312" w:eastAsia="仿宋_GB2312"/>
          <w:b/>
          <w:color w:val="FF0000"/>
          <w:spacing w:val="-4"/>
          <w:sz w:val="32"/>
          <w:szCs w:val="32"/>
        </w:rPr>
      </w:pPr>
      <w:r w:rsidRPr="00881A32">
        <w:rPr>
          <w:rFonts w:ascii="仿宋_GB2312" w:eastAsia="仿宋_GB2312" w:hint="eastAsia"/>
          <w:b/>
          <w:color w:val="FF0000"/>
          <w:spacing w:val="-4"/>
          <w:sz w:val="32"/>
          <w:szCs w:val="32"/>
        </w:rPr>
        <w:t>━━━━━━━━━━━━━━━━━━━━━━━━━━━</w:t>
      </w:r>
    </w:p>
    <w:p w:rsidR="00045D16" w:rsidRPr="00881A32" w:rsidRDefault="00045D16" w:rsidP="00881A32">
      <w:pPr>
        <w:widowControl w:val="0"/>
        <w:spacing w:after="0" w:line="560" w:lineRule="exact"/>
        <w:rPr>
          <w:spacing w:val="-4"/>
          <w:sz w:val="32"/>
          <w:szCs w:val="32"/>
        </w:rPr>
      </w:pPr>
    </w:p>
    <w:p w:rsidR="00045D16" w:rsidRDefault="00045D16" w:rsidP="00CE2618">
      <w:pPr>
        <w:widowControl w:val="0"/>
        <w:spacing w:after="0" w:line="560" w:lineRule="exact"/>
        <w:jc w:val="center"/>
        <w:rPr>
          <w:rFonts w:ascii="方正小标宋_GBK" w:eastAsia="方正小标宋_GBK" w:cs="FZFSK--GBK1-0"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关于公布《青岛市</w:t>
      </w:r>
      <w:r w:rsidRPr="00963D5A"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文化和旅游局部门</w:t>
      </w:r>
    </w:p>
    <w:p w:rsidR="00045D16" w:rsidRDefault="00045D16" w:rsidP="00CE2618">
      <w:pPr>
        <w:widowControl w:val="0"/>
        <w:spacing w:after="0" w:line="560" w:lineRule="exact"/>
        <w:jc w:val="center"/>
        <w:rPr>
          <w:rFonts w:ascii="方正小标宋_GBK" w:eastAsia="方正小标宋_GBK" w:cs="FZFSK--GBK1-0"/>
          <w:snapToGrid w:val="0"/>
          <w:color w:val="000000"/>
          <w:sz w:val="44"/>
          <w:szCs w:val="44"/>
        </w:rPr>
      </w:pPr>
      <w:r w:rsidRPr="00963D5A"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政府购买服务目录》</w:t>
      </w:r>
      <w:r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的通知</w:t>
      </w:r>
    </w:p>
    <w:p w:rsidR="00045D16" w:rsidRDefault="00045D16" w:rsidP="00CE2618">
      <w:pPr>
        <w:widowControl w:val="0"/>
        <w:spacing w:after="0" w:line="560" w:lineRule="exact"/>
        <w:jc w:val="both"/>
        <w:rPr>
          <w:rFonts w:ascii="仿宋_GB2312" w:eastAsia="仿宋_GB2312" w:cs="FZFSK--GBK1-0"/>
          <w:snapToGrid w:val="0"/>
          <w:color w:val="000000"/>
          <w:sz w:val="32"/>
          <w:szCs w:val="32"/>
        </w:rPr>
      </w:pPr>
    </w:p>
    <w:p w:rsidR="00045D16" w:rsidRPr="00CE2618" w:rsidRDefault="00045D16" w:rsidP="00CE2618">
      <w:pPr>
        <w:widowControl w:val="0"/>
        <w:spacing w:after="0" w:line="560" w:lineRule="exact"/>
        <w:jc w:val="both"/>
        <w:rPr>
          <w:rFonts w:ascii="仿宋_GB2312" w:eastAsia="仿宋_GB2312" w:cs="FZFSK--GBK1-0"/>
          <w:snapToGrid w:val="0"/>
          <w:color w:val="000000"/>
          <w:sz w:val="32"/>
          <w:szCs w:val="32"/>
        </w:rPr>
      </w:pPr>
      <w:r w:rsidRPr="00CE2618">
        <w:rPr>
          <w:rFonts w:ascii="仿宋_GB2312" w:eastAsia="仿宋_GB2312" w:cs="FZFSK--GBK1-0" w:hint="eastAsia"/>
          <w:snapToGrid w:val="0"/>
          <w:color w:val="000000"/>
          <w:sz w:val="32"/>
          <w:szCs w:val="32"/>
        </w:rPr>
        <w:t>市文化市场综合执法局，机关各处室、局属各单位：</w:t>
      </w:r>
    </w:p>
    <w:p w:rsidR="00045D16" w:rsidRDefault="00045D16" w:rsidP="00E157FC">
      <w:pPr>
        <w:widowControl w:val="0"/>
        <w:snapToGrid/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  <w:r w:rsidRPr="00F63B7E">
        <w:rPr>
          <w:rFonts w:ascii="仿宋_GB2312" w:eastAsia="仿宋_GB2312" w:hint="eastAsia"/>
          <w:snapToGrid w:val="0"/>
          <w:sz w:val="32"/>
          <w:szCs w:val="32"/>
        </w:rPr>
        <w:t>按照青岛市人民政府办公厅《关于印发青岛市进一步深化政府购买服务改革实施方案的通知》（青政办字〔</w:t>
      </w:r>
      <w:r w:rsidRPr="00F63B7E">
        <w:rPr>
          <w:rFonts w:ascii="仿宋_GB2312" w:eastAsia="仿宋_GB2312"/>
          <w:snapToGrid w:val="0"/>
          <w:sz w:val="32"/>
          <w:szCs w:val="32"/>
        </w:rPr>
        <w:t>2017</w:t>
      </w:r>
      <w:r w:rsidRPr="00F63B7E">
        <w:rPr>
          <w:rFonts w:ascii="仿宋_GB2312" w:eastAsia="仿宋_GB2312" w:hint="eastAsia"/>
          <w:snapToGrid w:val="0"/>
          <w:sz w:val="32"/>
          <w:szCs w:val="32"/>
        </w:rPr>
        <w:t>〕</w:t>
      </w:r>
      <w:r w:rsidRPr="00F63B7E">
        <w:rPr>
          <w:rFonts w:ascii="仿宋_GB2312" w:eastAsia="仿宋_GB2312"/>
          <w:snapToGrid w:val="0"/>
          <w:sz w:val="32"/>
          <w:szCs w:val="32"/>
        </w:rPr>
        <w:t>111</w:t>
      </w:r>
      <w:r w:rsidRPr="00F63B7E">
        <w:rPr>
          <w:rFonts w:ascii="仿宋_GB2312" w:eastAsia="仿宋_GB2312" w:hint="eastAsia"/>
          <w:snapToGrid w:val="0"/>
          <w:sz w:val="32"/>
          <w:szCs w:val="32"/>
        </w:rPr>
        <w:t>号）</w:t>
      </w:r>
      <w:r w:rsidRPr="00F63B7E">
        <w:rPr>
          <w:rFonts w:ascii="仿宋_GB2312" w:eastAsia="仿宋_GB2312"/>
          <w:snapToGrid w:val="0"/>
          <w:sz w:val="32"/>
          <w:szCs w:val="32"/>
        </w:rPr>
        <w:t xml:space="preserve">, </w:t>
      </w:r>
      <w:r>
        <w:rPr>
          <w:rFonts w:ascii="仿宋_GB2312" w:eastAsia="仿宋_GB2312" w:hint="eastAsia"/>
          <w:snapToGrid w:val="0"/>
          <w:sz w:val="32"/>
          <w:szCs w:val="32"/>
        </w:rPr>
        <w:t>我局提报的《青岛市</w:t>
      </w:r>
      <w:r w:rsidRPr="00DD661F">
        <w:rPr>
          <w:rFonts w:ascii="仿宋_GB2312" w:eastAsia="仿宋_GB2312" w:hint="eastAsia"/>
          <w:snapToGrid w:val="0"/>
          <w:sz w:val="32"/>
          <w:szCs w:val="32"/>
        </w:rPr>
        <w:t>文化和旅游局部门政府购买服务目录</w:t>
      </w:r>
      <w:r>
        <w:rPr>
          <w:rFonts w:ascii="仿宋_GB2312" w:eastAsia="仿宋_GB2312" w:hint="eastAsia"/>
          <w:snapToGrid w:val="0"/>
          <w:sz w:val="32"/>
          <w:szCs w:val="32"/>
        </w:rPr>
        <w:t>》已通过</w:t>
      </w:r>
      <w:r w:rsidRPr="00F63B7E">
        <w:rPr>
          <w:rFonts w:ascii="仿宋_GB2312" w:eastAsia="仿宋_GB2312" w:hint="eastAsia"/>
          <w:snapToGrid w:val="0"/>
          <w:sz w:val="32"/>
          <w:szCs w:val="32"/>
        </w:rPr>
        <w:t>市财政局、市编办</w:t>
      </w:r>
      <w:r>
        <w:rPr>
          <w:rFonts w:ascii="仿宋_GB2312" w:eastAsia="仿宋_GB2312" w:hint="eastAsia"/>
          <w:snapToGrid w:val="0"/>
          <w:sz w:val="32"/>
          <w:szCs w:val="32"/>
        </w:rPr>
        <w:t>的</w:t>
      </w:r>
      <w:r w:rsidRPr="00F63B7E">
        <w:rPr>
          <w:rFonts w:ascii="仿宋_GB2312" w:eastAsia="仿宋_GB2312" w:hint="eastAsia"/>
          <w:snapToGrid w:val="0"/>
          <w:sz w:val="32"/>
          <w:szCs w:val="32"/>
        </w:rPr>
        <w:t>审核</w:t>
      </w:r>
      <w:r>
        <w:rPr>
          <w:rFonts w:ascii="仿宋_GB2312" w:eastAsia="仿宋_GB2312" w:hint="eastAsia"/>
          <w:snapToGrid w:val="0"/>
          <w:sz w:val="32"/>
          <w:szCs w:val="32"/>
        </w:rPr>
        <w:t>批复</w:t>
      </w:r>
      <w:r w:rsidRPr="00F63B7E">
        <w:rPr>
          <w:rFonts w:ascii="仿宋_GB2312" w:eastAsia="仿宋_GB2312" w:hint="eastAsia"/>
          <w:snapToGrid w:val="0"/>
          <w:sz w:val="32"/>
          <w:szCs w:val="32"/>
        </w:rPr>
        <w:t>，现</w:t>
      </w:r>
      <w:r>
        <w:rPr>
          <w:rFonts w:ascii="仿宋_GB2312" w:eastAsia="仿宋_GB2312" w:hint="eastAsia"/>
          <w:snapToGrid w:val="0"/>
          <w:sz w:val="32"/>
          <w:szCs w:val="32"/>
        </w:rPr>
        <w:t>将《青岛市</w:t>
      </w:r>
      <w:r w:rsidRPr="00DD661F">
        <w:rPr>
          <w:rFonts w:ascii="仿宋_GB2312" w:eastAsia="仿宋_GB2312" w:hint="eastAsia"/>
          <w:snapToGrid w:val="0"/>
          <w:sz w:val="32"/>
          <w:szCs w:val="32"/>
        </w:rPr>
        <w:t>文化和旅游局部门政府购买服务目录</w:t>
      </w:r>
      <w:r>
        <w:rPr>
          <w:rFonts w:ascii="仿宋_GB2312" w:eastAsia="仿宋_GB2312" w:hint="eastAsia"/>
          <w:snapToGrid w:val="0"/>
          <w:sz w:val="32"/>
          <w:szCs w:val="32"/>
        </w:rPr>
        <w:t>》予以公布，望各处室按照公布的政府购买服务目录内容进行采购，未经批准不得擅自追加采购目录以外的项目。</w:t>
      </w:r>
    </w:p>
    <w:p w:rsidR="00045D16" w:rsidRPr="00852C00" w:rsidRDefault="00045D16" w:rsidP="00CE2618">
      <w:pPr>
        <w:widowControl w:val="0"/>
        <w:snapToGrid/>
        <w:spacing w:after="0" w:line="560" w:lineRule="exact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snapToGrid w:val="0"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snapToGrid w:val="0"/>
          <w:sz w:val="32"/>
          <w:szCs w:val="32"/>
        </w:rPr>
        <w:t>附件：青岛市</w:t>
      </w:r>
      <w:r w:rsidRPr="00DD661F">
        <w:rPr>
          <w:rFonts w:ascii="仿宋_GB2312" w:eastAsia="仿宋_GB2312" w:hint="eastAsia"/>
          <w:snapToGrid w:val="0"/>
          <w:sz w:val="32"/>
          <w:szCs w:val="32"/>
        </w:rPr>
        <w:t>文化和旅游局部门政府购买服务目录</w:t>
      </w:r>
    </w:p>
    <w:p w:rsidR="00045D16" w:rsidRDefault="00045D16" w:rsidP="00E157FC">
      <w:pPr>
        <w:widowControl w:val="0"/>
        <w:snapToGrid/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</w:p>
    <w:p w:rsidR="00045D16" w:rsidRDefault="00045D16" w:rsidP="00E157FC">
      <w:pPr>
        <w:widowControl w:val="0"/>
        <w:snapToGrid/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</w:p>
    <w:p w:rsidR="00045D16" w:rsidRDefault="00045D16" w:rsidP="00E157FC">
      <w:pPr>
        <w:widowControl w:val="0"/>
        <w:snapToGrid/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snapToGrid w:val="0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napToGrid w:val="0"/>
          <w:sz w:val="32"/>
          <w:szCs w:val="32"/>
        </w:rPr>
        <w:t>青岛市文化和旅游局</w:t>
      </w:r>
    </w:p>
    <w:p w:rsidR="00045D16" w:rsidRPr="00F63B7E" w:rsidRDefault="00045D16" w:rsidP="00E157FC">
      <w:pPr>
        <w:widowControl w:val="0"/>
        <w:snapToGrid/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snapToGrid w:val="0"/>
          <w:sz w:val="32"/>
          <w:szCs w:val="32"/>
        </w:rPr>
        <w:t xml:space="preserve">                                2019</w:t>
      </w:r>
      <w:r>
        <w:rPr>
          <w:rFonts w:ascii="仿宋_GB2312" w:eastAsia="仿宋_GB2312" w:hint="eastAsia"/>
          <w:snapToGrid w:val="0"/>
          <w:sz w:val="32"/>
          <w:szCs w:val="32"/>
        </w:rPr>
        <w:t>年</w:t>
      </w:r>
      <w:r>
        <w:rPr>
          <w:rFonts w:ascii="仿宋_GB2312" w:eastAsia="仿宋_GB2312"/>
          <w:snapToGrid w:val="0"/>
          <w:sz w:val="32"/>
          <w:szCs w:val="32"/>
        </w:rPr>
        <w:t>10</w:t>
      </w:r>
      <w:r>
        <w:rPr>
          <w:rFonts w:ascii="仿宋_GB2312" w:eastAsia="仿宋_GB2312" w:hint="eastAsia"/>
          <w:snapToGrid w:val="0"/>
          <w:sz w:val="32"/>
          <w:szCs w:val="32"/>
        </w:rPr>
        <w:t>月</w:t>
      </w:r>
      <w:r>
        <w:rPr>
          <w:rFonts w:ascii="仿宋_GB2312" w:eastAsia="仿宋_GB2312"/>
          <w:snapToGrid w:val="0"/>
          <w:sz w:val="32"/>
          <w:szCs w:val="32"/>
        </w:rPr>
        <w:t>23</w:t>
      </w:r>
      <w:r>
        <w:rPr>
          <w:rFonts w:ascii="仿宋_GB2312" w:eastAsia="仿宋_GB2312" w:hint="eastAsia"/>
          <w:snapToGrid w:val="0"/>
          <w:sz w:val="32"/>
          <w:szCs w:val="32"/>
        </w:rPr>
        <w:t>日</w:t>
      </w: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p w:rsidR="00045D16" w:rsidRPr="00FC47FB" w:rsidRDefault="00045D16" w:rsidP="00CE2618">
      <w:pPr>
        <w:widowControl w:val="0"/>
        <w:snapToGrid/>
        <w:spacing w:after="0" w:line="560" w:lineRule="exact"/>
        <w:contextualSpacing/>
        <w:jc w:val="both"/>
        <w:rPr>
          <w:sz w:val="32"/>
          <w:szCs w:val="32"/>
        </w:rPr>
      </w:pPr>
    </w:p>
    <w:tbl>
      <w:tblPr>
        <w:tblpPr w:leftFromText="180" w:rightFromText="180" w:vertAnchor="page" w:horzAnchor="margin" w:tblpY="14237"/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60"/>
      </w:tblGrid>
      <w:tr w:rsidR="00045D16" w:rsidTr="0034729F">
        <w:trPr>
          <w:trHeight w:val="544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5D16" w:rsidRPr="00881A32" w:rsidRDefault="00045D16" w:rsidP="00E157FC">
            <w:pPr>
              <w:widowControl w:val="0"/>
              <w:spacing w:after="0" w:line="400" w:lineRule="exact"/>
              <w:ind w:leftChars="50" w:left="110" w:rightChars="50" w:right="11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881A32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青岛市</w:t>
            </w:r>
            <w:r w:rsidRPr="00881A32">
              <w:rPr>
                <w:rFonts w:ascii="仿宋_GB2312" w:eastAsia="仿宋_GB2312" w:cs="仿宋_GB2312" w:hint="eastAsia"/>
                <w:spacing w:val="-4"/>
                <w:sz w:val="28"/>
                <w:szCs w:val="28"/>
              </w:rPr>
              <w:t>文化和旅游局办公室</w:t>
            </w:r>
            <w:r w:rsidRPr="00881A32">
              <w:rPr>
                <w:rFonts w:ascii="仿宋_GB2312" w:eastAsia="仿宋_GB2312" w:cs="仿宋_GB2312"/>
                <w:spacing w:val="-4"/>
                <w:sz w:val="28"/>
                <w:szCs w:val="28"/>
              </w:rPr>
              <w:t xml:space="preserve"> </w:t>
            </w:r>
            <w:r w:rsidRPr="00881A32"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 xml:space="preserve"> </w:t>
            </w:r>
            <w:r w:rsidRPr="00881A32"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 xml:space="preserve">  2019</w:t>
            </w:r>
            <w:r w:rsidRPr="00881A32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>10</w:t>
            </w:r>
            <w:r w:rsidRPr="00881A32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>23</w:t>
            </w:r>
            <w:r w:rsidRPr="00881A32"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045D16" w:rsidRPr="007825FF" w:rsidRDefault="00045D16" w:rsidP="007825FF">
      <w:pPr>
        <w:widowControl w:val="0"/>
        <w:autoSpaceDE w:val="0"/>
        <w:autoSpaceDN w:val="0"/>
        <w:spacing w:after="0" w:line="560" w:lineRule="exact"/>
        <w:jc w:val="both"/>
        <w:rPr>
          <w:rFonts w:ascii="黑体" w:eastAsia="黑体" w:hAnsi="黑体" w:cs="FZFSK--GBK1-0"/>
          <w:snapToGrid w:val="0"/>
          <w:color w:val="000000"/>
          <w:sz w:val="32"/>
          <w:szCs w:val="32"/>
        </w:rPr>
      </w:pPr>
      <w:r w:rsidRPr="007825FF">
        <w:rPr>
          <w:rFonts w:ascii="黑体" w:eastAsia="黑体" w:hAnsi="黑体" w:cs="FZFSK--GBK1-0" w:hint="eastAsia"/>
          <w:snapToGrid w:val="0"/>
          <w:color w:val="000000"/>
          <w:sz w:val="32"/>
          <w:szCs w:val="32"/>
        </w:rPr>
        <w:lastRenderedPageBreak/>
        <w:t>附件</w:t>
      </w:r>
    </w:p>
    <w:p w:rsidR="00045D16" w:rsidRDefault="00045D16" w:rsidP="007825FF">
      <w:pPr>
        <w:widowControl w:val="0"/>
        <w:autoSpaceDE w:val="0"/>
        <w:autoSpaceDN w:val="0"/>
        <w:spacing w:after="0" w:line="560" w:lineRule="exact"/>
        <w:jc w:val="center"/>
        <w:rPr>
          <w:rFonts w:ascii="方正小标宋_GBK" w:eastAsia="方正小标宋_GBK" w:cs="FZFSK--GBK1-0"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市文化和旅游局</w:t>
      </w:r>
    </w:p>
    <w:p w:rsidR="00045D16" w:rsidRDefault="00045D16" w:rsidP="007825FF">
      <w:pPr>
        <w:widowControl w:val="0"/>
        <w:autoSpaceDE w:val="0"/>
        <w:autoSpaceDN w:val="0"/>
        <w:spacing w:after="0" w:line="560" w:lineRule="exact"/>
        <w:jc w:val="center"/>
        <w:rPr>
          <w:rFonts w:ascii="方正小标宋_GBK" w:eastAsia="方正小标宋_GBK" w:cs="FZFSK--GBK1-0"/>
          <w:snapToGrid w:val="0"/>
          <w:color w:val="000000"/>
          <w:sz w:val="32"/>
          <w:szCs w:val="32"/>
        </w:rPr>
      </w:pPr>
      <w:r>
        <w:rPr>
          <w:rFonts w:ascii="方正小标宋_GBK" w:eastAsia="方正小标宋_GBK" w:cs="FZFSK--GBK1-0" w:hint="eastAsia"/>
          <w:snapToGrid w:val="0"/>
          <w:color w:val="000000"/>
          <w:sz w:val="44"/>
          <w:szCs w:val="44"/>
        </w:rPr>
        <w:t>部门政府购买服务目录</w:t>
      </w:r>
    </w:p>
    <w:tbl>
      <w:tblPr>
        <w:tblW w:w="5000" w:type="pct"/>
        <w:tblLayout w:type="fixed"/>
        <w:tblLook w:val="00A0"/>
      </w:tblPr>
      <w:tblGrid>
        <w:gridCol w:w="940"/>
        <w:gridCol w:w="1595"/>
        <w:gridCol w:w="1825"/>
        <w:gridCol w:w="4700"/>
      </w:tblGrid>
      <w:tr w:rsidR="00045D16" w:rsidTr="0034729F">
        <w:trPr>
          <w:trHeight w:val="49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jc w:val="center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jc w:val="center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</w:rPr>
              <w:t>一级目录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jc w:val="center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</w:rPr>
              <w:t>二级目录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jc w:val="center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</w:rPr>
              <w:t>三级目录</w:t>
            </w:r>
          </w:p>
        </w:tc>
      </w:tr>
      <w:tr w:rsidR="00045D16" w:rsidTr="0034729F">
        <w:trPr>
          <w:trHeight w:val="47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</w:rPr>
              <w:t>A</w:t>
            </w:r>
          </w:p>
        </w:tc>
        <w:tc>
          <w:tcPr>
            <w:tcW w:w="4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</w:rPr>
              <w:t>基本公共服务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A14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文化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Pr="00DA5695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1.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“三馆一站”免费开放服务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2.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剧目创作补助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3.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优秀传统文化与民族民间传统文化的保护、传承与展示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4.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公益电影放映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5.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精品项目扶持奖励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6.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非物质文化遗产保护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7.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消费补贴服务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8.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场次补助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9.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演出服务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10.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读书活动的组织与承办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11.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公益性文化活动的组织与承办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舞台舞美设计制作服务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讲解服务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文物修复</w:t>
            </w:r>
          </w:p>
          <w:p w:rsidR="00045D16" w:rsidRPr="00DA5695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15.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青岛国信大剧院运转补助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16.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公益讲座、培训</w:t>
            </w:r>
          </w:p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17.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其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他文化艺术服务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</w:rPr>
              <w:t>B</w:t>
            </w:r>
          </w:p>
        </w:tc>
        <w:tc>
          <w:tcPr>
            <w:tcW w:w="4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社会管理性服务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社区建设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农家书屋建设补助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综合文化站、村社区综合性文化服务中心、文化广场免费开放</w:t>
            </w:r>
          </w:p>
        </w:tc>
      </w:tr>
      <w:tr w:rsidR="00045D16" w:rsidTr="0034729F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公共公益宣传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E157FC">
            <w:pPr>
              <w:widowControl w:val="0"/>
              <w:spacing w:after="0" w:line="260" w:lineRule="exact"/>
              <w:ind w:firstLineChars="100" w:firstLine="150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 xml:space="preserve">1. 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广告宣传服务</w:t>
            </w:r>
          </w:p>
        </w:tc>
      </w:tr>
      <w:tr w:rsidR="00045D16" w:rsidTr="0034729F">
        <w:trPr>
          <w:trHeight w:val="65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</w:rPr>
              <w:t>C</w:t>
            </w:r>
          </w:p>
        </w:tc>
        <w:tc>
          <w:tcPr>
            <w:tcW w:w="4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行业管理与协调服务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C06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行业统计分析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Pr="007825FF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7825FF"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  <w:t>1.</w:t>
            </w:r>
            <w:r w:rsidRPr="007825F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文化旅游统计</w:t>
            </w:r>
          </w:p>
        </w:tc>
      </w:tr>
      <w:tr w:rsidR="00045D16" w:rsidTr="00E157FC">
        <w:trPr>
          <w:trHeight w:val="5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</w:rPr>
              <w:t>E</w:t>
            </w:r>
          </w:p>
        </w:tc>
        <w:tc>
          <w:tcPr>
            <w:tcW w:w="4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政府履职所需辅助性服务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法律服务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法律顾问服务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诉讼代理服务</w:t>
            </w:r>
          </w:p>
        </w:tc>
      </w:tr>
      <w:tr w:rsidR="00045D16" w:rsidTr="0034729F">
        <w:trPr>
          <w:trHeight w:val="2113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课题研究和社会调查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文化旅游发展规划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文化旅游产业发展规划（含区域、专项规划）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群众对文化旅游生活满意度调查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社区村镇综合文化服务中心、文化站服务效能第三方调查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其他市场调查服务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文化旅游智库建设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时尚城建设课题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旅游公共设施专项规划（城市品质提升攻势</w:t>
            </w: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300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万，</w:t>
            </w: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年无预算）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lastRenderedPageBreak/>
              <w:t>10.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旅游营销规划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lastRenderedPageBreak/>
              <w:t>E03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财务会计审计服务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专项资金使用情况审计服务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其他审计服务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会议和展览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会议服务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展览服务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工程服务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文化旅游设施建设及维修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房屋维修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工程造价服务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工程设计服务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工程监理服务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工程咨询服务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工程其他服务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项目评审评估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项目评审服务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资产评估服务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绩效评价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文化、旅游专项绩效评估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E09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咨询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项目咨询服务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技术业务培训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文化旅游人才培训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机关信息系统建设与维护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信息管理软件的开发、维护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数字文化馆信息系统集成实施服务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文化消费平台维护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单位微信、微博平台运行维护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文化旅游公共服务系统运行维护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内部控制系统开发、维护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旅游资源产品系统开发、维护</w:t>
            </w:r>
          </w:p>
        </w:tc>
      </w:tr>
      <w:tr w:rsidR="00045D16" w:rsidTr="0034729F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后勤服务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物业保洁服务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车辆保险服务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车辆加油服务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车辆维修和保养服务</w:t>
            </w:r>
          </w:p>
          <w:p w:rsidR="00045D16" w:rsidRPr="007825FF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pacing w:val="-1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 w:rsidRPr="007825FF">
              <w:rPr>
                <w:rFonts w:ascii="仿宋" w:eastAsia="仿宋" w:hAnsi="仿宋" w:cs="宋体"/>
                <w:color w:val="000000"/>
                <w:spacing w:val="-10"/>
                <w:sz w:val="15"/>
                <w:szCs w:val="15"/>
              </w:rPr>
              <w:t xml:space="preserve"> </w:t>
            </w:r>
            <w:r w:rsidRPr="007825FF">
              <w:rPr>
                <w:rFonts w:ascii="仿宋" w:eastAsia="仿宋" w:hAnsi="仿宋" w:cs="宋体" w:hint="eastAsia"/>
                <w:color w:val="000000"/>
                <w:spacing w:val="-10"/>
                <w:sz w:val="15"/>
                <w:szCs w:val="15"/>
              </w:rPr>
              <w:t>设施设备维修和保养服务</w:t>
            </w:r>
            <w:r w:rsidRPr="007825FF">
              <w:rPr>
                <w:rFonts w:ascii="仿宋" w:eastAsia="仿宋" w:hAnsi="仿宋" w:cs="宋体"/>
                <w:color w:val="000000"/>
                <w:spacing w:val="-10"/>
                <w:sz w:val="15"/>
                <w:szCs w:val="15"/>
              </w:rPr>
              <w:t>(</w:t>
            </w:r>
            <w:r w:rsidRPr="007825FF">
              <w:rPr>
                <w:rFonts w:ascii="仿宋" w:eastAsia="仿宋" w:hAnsi="仿宋" w:cs="宋体" w:hint="eastAsia"/>
                <w:color w:val="000000"/>
                <w:spacing w:val="-10"/>
                <w:sz w:val="15"/>
                <w:szCs w:val="15"/>
              </w:rPr>
              <w:t>中央空调系统、监控系统、消防系统等</w:t>
            </w:r>
            <w:r w:rsidRPr="007825FF">
              <w:rPr>
                <w:rFonts w:ascii="仿宋" w:eastAsia="仿宋" w:hAnsi="仿宋" w:cs="宋体"/>
                <w:color w:val="000000"/>
                <w:spacing w:val="-10"/>
                <w:sz w:val="15"/>
                <w:szCs w:val="15"/>
              </w:rPr>
              <w:t>)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安保服务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绿化服务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旅游公共服务系统运行维护</w:t>
            </w:r>
          </w:p>
        </w:tc>
      </w:tr>
      <w:tr w:rsidR="00045D16" w:rsidTr="0034729F">
        <w:trPr>
          <w:trHeight w:val="1062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租赁服务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车辆租赁服务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演出设备租赁服务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其他租赁服务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文化旅游公共服务系统租房物业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演出场租服务</w:t>
            </w: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档案整理服务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</w:tr>
      <w:tr w:rsidR="00045D16" w:rsidTr="0034729F"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Pr="00DA5695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E16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印刷服务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翻译服务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出版服务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lastRenderedPageBreak/>
              <w:t>4.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设计服务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摄影服务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摄像服务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搬运服务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义工服务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文化旅游宣传、策划、促销、管理</w:t>
            </w:r>
          </w:p>
          <w:p w:rsidR="00045D16" w:rsidRDefault="00045D16" w:rsidP="007825FF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sz w:val="15"/>
                <w:szCs w:val="15"/>
              </w:rPr>
              <w:t>10.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其他服务</w:t>
            </w:r>
          </w:p>
        </w:tc>
      </w:tr>
    </w:tbl>
    <w:p w:rsidR="00045D16" w:rsidRPr="007825FF" w:rsidRDefault="00045D16" w:rsidP="007825FF">
      <w:pPr>
        <w:widowControl w:val="0"/>
        <w:snapToGrid/>
        <w:spacing w:after="0" w:line="260" w:lineRule="exact"/>
        <w:contextualSpacing/>
        <w:jc w:val="both"/>
      </w:pPr>
    </w:p>
    <w:sectPr w:rsidR="00045D16" w:rsidRPr="007825FF" w:rsidSect="00CE2618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41" w:rsidRDefault="00154A41" w:rsidP="00C72E20">
      <w:pPr>
        <w:spacing w:after="0"/>
      </w:pPr>
      <w:r>
        <w:separator/>
      </w:r>
    </w:p>
  </w:endnote>
  <w:endnote w:type="continuationSeparator" w:id="0">
    <w:p w:rsidR="00154A41" w:rsidRDefault="00154A41" w:rsidP="00C72E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6" w:rsidRDefault="00B37669" w:rsidP="00DC55A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45D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D16" w:rsidRDefault="00045D16" w:rsidP="00881A3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6" w:rsidRPr="00881A32" w:rsidRDefault="00045D16" w:rsidP="000E009A">
    <w:pPr>
      <w:pStyle w:val="a4"/>
      <w:framePr w:w="725" w:wrap="around" w:vAnchor="text" w:hAnchor="margin" w:xAlign="outside" w:y="4"/>
      <w:spacing w:after="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>—</w:t>
    </w:r>
    <w:r w:rsidR="00B37669" w:rsidRPr="00881A32">
      <w:rPr>
        <w:rStyle w:val="a5"/>
        <w:rFonts w:ascii="宋体" w:eastAsia="宋体" w:hAnsi="宋体"/>
        <w:sz w:val="28"/>
        <w:szCs w:val="28"/>
      </w:rPr>
      <w:fldChar w:fldCharType="begin"/>
    </w:r>
    <w:r w:rsidRPr="00881A32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B37669" w:rsidRPr="00881A32">
      <w:rPr>
        <w:rStyle w:val="a5"/>
        <w:rFonts w:ascii="宋体" w:eastAsia="宋体" w:hAnsi="宋体"/>
        <w:sz w:val="28"/>
        <w:szCs w:val="28"/>
      </w:rPr>
      <w:fldChar w:fldCharType="separate"/>
    </w:r>
    <w:r w:rsidR="00CA37A4">
      <w:rPr>
        <w:rStyle w:val="a5"/>
        <w:rFonts w:ascii="宋体" w:eastAsia="宋体" w:hAnsi="宋体"/>
        <w:noProof/>
        <w:sz w:val="28"/>
        <w:szCs w:val="28"/>
      </w:rPr>
      <w:t>5</w:t>
    </w:r>
    <w:r w:rsidR="00B37669" w:rsidRPr="00881A32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>—</w:t>
    </w:r>
  </w:p>
  <w:p w:rsidR="00045D16" w:rsidRDefault="00045D16" w:rsidP="00881A3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41" w:rsidRDefault="00154A41" w:rsidP="00C72E20">
      <w:pPr>
        <w:spacing w:after="0"/>
      </w:pPr>
      <w:r>
        <w:separator/>
      </w:r>
    </w:p>
  </w:footnote>
  <w:footnote w:type="continuationSeparator" w:id="0">
    <w:p w:rsidR="00154A41" w:rsidRDefault="00154A41" w:rsidP="00C72E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6D0"/>
    <w:rsid w:val="00045D16"/>
    <w:rsid w:val="000E009A"/>
    <w:rsid w:val="00154A41"/>
    <w:rsid w:val="002348A4"/>
    <w:rsid w:val="00323B43"/>
    <w:rsid w:val="0034729F"/>
    <w:rsid w:val="00355B3C"/>
    <w:rsid w:val="003D37D8"/>
    <w:rsid w:val="00426133"/>
    <w:rsid w:val="004358AB"/>
    <w:rsid w:val="00440F46"/>
    <w:rsid w:val="004A2047"/>
    <w:rsid w:val="00500FDE"/>
    <w:rsid w:val="005356AD"/>
    <w:rsid w:val="005E0381"/>
    <w:rsid w:val="006A4300"/>
    <w:rsid w:val="006A74C4"/>
    <w:rsid w:val="00742819"/>
    <w:rsid w:val="00751051"/>
    <w:rsid w:val="007825FF"/>
    <w:rsid w:val="007E269D"/>
    <w:rsid w:val="00852C00"/>
    <w:rsid w:val="00881A32"/>
    <w:rsid w:val="008A4EC9"/>
    <w:rsid w:val="008B7726"/>
    <w:rsid w:val="00963D5A"/>
    <w:rsid w:val="00981E37"/>
    <w:rsid w:val="00A31EC8"/>
    <w:rsid w:val="00AC27BE"/>
    <w:rsid w:val="00AF4BCF"/>
    <w:rsid w:val="00B37669"/>
    <w:rsid w:val="00BC54C5"/>
    <w:rsid w:val="00C72E20"/>
    <w:rsid w:val="00CA37A4"/>
    <w:rsid w:val="00CE2618"/>
    <w:rsid w:val="00D24297"/>
    <w:rsid w:val="00D31D50"/>
    <w:rsid w:val="00D844B7"/>
    <w:rsid w:val="00D961B7"/>
    <w:rsid w:val="00DA5695"/>
    <w:rsid w:val="00DC55AA"/>
    <w:rsid w:val="00DD661F"/>
    <w:rsid w:val="00E157FC"/>
    <w:rsid w:val="00F21738"/>
    <w:rsid w:val="00F63B7E"/>
    <w:rsid w:val="00FC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2E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2E20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2E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72E20"/>
    <w:rPr>
      <w:rFonts w:ascii="Tahoma" w:hAnsi="Tahoma" w:cs="Times New Roman"/>
      <w:sz w:val="18"/>
      <w:szCs w:val="18"/>
    </w:rPr>
  </w:style>
  <w:style w:type="character" w:styleId="a5">
    <w:name w:val="page number"/>
    <w:basedOn w:val="a0"/>
    <w:uiPriority w:val="99"/>
    <w:rsid w:val="00881A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2019-10-18T08:05:00Z</cp:lastPrinted>
  <dcterms:created xsi:type="dcterms:W3CDTF">2008-09-11T17:20:00Z</dcterms:created>
  <dcterms:modified xsi:type="dcterms:W3CDTF">2019-11-06T06:08:00Z</dcterms:modified>
</cp:coreProperties>
</file>