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4253"/>
        </w:tabs>
        <w:adjustRightInd w:val="0"/>
        <w:snapToGrid w:val="0"/>
        <w:spacing w:line="360" w:lineRule="auto"/>
        <w:ind w:firstLine="720" w:firstLineChars="200"/>
        <w:jc w:val="center"/>
        <w:rPr>
          <w:rFonts w:eastAsia="黑体"/>
          <w:sz w:val="36"/>
          <w:szCs w:val="36"/>
        </w:rPr>
      </w:pPr>
      <w:bookmarkStart w:id="0" w:name="_GoBack"/>
      <w:bookmarkEnd w:id="0"/>
    </w:p>
    <w:p>
      <w:pPr>
        <w:widowControl/>
        <w:tabs>
          <w:tab w:val="left" w:pos="4253"/>
        </w:tabs>
        <w:adjustRightInd w:val="0"/>
        <w:snapToGrid w:val="0"/>
        <w:spacing w:line="360" w:lineRule="auto"/>
        <w:ind w:firstLine="720" w:firstLineChars="200"/>
        <w:jc w:val="center"/>
        <w:rPr>
          <w:rFonts w:eastAsia="黑体"/>
          <w:sz w:val="36"/>
          <w:szCs w:val="36"/>
        </w:rPr>
      </w:pPr>
      <w:r>
        <w:rPr>
          <w:rFonts w:eastAsia="黑体"/>
          <w:sz w:val="36"/>
          <w:szCs w:val="36"/>
        </w:rPr>
        <w:t>农村住房安全性鉴定技术导则</w:t>
      </w:r>
    </w:p>
    <w:p>
      <w:pPr>
        <w:widowControl/>
        <w:tabs>
          <w:tab w:val="left" w:pos="6804"/>
        </w:tabs>
        <w:adjustRightInd w:val="0"/>
        <w:snapToGrid w:val="0"/>
        <w:spacing w:line="360" w:lineRule="auto"/>
        <w:jc w:val="center"/>
        <w:outlineLvl w:val="0"/>
        <w:rPr>
          <w:rFonts w:ascii="黑体" w:hAnsi="黑体" w:eastAsia="黑体" w:cs="黑体"/>
          <w:sz w:val="30"/>
          <w:szCs w:val="30"/>
        </w:rPr>
      </w:pP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一、总则</w:t>
      </w:r>
    </w:p>
    <w:p>
      <w:pPr>
        <w:numPr>
          <w:ilvl w:val="0"/>
          <w:numId w:val="1"/>
        </w:numPr>
        <w:tabs>
          <w:tab w:val="left" w:pos="284"/>
        </w:tabs>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为规范农村住房安全性鉴定程序和方法，为农村危房改造提供可靠依据，对《农村危险房屋鉴定技术导则（试行）》修订后形成本导则。</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本导则适用于一、二层既有农村住房的安全性鉴定，主要包括房屋危险程度鉴定及防灾措施鉴定。</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三层及以上农村住房，可参照现行国家标准《民用建筑可靠性鉴定标准》（GB 50292）、《建筑抗震鉴定标准》（GB 50023）进行鉴定。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的安全性鉴定，以定性判断为主。根据房屋主要构件的危险程度和影响范围评定其危险程度等级，结合防灾措施鉴定对房屋的基本安全作出评估。鉴定以现场检查为主，并结合入户访谈、走访建筑工匠等方式了解建造和使用情况。</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危险房屋（以下简称危房）指部分承重构件被鉴定为危险构件，或结构已严重损坏、处于危险状态，局部或整体不能满足安全使用要求的房屋；危房以幢为鉴定单位，通常为主要居住房屋。</w:t>
      </w:r>
    </w:p>
    <w:p>
      <w:pPr>
        <w:numPr>
          <w:ilvl w:val="0"/>
          <w:numId w:val="1"/>
        </w:numPr>
        <w:adjustRightInd w:val="0"/>
        <w:snapToGrid w:val="0"/>
        <w:spacing w:line="360" w:lineRule="auto"/>
        <w:ind w:left="0" w:firstLine="600" w:firstLineChars="200"/>
        <w:rPr>
          <w:rFonts w:ascii="仿宋" w:hAnsi="仿宋" w:eastAsia="仿宋" w:cs="仿宋"/>
          <w:b/>
          <w:sz w:val="30"/>
          <w:szCs w:val="30"/>
        </w:rPr>
      </w:pPr>
      <w:r>
        <w:rPr>
          <w:rFonts w:hint="eastAsia" w:ascii="仿宋" w:hAnsi="仿宋" w:eastAsia="仿宋" w:cs="仿宋"/>
          <w:sz w:val="30"/>
          <w:szCs w:val="30"/>
        </w:rPr>
        <w:t>农村住房安全性鉴定应由具有专业知识或经培训合格，并有一定工作经验的技术人员进行。</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二、基本规定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农村住房安全性鉴定应按下列程序进行：</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1.场地安全性鉴定：核查场地是否为地质灾害易发区，结合场地周边环境调查情况，进行安全性鉴定，鉴定结果分为危险和基本安全两个等级。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2.房屋基本情况调查：结合现场查勘，收集农户基本信息和房屋信息。</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3.房屋组成部分危险程度鉴定：对房屋各组成部分现状进行现场调查、查勘和检测，包括地基基础、上部承重结构和围护结构，分别鉴定其危险性，鉴定结果分为a、b、c、d四个等级。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4.房屋整体危险程度鉴定：对房屋各组成部分危险程度鉴定分级情况进行汇总，确定房屋整体危险性，鉴定结果分为A、B、C、D四个等级。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5.防灾措施鉴定：检查房屋是否采取防灾措施，并对防灾措施完备情况进行调查，鉴定结果分为具备防灾措施、部分具备防灾措施和完全不具备防灾措施3个等级。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6．处理建议：对被鉴定的房屋，根据房屋整体危险程度鉴定和防灾措施鉴定结果，综合考虑安全性提升加固改造措施，提出原则性的处理建议。</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7．出具鉴定报告：农村住房安全性鉴定报告内容应包括农户和房屋基本信息，房屋组成部分危险程度鉴定情况，房屋整体危险程度鉴定和防灾措施鉴定情况，并根据鉴定结果提出处理建议，附房屋简图和现场照片。</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8．争议处理：当农村住房安全性鉴定结论存在争议时，应委托专业机构进行仲裁鉴定。</w:t>
      </w:r>
    </w:p>
    <w:p>
      <w:pPr>
        <w:adjustRightInd w:val="0"/>
        <w:snapToGrid w:val="0"/>
        <w:spacing w:line="360" w:lineRule="auto"/>
        <w:jc w:val="center"/>
        <w:rPr>
          <w:rFonts w:ascii="仿宋" w:hAnsi="仿宋" w:eastAsia="仿宋" w:cs="仿宋"/>
          <w:b/>
          <w:sz w:val="30"/>
          <w:szCs w:val="30"/>
        </w:rPr>
      </w:pPr>
      <w:r>
        <w:rPr>
          <w:rFonts w:hint="eastAsia" w:ascii="仿宋" w:hAnsi="仿宋" w:eastAsia="仿宋" w:cs="仿宋"/>
          <w:b/>
          <w:sz w:val="30"/>
          <w:szCs w:val="30"/>
        </w:rPr>
        <w:drawing>
          <wp:inline distT="0" distB="0" distL="0" distR="0">
            <wp:extent cx="4789805" cy="2874645"/>
            <wp:effectExtent l="0" t="0" r="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789976" cy="2874684"/>
                    </a:xfrm>
                    <a:prstGeom prst="rect">
                      <a:avLst/>
                    </a:prstGeom>
                    <a:noFill/>
                  </pic:spPr>
                </pic:pic>
              </a:graphicData>
            </a:graphic>
          </wp:inline>
        </w:drawing>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b/>
          <w:sz w:val="28"/>
          <w:szCs w:val="28"/>
        </w:rPr>
        <w:t>图1 农村住房安全性鉴定程序</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对房屋组成部分进行危险程度鉴定，应按下列等级划分：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a级：无危险点。</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b级：有危险点。</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c级：局部危险。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d级：整体危险。</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在房屋组成部分危险程度鉴定基础上，对房屋整体危险程度进行鉴定，按下列等级划分：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A级：结构能满足安全使用要求，承重构件未发现危险点，房屋结构安全。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B级：结构基本满足安全使用要求，个别承重构件处于危险状态，但不影响主体结构安全。</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C级：部分承重结构不能满足安全使用要求，局部出现险情，构成局部危房。</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D级：承重结构已不能满足安全使用要求，房屋整体出现险情，构成整幢危房。</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安全性鉴定分两阶段进行，第一阶段为场地安全性鉴定，第二阶段为房屋组成部分危险程度鉴定、房屋整体危险程度鉴定和防灾措施鉴定。当既有房屋建设场地被判定为危险时，可直接鉴定为D级，提出迁址重建建议。</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房屋安全性鉴定应按照先房屋外部、后房屋内部，先宏观判别、后详细评定的顺序进行。房屋外观破坏程度严重或濒于倒塌的房屋，可不再对房屋内部进行检查，直接鉴定为D级。</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房屋外部检查重点为：</w:t>
      </w:r>
    </w:p>
    <w:p>
      <w:pPr>
        <w:pStyle w:val="24"/>
        <w:adjustRightInd w:val="0"/>
        <w:snapToGrid w:val="0"/>
        <w:spacing w:line="360" w:lineRule="auto"/>
        <w:ind w:firstLine="0" w:firstLineChars="0"/>
        <w:rPr>
          <w:rFonts w:ascii="仿宋" w:hAnsi="仿宋" w:eastAsia="仿宋" w:cs="仿宋"/>
          <w:sz w:val="30"/>
          <w:szCs w:val="30"/>
        </w:rPr>
      </w:pPr>
      <w:r>
        <w:rPr>
          <w:rFonts w:hint="eastAsia" w:ascii="仿宋" w:hAnsi="仿宋" w:eastAsia="仿宋" w:cs="仿宋"/>
          <w:sz w:val="30"/>
          <w:szCs w:val="30"/>
        </w:rPr>
        <w:t xml:space="preserve">    1.房屋周边环境情况。</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2.房屋的层数、高度、平立面布置、主要建筑材料、楼（屋）盖形式等。</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3.地基基础的稳定和变形情况。</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4.房屋是否有整体倾斜、变形。</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5.房屋外观损伤和破坏情况。</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房屋</w:t>
      </w:r>
      <w:r>
        <w:rPr>
          <w:rFonts w:hint="eastAsia" w:ascii="仿宋" w:hAnsi="仿宋" w:eastAsia="仿宋" w:cs="仿宋"/>
          <w:bCs/>
          <w:sz w:val="30"/>
          <w:szCs w:val="30"/>
        </w:rPr>
        <w:t>内部检查时，应首先结合外部检查确定房屋结构体系，然后对主要构件进行外观缺陷、损伤及破坏情况的检查。对各类构件的检查要点如下：</w:t>
      </w:r>
    </w:p>
    <w:p>
      <w:pPr>
        <w:adjustRightInd w:val="0"/>
        <w:snapToGrid w:val="0"/>
        <w:spacing w:line="360" w:lineRule="auto"/>
        <w:rPr>
          <w:rFonts w:ascii="仿宋" w:hAnsi="仿宋" w:eastAsia="仿宋" w:cs="仿宋"/>
          <w:sz w:val="30"/>
          <w:szCs w:val="30"/>
        </w:rPr>
      </w:pPr>
      <w:r>
        <w:rPr>
          <w:rFonts w:hint="eastAsia" w:ascii="仿宋" w:hAnsi="仿宋" w:eastAsia="仿宋" w:cs="仿宋"/>
          <w:bCs/>
          <w:sz w:val="30"/>
          <w:szCs w:val="30"/>
        </w:rPr>
        <w:t xml:space="preserve">    1.</w:t>
      </w:r>
      <w:r>
        <w:rPr>
          <w:rFonts w:hint="eastAsia" w:ascii="仿宋" w:hAnsi="仿宋" w:eastAsia="仿宋" w:cs="仿宋"/>
          <w:sz w:val="30"/>
          <w:szCs w:val="30"/>
        </w:rPr>
        <w:t>承重墙体、柱、梁、楼板、屋盖构件的材质、规格尺寸，有无受力或变形裂缝及程度等。</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2.各承重构件之间的连接构造节点做法及现状，有无拉脱、松动、变形等。</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3.木构架承重房屋的刚性围护墙及其与承重木构架的连接。</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4.判定墙体裂缝性质时，应注意区分抹灰层等装饰层的损坏与构件本身的损坏，必要时</w:t>
      </w:r>
      <w:r>
        <w:rPr>
          <w:rFonts w:hint="eastAsia" w:ascii="仿宋" w:hAnsi="仿宋" w:eastAsia="仿宋" w:cs="仿宋"/>
          <w:bCs/>
          <w:sz w:val="30"/>
          <w:szCs w:val="30"/>
        </w:rPr>
        <w:t>应剔除其装饰层进行核查</w:t>
      </w:r>
      <w:r>
        <w:rPr>
          <w:rFonts w:hint="eastAsia" w:ascii="仿宋" w:hAnsi="仿宋" w:eastAsia="仿宋" w:cs="仿宋"/>
          <w:sz w:val="30"/>
          <w:szCs w:val="30"/>
        </w:rPr>
        <w:t>。</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现场鉴定人员应有可靠的安全防护措施。</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三、场地安全性鉴定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场地是否存在重大安全隐患，以自然资源部门出具的评估结果和建议为准，避免造成严重后果；同时现场调查房屋所处周边环境是否存在危险因素。当场地存在下列情况之一时，应判定为危险场地：</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    1.可能发生滑坡、崩塌、地陷、地裂等。</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2.洪水主流区、山洪、泥石流易发地段。</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3.岩溶、土洞强烈发育地段。</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4.已出现明显变形下陷趋势的采空区。</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四、房屋组成部分危险程度鉴定</w:t>
      </w:r>
    </w:p>
    <w:p>
      <w:pPr>
        <w:pStyle w:val="24"/>
        <w:numPr>
          <w:ilvl w:val="0"/>
          <w:numId w:val="1"/>
        </w:numPr>
        <w:adjustRightInd w:val="0"/>
        <w:snapToGrid w:val="0"/>
        <w:spacing w:line="360" w:lineRule="auto"/>
        <w:ind w:left="0" w:firstLine="600"/>
        <w:rPr>
          <w:rFonts w:ascii="仿宋" w:hAnsi="仿宋" w:eastAsia="仿宋" w:cs="仿宋"/>
          <w:sz w:val="30"/>
          <w:szCs w:val="30"/>
        </w:rPr>
      </w:pPr>
      <w:r>
        <w:rPr>
          <w:rFonts w:hint="eastAsia" w:ascii="仿宋" w:hAnsi="仿宋" w:eastAsia="仿宋" w:cs="仿宋"/>
          <w:sz w:val="30"/>
          <w:szCs w:val="30"/>
        </w:rPr>
        <w:t>房屋由地基基础、承重构件、围护（分隔）构件、木屋架和楼（屋）盖等组成，</w:t>
      </w:r>
      <w:r>
        <w:rPr>
          <w:rFonts w:hint="eastAsia" w:ascii="仿宋" w:hAnsi="仿宋" w:eastAsia="仿宋" w:cs="仿宋"/>
          <w:bCs/>
          <w:color w:val="000000" w:themeColor="text1"/>
          <w:sz w:val="30"/>
          <w:szCs w:val="30"/>
          <w14:textFill>
            <w14:solidFill>
              <w14:schemeClr w14:val="tx1"/>
            </w14:solidFill>
          </w14:textFill>
        </w:rPr>
        <w:t>各组成部分包括多个构件，危险程度鉴定时以危险程度最高的构件来判定组成部分的危险等级。应因地制宜，根据房屋结构体系确定主要构件并进行危险程度鉴定。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地基基础鉴定以现状鉴定为主，着重检查外露基础现状情况，上部结构有无因不均匀沉降引起的裂缝、沉降等，按下列等级进行划分：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a级：上部结构无不均匀沉降裂缝和倾斜，外露基础完好；地基、基础稳定。</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b级：上部结构有轻微不均匀沉降裂缝，外露基础基本完好；地基、基础基本稳定。</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c级：上部结构出现明显不均匀沉降裂缝，或外露基础明显腐蚀、酥碱、松散和剥落。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d级：上部结构不均匀沉降裂缝严重，且继续发展尚未稳定，或已出现明显倾斜；基础局部或整体塌陷。</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砌体墙鉴定主要检查砌筑质量、外观现状等，按下列等级进行划分：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a级：砌筑质量良好，无裂缝、剥蚀、歪斜；纵横墙交接处咬槎砌筑。</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b级：砌筑质量一般，部分墙体有轻微开裂或剥蚀；纵横墙交接处无明显通缝。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c级：砌筑质量差，墙体普遍开裂，剥蚀严重；纵横墙体脱闪；个别墙体歪斜；承重墙体厚度≤120mm。</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当小型混凝土空心砌块墙未按要求设置芯柱时，结合质量现状，应判定为c级或d级。</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石砌墙体鉴定主要检查砌筑质量、砌筑方式、外观现状等，按下列等级进行划分：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a级：石料规整，砌筑质量良好；无空鼓、歪斜；纵横墙交接处咬槎砌筑。</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b级：石料基本规整，砌筑质量一般；墙体有轻微开裂或空鼓；纵横墙交接处无明显通缝。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c级：石料规整性差，砌筑质量差；墙体普遍开裂，明显空鼓，部分石料松动；纵横墙体脱闪，个别墙体歪斜。</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当墙体采用乱毛石、鹅卵石砌筑，或砌筑砂浆为泥浆或无浆干砌时，应判定为c级或d级。</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生土墙体鉴定主要检查砌筑（夯筑）质量、砌筑方式、外观现状等，按下列等级进行划分：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a级：土坯墙块体规整、砌筑质量良好，夯土墙夯筑质量好，干缩裂缝较少。墙面无剥蚀、空鼓；纵横墙交接处咬槎砌筑；</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b级：土坯墙砌筑质量或夯土墙夯筑质量一般，干缩裂缝较多但不严重；受力裂缝轻微；墙面轻微剥蚀或空鼓；纵横墙交接处无明显通缝。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c级：墙体砌筑或夯筑质量差，干缩裂缝严重并出现明显受力裂缝；墙面明显剥蚀，空鼓严重；纵横墙体脱闪，个别墙体歪斜。</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d级：墙体严重开裂；部分墙体严重歪斜，局部倒塌或有倒塌危险。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处于长期受潮状态或周边排水不畅的生土墙体，应判定为c级或d级。</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承重木构架鉴定主要检查木柱、梁、檩等各构件的现状及榫卯节点连接情况，按下列等级进行划分：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a级：无腐朽或虫蛀；构件无变形；有轻微干缩裂缝；榫卯节点良好。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b级：轻微腐朽或虫蛀；构件有轻微变形；构件纵向干缩裂缝深度超过木材直径的1/6；榫卯节点基本良好。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明显腐朽或虫蛀；梁、檩跨中明显挠曲或出现横向裂缝，梁檩端部出现劈裂；柱身明显歪斜；木柱与柱基础之间错位；构件纵向干缩裂缝深度超过木材直径的1/4；榫卯节点有破损或有拔榫迹象；承重柱存在接柱或转换情况且未采取可靠连接措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d级：严重腐朽或虫蛀；梁、檩跨中出现严重横向裂缝；柱身严重歪斜；木柱与柱基础之间严重错位；构件纵向干缩裂缝深度超过木材直径的1/3；榫卯节点失效或多处拔榫。</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梁、板、柱等混凝土构件的鉴定主要检查质量现状，按下列等级进行划分：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a级：表面平整，或仅有少量微小开裂或个别部位剥落；钢筋无明显露筋、锈蚀；预制板端部支承稳固，采取加强连接措施。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b级：表面轻微开裂或局部剥落；个别部位钢筋露筋、锈蚀；预制板端部支承基本稳固。</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c级：保护层剥落严重；钢筋露筋、锈蚀，出现明显锈胀裂缝；梁、板出现明显受力裂缝和变形；预制板端部支承长度不足。</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d级：保护层剥落非常严重；部分钢筋外露；梁、板出现严重受力裂缝和变形；预制板端部支承长度严重不足，有坠落危险。</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围护墙体鉴定主要检查刚性围护墙及其与承重木构架连接现状，围护墙体质量鉴定根据墙体类别参见以上各条要求，按下列等级进行划分：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a级：围护墙与承重木柱间有拉结措施；山墙、山尖墙与木构架或屋架有墙揽拉结；内隔墙顶与梁或屋架下弦有拉结。</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b级：采取部分拉结措施；围护墙与承重木柱之间未出现明显通缝。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c级：无拉结措施；贴砌山墙、山尖墙与屋架分离；围护墙体与承重木柱之间出现明显竖向通缝。</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d级：无拉结措施；贴砌山墙、山尖墙与屋架分离且有明显外闪；围护墙体与承重木柱之间脱闪。</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木屋架鉴定主要检查各构件的现状以及节点连接情况，按下列等级进行划分：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a级：无腐朽或虫蛀；无变形；自身稳定性良好，没有平面内变形和平面外偏斜；榫卯节点良好。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b级：轻微腐朽或虫蛀；有轻微变形；自身稳定性尚可，有轻微平面内变形或平面外偏斜；榫卯节点基本良好。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c级：明显腐朽或虫蛀；下弦跨中出现横纹裂缝；端部支座移位或松动；出现明显平面内变形或平面外歪斜；榫卯节点有破损、松动或有拔榫迹象。</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d级：严重腐朽或虫蛀；下弦跨中出现严重横纹裂缝；端部支座失效；出现平面内严重变形或平面外严重歪斜；榫卯节点多处拔榫。</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楼（屋）盖鉴定主要检查构件现状，按下列等级进行划分：</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a级：楼（屋）面板无明显受力裂缝和变形；椽、瓦完好；屋面无渗水现象。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 xml:space="preserve">b级：楼（屋）面板有轻微裂缝但无明显变形；瓦屋面局部轻微沉陷，椽、瓦小范围损坏；屋面小范围渗水。 </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c级：楼（屋）面板明显开裂和变形；瓦屋面出现较大范围沉陷，椽、瓦较大范围损坏；屋面较大范围渗水。</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d级：楼（屋）面板开裂严重，部分塌落；瓦屋面大范围沉陷，椽、瓦大范围严重损坏；屋面大范围渗水漏雨。</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五、房屋整体危险程度鉴定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在各组成部分危险程度鉴定结果基础上，结合房屋宏观情况进行综合判定，确定其整体危险程度等级：</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A级：房屋各组成部分各项均为a级，即房屋没有损坏，整体现状基本完好。</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B级：房屋各组成部分至少一项为b级，即房屋出现轻微破损，存在轻度危险。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C级：房屋各组成部分至少一项为c级，即房屋出现中度破损，存在中度危险。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D级：房屋各组成部分至少一项为d级，即房屋出现严重破损，存在严重危险。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生土墙体承重、砖土混合承重房屋，泥浆砌筑的砖木、石木结构房屋，即使观感完好，但存在潜在原始缺陷，不应评为A级。</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六、防灾措施鉴定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在进行房屋危险程度鉴定的同时，应进行防灾措施鉴定，鉴定结果分为具备防灾措施、部分具备防灾措施、完全不具备防灾措施3个等级。应因地制宜根据主要灾种提出防灾措施鉴定要求。8度及以上高地震烈度区应对抗震构造措施着重进行鉴定。</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抗震构造措施鉴定主要检查以下项目是否符合，进行综合判断并分级：</w:t>
      </w:r>
    </w:p>
    <w:p>
      <w:pPr>
        <w:pStyle w:val="24"/>
        <w:adjustRightInd w:val="0"/>
        <w:snapToGrid w:val="0"/>
        <w:spacing w:line="360" w:lineRule="auto"/>
        <w:ind w:firstLine="0" w:firstLineChars="0"/>
        <w:rPr>
          <w:rFonts w:ascii="仿宋" w:hAnsi="仿宋" w:eastAsia="仿宋" w:cs="仿宋"/>
          <w:sz w:val="30"/>
          <w:szCs w:val="30"/>
        </w:rPr>
      </w:pPr>
      <w:r>
        <w:rPr>
          <w:rFonts w:hint="eastAsia" w:ascii="仿宋" w:hAnsi="仿宋" w:eastAsia="仿宋" w:cs="仿宋"/>
          <w:sz w:val="30"/>
          <w:szCs w:val="30"/>
        </w:rPr>
        <w:t xml:space="preserve">    1.墙体承重房屋基础埋置深度不宜小于500mm，8度及以上设防地区应设置钢筋混凝土地圈梁。</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2.8度及以上设防地区，砌体墙承重房屋四角应设置钢筋混凝土构造柱。</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3.8度及以上设防地区的房屋，承重墙顶或檐口高度处应设置钢筋混凝土圈梁；6度、7度设防地区的房屋，宜根据墙体类别设置钢筋混凝土圈梁、配筋砂浆带圈梁或钢筋砖圈梁；现浇钢筋混凝土楼板可兼做圈梁。</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4.8度及以上设防地区，端开间及中间隔开间木构（屋）架间应设置竖向剪刀撑，檐口高度应设置纵向水平系杆。</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5.承重窗间墙最小宽度及承重外墙尽端至门窗洞边的最小距离不应小于900mm。</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6.承重墙体最小厚度，砌体墙不应小于180mm，料石墙不应小于200mm，生土墙不应小于240mm。</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7.后砌砖、砌块等刚性隔墙与承重结构应有可靠拉结措施。</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生土承重结构、砖木混杂结构等应鉴定为“部分具备防灾措施”或“完全不具备防灾措施”。</w:t>
      </w:r>
    </w:p>
    <w:p>
      <w:pPr>
        <w:widowControl/>
        <w:tabs>
          <w:tab w:val="left" w:pos="6804"/>
        </w:tabs>
        <w:adjustRightInd w:val="0"/>
        <w:snapToGrid w:val="0"/>
        <w:spacing w:line="360" w:lineRule="auto"/>
        <w:jc w:val="center"/>
        <w:outlineLvl w:val="0"/>
        <w:rPr>
          <w:rFonts w:ascii="黑体" w:hAnsi="黑体" w:eastAsia="黑体" w:cs="黑体"/>
          <w:sz w:val="30"/>
          <w:szCs w:val="30"/>
        </w:rPr>
      </w:pPr>
      <w:r>
        <w:rPr>
          <w:rFonts w:hint="eastAsia" w:ascii="黑体" w:hAnsi="黑体" w:eastAsia="黑体" w:cs="黑体"/>
          <w:sz w:val="30"/>
          <w:szCs w:val="30"/>
        </w:rPr>
        <w:t>七、鉴定结论与处理建议</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农村住房安全性鉴定报告应包括下列内容，可采用表格形式或文字报告形式。</w:t>
      </w:r>
    </w:p>
    <w:p>
      <w:pPr>
        <w:pStyle w:val="24"/>
        <w:adjustRightInd w:val="0"/>
        <w:snapToGrid w:val="0"/>
        <w:spacing w:line="360" w:lineRule="auto"/>
        <w:ind w:firstLine="0" w:firstLineChars="0"/>
        <w:rPr>
          <w:rFonts w:ascii="仿宋" w:hAnsi="仿宋" w:eastAsia="仿宋" w:cs="仿宋"/>
          <w:sz w:val="30"/>
          <w:szCs w:val="30"/>
        </w:rPr>
      </w:pPr>
      <w:r>
        <w:rPr>
          <w:rFonts w:hint="eastAsia" w:ascii="仿宋" w:hAnsi="仿宋" w:eastAsia="仿宋" w:cs="仿宋"/>
          <w:sz w:val="30"/>
          <w:szCs w:val="30"/>
        </w:rPr>
        <w:t xml:space="preserve">    1.农户基本信息：包括户主姓名、身份证号码、联系电话、贫困户类型、家庭人口等。</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2.房屋基本信息：包括所在地址、建造年代、建筑面积、层数、开间、抗震设防烈度、结构形式、承重构件种类、围护墙体材料、楼（屋）面类型及材料等，使用历史和维修情况。</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3.鉴定机构，鉴定人员及鉴定日期。</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4.房屋危险程度鉴定等级，包括各组成部分（构件）、房屋整体危险程度鉴定等级。</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5.防灾措施鉴定结果。</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6.鉴定结论及处理建议。</w:t>
      </w:r>
    </w:p>
    <w:p>
      <w:pPr>
        <w:pStyle w:val="24"/>
        <w:adjustRightInd w:val="0"/>
        <w:snapToGrid w:val="0"/>
        <w:spacing w:line="360" w:lineRule="auto"/>
        <w:ind w:firstLine="600" w:firstLineChars="0"/>
        <w:rPr>
          <w:rFonts w:ascii="仿宋" w:hAnsi="仿宋" w:eastAsia="仿宋" w:cs="仿宋"/>
          <w:sz w:val="30"/>
          <w:szCs w:val="30"/>
        </w:rPr>
      </w:pPr>
      <w:r>
        <w:rPr>
          <w:rFonts w:hint="eastAsia" w:ascii="仿宋" w:hAnsi="仿宋" w:eastAsia="仿宋" w:cs="仿宋"/>
          <w:sz w:val="30"/>
          <w:szCs w:val="30"/>
        </w:rPr>
        <w:t>7.调查记录、房屋简图及照片等附件，调查记录应有现场调查人员、农户签字，通过走访建筑工匠了解房屋建造情况时应有工匠签字。</w:t>
      </w:r>
    </w:p>
    <w:p>
      <w:pPr>
        <w:numPr>
          <w:ilvl w:val="0"/>
          <w:numId w:val="1"/>
        </w:numPr>
        <w:adjustRightInd w:val="0"/>
        <w:snapToGrid w:val="0"/>
        <w:spacing w:line="360" w:lineRule="auto"/>
        <w:ind w:left="0" w:firstLine="600" w:firstLineChars="200"/>
        <w:rPr>
          <w:rFonts w:ascii="仿宋" w:hAnsi="仿宋" w:eastAsia="仿宋" w:cs="仿宋"/>
          <w:sz w:val="30"/>
          <w:szCs w:val="30"/>
        </w:rPr>
      </w:pPr>
      <w:r>
        <w:rPr>
          <w:rFonts w:hint="eastAsia" w:ascii="仿宋" w:hAnsi="仿宋" w:eastAsia="仿宋" w:cs="仿宋"/>
          <w:sz w:val="30"/>
          <w:szCs w:val="30"/>
        </w:rPr>
        <w:t>经鉴定为局部危房或整幢危房时，应按下列方式进行处理：</w:t>
      </w:r>
    </w:p>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 xml:space="preserve">    1.经鉴定为C级危房的农村住房，鼓励因地制宜进行加固维修，解除危险。</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2.经鉴定为D级危房，确定已无修缮价值的农村住房，应拆除、置换或重建。</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3.经鉴定为D级危房，短期内不便拆除又不危及相邻建筑和影响他人安全时，应暂时停止使用，或在采取相应的临时安全措施后，改变用途不再居住，观察使用。</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4.有保护价值的D级传统民居及有历史文化价值的建筑等，应专门研究后确定处理方案。</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5.确定加固维修方案时，应将消除房屋局部危险与抗震构造措施加固综合考虑。</w:t>
      </w:r>
    </w:p>
    <w:p>
      <w:pPr>
        <w:adjustRightInd w:val="0"/>
        <w:snapToGrid w:val="0"/>
        <w:spacing w:line="360" w:lineRule="auto"/>
        <w:ind w:firstLine="600"/>
        <w:rPr>
          <w:rFonts w:ascii="仿宋" w:hAnsi="仿宋" w:eastAsia="仿宋" w:cs="仿宋"/>
          <w:sz w:val="30"/>
          <w:szCs w:val="30"/>
        </w:rPr>
      </w:pPr>
      <w:r>
        <w:rPr>
          <w:rFonts w:hint="eastAsia" w:ascii="仿宋" w:hAnsi="仿宋" w:eastAsia="仿宋" w:cs="仿宋"/>
          <w:sz w:val="30"/>
          <w:szCs w:val="30"/>
        </w:rPr>
        <w:t>6.当条件允许时，加固维修宜结合房屋宜居性改造和节能改造同步进行。</w:t>
      </w:r>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44BAF"/>
    <w:multiLevelType w:val="multilevel"/>
    <w:tmpl w:val="12644BAF"/>
    <w:lvl w:ilvl="0" w:tentative="0">
      <w:start w:val="1"/>
      <w:numFmt w:val="japaneseCounting"/>
      <w:lvlText w:val="第%1条"/>
      <w:lvlJc w:val="left"/>
      <w:pPr>
        <w:ind w:left="988" w:hanging="420"/>
      </w:pPr>
      <w:rPr>
        <w:rFonts w:hint="default"/>
        <w:b/>
        <w:color w:val="auto"/>
        <w:lang w:val="en-US"/>
      </w:rPr>
    </w:lvl>
    <w:lvl w:ilvl="1" w:tentative="0">
      <w:start w:val="1"/>
      <w:numFmt w:val="decimal"/>
      <w:lvlText w:val="%2"/>
      <w:lvlJc w:val="left"/>
      <w:pPr>
        <w:ind w:left="1620" w:hanging="360"/>
      </w:pPr>
      <w:rPr>
        <w:rFonts w:hint="default"/>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41"/>
    <w:rsid w:val="00001897"/>
    <w:rsid w:val="000023CA"/>
    <w:rsid w:val="00005B93"/>
    <w:rsid w:val="00010319"/>
    <w:rsid w:val="00010334"/>
    <w:rsid w:val="00010FA3"/>
    <w:rsid w:val="00011807"/>
    <w:rsid w:val="00011FCD"/>
    <w:rsid w:val="000213D1"/>
    <w:rsid w:val="00033486"/>
    <w:rsid w:val="000340DA"/>
    <w:rsid w:val="000348E6"/>
    <w:rsid w:val="00034D69"/>
    <w:rsid w:val="000366D8"/>
    <w:rsid w:val="000376AE"/>
    <w:rsid w:val="000378CF"/>
    <w:rsid w:val="000429E2"/>
    <w:rsid w:val="00044361"/>
    <w:rsid w:val="0004476D"/>
    <w:rsid w:val="00046D5F"/>
    <w:rsid w:val="0005513B"/>
    <w:rsid w:val="00063035"/>
    <w:rsid w:val="00073487"/>
    <w:rsid w:val="00073B36"/>
    <w:rsid w:val="0007428C"/>
    <w:rsid w:val="00074DF2"/>
    <w:rsid w:val="000777EF"/>
    <w:rsid w:val="0008073F"/>
    <w:rsid w:val="00085C0C"/>
    <w:rsid w:val="000875DA"/>
    <w:rsid w:val="00090194"/>
    <w:rsid w:val="000904AC"/>
    <w:rsid w:val="00092BB3"/>
    <w:rsid w:val="0009385A"/>
    <w:rsid w:val="000A01C5"/>
    <w:rsid w:val="000A3D67"/>
    <w:rsid w:val="000A604F"/>
    <w:rsid w:val="000A7422"/>
    <w:rsid w:val="000B0F02"/>
    <w:rsid w:val="000B2E34"/>
    <w:rsid w:val="000B4C7D"/>
    <w:rsid w:val="000B5181"/>
    <w:rsid w:val="000B5C2D"/>
    <w:rsid w:val="000B7A3D"/>
    <w:rsid w:val="000C10EF"/>
    <w:rsid w:val="000C188A"/>
    <w:rsid w:val="000C2475"/>
    <w:rsid w:val="000C2FF0"/>
    <w:rsid w:val="000C4C11"/>
    <w:rsid w:val="000C62E0"/>
    <w:rsid w:val="000C716D"/>
    <w:rsid w:val="000C73E9"/>
    <w:rsid w:val="000D69F0"/>
    <w:rsid w:val="000D6C06"/>
    <w:rsid w:val="000D71AF"/>
    <w:rsid w:val="000E348C"/>
    <w:rsid w:val="000E5613"/>
    <w:rsid w:val="000F1CA1"/>
    <w:rsid w:val="000F579A"/>
    <w:rsid w:val="000F7043"/>
    <w:rsid w:val="00100299"/>
    <w:rsid w:val="00100742"/>
    <w:rsid w:val="00104361"/>
    <w:rsid w:val="0010690C"/>
    <w:rsid w:val="00106C12"/>
    <w:rsid w:val="001120A4"/>
    <w:rsid w:val="00112824"/>
    <w:rsid w:val="0011434D"/>
    <w:rsid w:val="00115259"/>
    <w:rsid w:val="001152B2"/>
    <w:rsid w:val="00115724"/>
    <w:rsid w:val="0011690A"/>
    <w:rsid w:val="00121FF5"/>
    <w:rsid w:val="0012356C"/>
    <w:rsid w:val="0012371A"/>
    <w:rsid w:val="00125C8D"/>
    <w:rsid w:val="001300B8"/>
    <w:rsid w:val="001309A9"/>
    <w:rsid w:val="00130E3F"/>
    <w:rsid w:val="00135C03"/>
    <w:rsid w:val="00141EDF"/>
    <w:rsid w:val="00147BC5"/>
    <w:rsid w:val="001511EC"/>
    <w:rsid w:val="001530F6"/>
    <w:rsid w:val="00153C61"/>
    <w:rsid w:val="001548F0"/>
    <w:rsid w:val="00161B98"/>
    <w:rsid w:val="00170852"/>
    <w:rsid w:val="00171E92"/>
    <w:rsid w:val="00171EC0"/>
    <w:rsid w:val="00174C80"/>
    <w:rsid w:val="00176B28"/>
    <w:rsid w:val="00176D77"/>
    <w:rsid w:val="001818D5"/>
    <w:rsid w:val="0018562E"/>
    <w:rsid w:val="00191525"/>
    <w:rsid w:val="00191845"/>
    <w:rsid w:val="001A1A60"/>
    <w:rsid w:val="001A1AE6"/>
    <w:rsid w:val="001A246C"/>
    <w:rsid w:val="001A3E0A"/>
    <w:rsid w:val="001B11B4"/>
    <w:rsid w:val="001B189B"/>
    <w:rsid w:val="001B52AE"/>
    <w:rsid w:val="001B6AAF"/>
    <w:rsid w:val="001C1062"/>
    <w:rsid w:val="001C6340"/>
    <w:rsid w:val="001C6C32"/>
    <w:rsid w:val="001D31E2"/>
    <w:rsid w:val="001D4796"/>
    <w:rsid w:val="001D5FA1"/>
    <w:rsid w:val="001D6A29"/>
    <w:rsid w:val="001E0B30"/>
    <w:rsid w:val="001E45DF"/>
    <w:rsid w:val="001E50AC"/>
    <w:rsid w:val="001E56FD"/>
    <w:rsid w:val="001E7971"/>
    <w:rsid w:val="001E7D39"/>
    <w:rsid w:val="001F1237"/>
    <w:rsid w:val="00202B15"/>
    <w:rsid w:val="0020718A"/>
    <w:rsid w:val="00214BB8"/>
    <w:rsid w:val="00220737"/>
    <w:rsid w:val="00221ED9"/>
    <w:rsid w:val="002271EA"/>
    <w:rsid w:val="0023041A"/>
    <w:rsid w:val="0023098E"/>
    <w:rsid w:val="002320C1"/>
    <w:rsid w:val="00234243"/>
    <w:rsid w:val="00236B49"/>
    <w:rsid w:val="00237769"/>
    <w:rsid w:val="0024096E"/>
    <w:rsid w:val="0024330D"/>
    <w:rsid w:val="00243BAA"/>
    <w:rsid w:val="00251830"/>
    <w:rsid w:val="00252817"/>
    <w:rsid w:val="002560F1"/>
    <w:rsid w:val="00261CFE"/>
    <w:rsid w:val="002645B0"/>
    <w:rsid w:val="00272CB2"/>
    <w:rsid w:val="00281614"/>
    <w:rsid w:val="002831C6"/>
    <w:rsid w:val="002840BB"/>
    <w:rsid w:val="0028415C"/>
    <w:rsid w:val="00287BBB"/>
    <w:rsid w:val="00290212"/>
    <w:rsid w:val="00290EB2"/>
    <w:rsid w:val="0029144C"/>
    <w:rsid w:val="0029534B"/>
    <w:rsid w:val="00296BE4"/>
    <w:rsid w:val="002A0C11"/>
    <w:rsid w:val="002A627E"/>
    <w:rsid w:val="002A6D90"/>
    <w:rsid w:val="002B0F43"/>
    <w:rsid w:val="002B1003"/>
    <w:rsid w:val="002B4DE0"/>
    <w:rsid w:val="002B53BF"/>
    <w:rsid w:val="002B58CB"/>
    <w:rsid w:val="002B6BE5"/>
    <w:rsid w:val="002B798E"/>
    <w:rsid w:val="002C1323"/>
    <w:rsid w:val="002C31BA"/>
    <w:rsid w:val="002C6669"/>
    <w:rsid w:val="002D0406"/>
    <w:rsid w:val="002D7B57"/>
    <w:rsid w:val="002D7B8F"/>
    <w:rsid w:val="002E6C06"/>
    <w:rsid w:val="002F13D6"/>
    <w:rsid w:val="002F42F1"/>
    <w:rsid w:val="002F44DC"/>
    <w:rsid w:val="002F5BD4"/>
    <w:rsid w:val="002F6F83"/>
    <w:rsid w:val="003005D4"/>
    <w:rsid w:val="00300E84"/>
    <w:rsid w:val="003052D9"/>
    <w:rsid w:val="00310A8F"/>
    <w:rsid w:val="00314442"/>
    <w:rsid w:val="00321E4F"/>
    <w:rsid w:val="00324160"/>
    <w:rsid w:val="00325C6C"/>
    <w:rsid w:val="0033006E"/>
    <w:rsid w:val="00330AF5"/>
    <w:rsid w:val="0033125F"/>
    <w:rsid w:val="003321F9"/>
    <w:rsid w:val="0034321F"/>
    <w:rsid w:val="003473FC"/>
    <w:rsid w:val="0035575D"/>
    <w:rsid w:val="00357D29"/>
    <w:rsid w:val="00361A77"/>
    <w:rsid w:val="003625F3"/>
    <w:rsid w:val="003627B5"/>
    <w:rsid w:val="00364093"/>
    <w:rsid w:val="00370E70"/>
    <w:rsid w:val="00371D02"/>
    <w:rsid w:val="003812C1"/>
    <w:rsid w:val="00381A30"/>
    <w:rsid w:val="00381B4C"/>
    <w:rsid w:val="00382449"/>
    <w:rsid w:val="0038481A"/>
    <w:rsid w:val="0038588C"/>
    <w:rsid w:val="0038785F"/>
    <w:rsid w:val="00396FDF"/>
    <w:rsid w:val="003A230B"/>
    <w:rsid w:val="003A2428"/>
    <w:rsid w:val="003A3C88"/>
    <w:rsid w:val="003A55E6"/>
    <w:rsid w:val="003B45DF"/>
    <w:rsid w:val="003B4AFE"/>
    <w:rsid w:val="003B517C"/>
    <w:rsid w:val="003B654A"/>
    <w:rsid w:val="003B7AE9"/>
    <w:rsid w:val="003C0E2C"/>
    <w:rsid w:val="003C491F"/>
    <w:rsid w:val="003C561E"/>
    <w:rsid w:val="003D1FCD"/>
    <w:rsid w:val="003D5322"/>
    <w:rsid w:val="003D5E6B"/>
    <w:rsid w:val="003D6212"/>
    <w:rsid w:val="003D669B"/>
    <w:rsid w:val="003E0188"/>
    <w:rsid w:val="003E78FE"/>
    <w:rsid w:val="003F2BC6"/>
    <w:rsid w:val="003F32EC"/>
    <w:rsid w:val="003F413B"/>
    <w:rsid w:val="003F4997"/>
    <w:rsid w:val="003F73AE"/>
    <w:rsid w:val="0040047E"/>
    <w:rsid w:val="00400DAC"/>
    <w:rsid w:val="00401A75"/>
    <w:rsid w:val="00402074"/>
    <w:rsid w:val="004058C6"/>
    <w:rsid w:val="004059BC"/>
    <w:rsid w:val="00407BA8"/>
    <w:rsid w:val="00413C35"/>
    <w:rsid w:val="00414357"/>
    <w:rsid w:val="00421824"/>
    <w:rsid w:val="00422A91"/>
    <w:rsid w:val="0042727C"/>
    <w:rsid w:val="00432F9D"/>
    <w:rsid w:val="00433ECF"/>
    <w:rsid w:val="004367BD"/>
    <w:rsid w:val="004405FB"/>
    <w:rsid w:val="004459E9"/>
    <w:rsid w:val="0045465E"/>
    <w:rsid w:val="004546B0"/>
    <w:rsid w:val="00460AC8"/>
    <w:rsid w:val="00461B70"/>
    <w:rsid w:val="00461E76"/>
    <w:rsid w:val="00461EA4"/>
    <w:rsid w:val="00463DC6"/>
    <w:rsid w:val="004644D3"/>
    <w:rsid w:val="0046637F"/>
    <w:rsid w:val="0047169D"/>
    <w:rsid w:val="004748F0"/>
    <w:rsid w:val="00474B49"/>
    <w:rsid w:val="00476002"/>
    <w:rsid w:val="00477FB2"/>
    <w:rsid w:val="00480090"/>
    <w:rsid w:val="004811C4"/>
    <w:rsid w:val="0049359B"/>
    <w:rsid w:val="00494672"/>
    <w:rsid w:val="0049667A"/>
    <w:rsid w:val="00497DBB"/>
    <w:rsid w:val="004A137B"/>
    <w:rsid w:val="004A3486"/>
    <w:rsid w:val="004A3DB1"/>
    <w:rsid w:val="004A791C"/>
    <w:rsid w:val="004A7A21"/>
    <w:rsid w:val="004B02E5"/>
    <w:rsid w:val="004B05C9"/>
    <w:rsid w:val="004B3F27"/>
    <w:rsid w:val="004B50C8"/>
    <w:rsid w:val="004C09C2"/>
    <w:rsid w:val="004C1887"/>
    <w:rsid w:val="004C6B0B"/>
    <w:rsid w:val="004D6BF9"/>
    <w:rsid w:val="004E1DFE"/>
    <w:rsid w:val="004E2A17"/>
    <w:rsid w:val="004E3BA9"/>
    <w:rsid w:val="004E3F94"/>
    <w:rsid w:val="004E51D8"/>
    <w:rsid w:val="004F2048"/>
    <w:rsid w:val="004F2135"/>
    <w:rsid w:val="004F46CB"/>
    <w:rsid w:val="00500908"/>
    <w:rsid w:val="00505652"/>
    <w:rsid w:val="005103D0"/>
    <w:rsid w:val="0051115C"/>
    <w:rsid w:val="00512B42"/>
    <w:rsid w:val="00515092"/>
    <w:rsid w:val="00515784"/>
    <w:rsid w:val="00523C11"/>
    <w:rsid w:val="005240CA"/>
    <w:rsid w:val="005246AE"/>
    <w:rsid w:val="00524BE7"/>
    <w:rsid w:val="00525195"/>
    <w:rsid w:val="00525F37"/>
    <w:rsid w:val="00527ACC"/>
    <w:rsid w:val="0053040D"/>
    <w:rsid w:val="00532F98"/>
    <w:rsid w:val="005359EF"/>
    <w:rsid w:val="00536CEA"/>
    <w:rsid w:val="00536D77"/>
    <w:rsid w:val="005374F7"/>
    <w:rsid w:val="00537D59"/>
    <w:rsid w:val="00537DE4"/>
    <w:rsid w:val="005412A5"/>
    <w:rsid w:val="0054210D"/>
    <w:rsid w:val="005434B4"/>
    <w:rsid w:val="00544A38"/>
    <w:rsid w:val="00545255"/>
    <w:rsid w:val="005460D9"/>
    <w:rsid w:val="0055293D"/>
    <w:rsid w:val="005536D7"/>
    <w:rsid w:val="00553FC9"/>
    <w:rsid w:val="00555AB0"/>
    <w:rsid w:val="00567F2E"/>
    <w:rsid w:val="00571F97"/>
    <w:rsid w:val="0057356B"/>
    <w:rsid w:val="005762DA"/>
    <w:rsid w:val="00581886"/>
    <w:rsid w:val="00581C02"/>
    <w:rsid w:val="005865E0"/>
    <w:rsid w:val="005906AF"/>
    <w:rsid w:val="005925AB"/>
    <w:rsid w:val="005954A8"/>
    <w:rsid w:val="0059668E"/>
    <w:rsid w:val="005A15C1"/>
    <w:rsid w:val="005B1AEB"/>
    <w:rsid w:val="005B2519"/>
    <w:rsid w:val="005C405C"/>
    <w:rsid w:val="005E1256"/>
    <w:rsid w:val="005E2D05"/>
    <w:rsid w:val="005E4634"/>
    <w:rsid w:val="005E5B25"/>
    <w:rsid w:val="005F08CE"/>
    <w:rsid w:val="005F5953"/>
    <w:rsid w:val="005F5D59"/>
    <w:rsid w:val="00600E24"/>
    <w:rsid w:val="0060205F"/>
    <w:rsid w:val="00602FE8"/>
    <w:rsid w:val="0060422D"/>
    <w:rsid w:val="00604408"/>
    <w:rsid w:val="00610A73"/>
    <w:rsid w:val="00612FD5"/>
    <w:rsid w:val="00614016"/>
    <w:rsid w:val="00614EBA"/>
    <w:rsid w:val="006170B6"/>
    <w:rsid w:val="006177CE"/>
    <w:rsid w:val="0062080C"/>
    <w:rsid w:val="00621B85"/>
    <w:rsid w:val="00624041"/>
    <w:rsid w:val="00624926"/>
    <w:rsid w:val="00634D78"/>
    <w:rsid w:val="00644071"/>
    <w:rsid w:val="0064594B"/>
    <w:rsid w:val="00646984"/>
    <w:rsid w:val="00655D33"/>
    <w:rsid w:val="00662322"/>
    <w:rsid w:val="00662C7F"/>
    <w:rsid w:val="00665A01"/>
    <w:rsid w:val="00666418"/>
    <w:rsid w:val="00666534"/>
    <w:rsid w:val="0067101E"/>
    <w:rsid w:val="0067307C"/>
    <w:rsid w:val="006805CA"/>
    <w:rsid w:val="00680978"/>
    <w:rsid w:val="0068712B"/>
    <w:rsid w:val="006922A8"/>
    <w:rsid w:val="00697B8A"/>
    <w:rsid w:val="006A575D"/>
    <w:rsid w:val="006A789C"/>
    <w:rsid w:val="006B6590"/>
    <w:rsid w:val="006C182F"/>
    <w:rsid w:val="006C2B8D"/>
    <w:rsid w:val="006C30C3"/>
    <w:rsid w:val="006D5468"/>
    <w:rsid w:val="006D57E8"/>
    <w:rsid w:val="006E2215"/>
    <w:rsid w:val="006E4956"/>
    <w:rsid w:val="006E4D49"/>
    <w:rsid w:val="006E62AD"/>
    <w:rsid w:val="006E7642"/>
    <w:rsid w:val="006E7E33"/>
    <w:rsid w:val="006F1467"/>
    <w:rsid w:val="006F4DDB"/>
    <w:rsid w:val="006F4EF2"/>
    <w:rsid w:val="00700AC9"/>
    <w:rsid w:val="00701603"/>
    <w:rsid w:val="0070232C"/>
    <w:rsid w:val="0070275D"/>
    <w:rsid w:val="00705DA5"/>
    <w:rsid w:val="007137DA"/>
    <w:rsid w:val="00717CCA"/>
    <w:rsid w:val="00723970"/>
    <w:rsid w:val="00723FF2"/>
    <w:rsid w:val="007316BD"/>
    <w:rsid w:val="00731F04"/>
    <w:rsid w:val="00731FCB"/>
    <w:rsid w:val="00732FC1"/>
    <w:rsid w:val="00734407"/>
    <w:rsid w:val="007344E1"/>
    <w:rsid w:val="0073586F"/>
    <w:rsid w:val="00740985"/>
    <w:rsid w:val="00742E01"/>
    <w:rsid w:val="00744705"/>
    <w:rsid w:val="0074542A"/>
    <w:rsid w:val="007458E1"/>
    <w:rsid w:val="00745A0E"/>
    <w:rsid w:val="00747F11"/>
    <w:rsid w:val="00751791"/>
    <w:rsid w:val="00753471"/>
    <w:rsid w:val="00753B12"/>
    <w:rsid w:val="00754816"/>
    <w:rsid w:val="00755468"/>
    <w:rsid w:val="0075572A"/>
    <w:rsid w:val="00757A50"/>
    <w:rsid w:val="0076086F"/>
    <w:rsid w:val="00761402"/>
    <w:rsid w:val="0076423B"/>
    <w:rsid w:val="00765056"/>
    <w:rsid w:val="00770E29"/>
    <w:rsid w:val="00773B37"/>
    <w:rsid w:val="00773C5E"/>
    <w:rsid w:val="00775E8E"/>
    <w:rsid w:val="007763B6"/>
    <w:rsid w:val="00776FA5"/>
    <w:rsid w:val="00777BC5"/>
    <w:rsid w:val="00781B6A"/>
    <w:rsid w:val="007824A8"/>
    <w:rsid w:val="00786086"/>
    <w:rsid w:val="0078725C"/>
    <w:rsid w:val="00790697"/>
    <w:rsid w:val="007A1676"/>
    <w:rsid w:val="007A241E"/>
    <w:rsid w:val="007A366C"/>
    <w:rsid w:val="007A399C"/>
    <w:rsid w:val="007B0A06"/>
    <w:rsid w:val="007B10DA"/>
    <w:rsid w:val="007B38B6"/>
    <w:rsid w:val="007B3BE5"/>
    <w:rsid w:val="007B4C09"/>
    <w:rsid w:val="007C0A0D"/>
    <w:rsid w:val="007C4FCC"/>
    <w:rsid w:val="007C6684"/>
    <w:rsid w:val="007C7D2D"/>
    <w:rsid w:val="007D0228"/>
    <w:rsid w:val="007D07BD"/>
    <w:rsid w:val="007D1074"/>
    <w:rsid w:val="007D3C42"/>
    <w:rsid w:val="007D45FC"/>
    <w:rsid w:val="007D5A5D"/>
    <w:rsid w:val="007E0550"/>
    <w:rsid w:val="007E1BCD"/>
    <w:rsid w:val="007E45E8"/>
    <w:rsid w:val="007E6EF8"/>
    <w:rsid w:val="007F1FED"/>
    <w:rsid w:val="007F22F9"/>
    <w:rsid w:val="007F26AF"/>
    <w:rsid w:val="007F4D47"/>
    <w:rsid w:val="0080568B"/>
    <w:rsid w:val="0080583F"/>
    <w:rsid w:val="00806A3D"/>
    <w:rsid w:val="0081488F"/>
    <w:rsid w:val="00814D3C"/>
    <w:rsid w:val="00814D5A"/>
    <w:rsid w:val="00817A8B"/>
    <w:rsid w:val="008328D3"/>
    <w:rsid w:val="00834FC2"/>
    <w:rsid w:val="008354B4"/>
    <w:rsid w:val="008441EF"/>
    <w:rsid w:val="00846DD0"/>
    <w:rsid w:val="00847F02"/>
    <w:rsid w:val="00854657"/>
    <w:rsid w:val="00860246"/>
    <w:rsid w:val="00864FAB"/>
    <w:rsid w:val="0086617A"/>
    <w:rsid w:val="008666EF"/>
    <w:rsid w:val="00867F7D"/>
    <w:rsid w:val="008730AE"/>
    <w:rsid w:val="00880381"/>
    <w:rsid w:val="00882F38"/>
    <w:rsid w:val="008909DC"/>
    <w:rsid w:val="00895070"/>
    <w:rsid w:val="008A178E"/>
    <w:rsid w:val="008A6E92"/>
    <w:rsid w:val="008B08C6"/>
    <w:rsid w:val="008B282B"/>
    <w:rsid w:val="008B513A"/>
    <w:rsid w:val="008B5394"/>
    <w:rsid w:val="008B6177"/>
    <w:rsid w:val="008C510E"/>
    <w:rsid w:val="008D1DEC"/>
    <w:rsid w:val="008D57B0"/>
    <w:rsid w:val="008D5FC1"/>
    <w:rsid w:val="008D6C44"/>
    <w:rsid w:val="008E132E"/>
    <w:rsid w:val="008E2575"/>
    <w:rsid w:val="008E443B"/>
    <w:rsid w:val="008E59E2"/>
    <w:rsid w:val="008E70BF"/>
    <w:rsid w:val="008E7181"/>
    <w:rsid w:val="008E731D"/>
    <w:rsid w:val="008F13EF"/>
    <w:rsid w:val="008F1A44"/>
    <w:rsid w:val="008F2C44"/>
    <w:rsid w:val="008F2CF6"/>
    <w:rsid w:val="008F5ECE"/>
    <w:rsid w:val="008F5F9C"/>
    <w:rsid w:val="00900F45"/>
    <w:rsid w:val="00904080"/>
    <w:rsid w:val="00904C3B"/>
    <w:rsid w:val="00904F89"/>
    <w:rsid w:val="00906AEA"/>
    <w:rsid w:val="00907B3F"/>
    <w:rsid w:val="00926E73"/>
    <w:rsid w:val="00930B22"/>
    <w:rsid w:val="00933BFB"/>
    <w:rsid w:val="0093518C"/>
    <w:rsid w:val="00935595"/>
    <w:rsid w:val="00941E24"/>
    <w:rsid w:val="00945E33"/>
    <w:rsid w:val="00946E08"/>
    <w:rsid w:val="009508EF"/>
    <w:rsid w:val="00951483"/>
    <w:rsid w:val="009527DF"/>
    <w:rsid w:val="00954480"/>
    <w:rsid w:val="009573D5"/>
    <w:rsid w:val="009601F5"/>
    <w:rsid w:val="009603C6"/>
    <w:rsid w:val="00961EBF"/>
    <w:rsid w:val="00964D99"/>
    <w:rsid w:val="009658B7"/>
    <w:rsid w:val="009700FE"/>
    <w:rsid w:val="00977475"/>
    <w:rsid w:val="009853F5"/>
    <w:rsid w:val="00986AB7"/>
    <w:rsid w:val="009919F6"/>
    <w:rsid w:val="0099206C"/>
    <w:rsid w:val="009924F9"/>
    <w:rsid w:val="009949E9"/>
    <w:rsid w:val="009A29B0"/>
    <w:rsid w:val="009A3279"/>
    <w:rsid w:val="009A6FF5"/>
    <w:rsid w:val="009A78F6"/>
    <w:rsid w:val="009B1676"/>
    <w:rsid w:val="009B2AC3"/>
    <w:rsid w:val="009B31AB"/>
    <w:rsid w:val="009B3F80"/>
    <w:rsid w:val="009B55FB"/>
    <w:rsid w:val="009B623B"/>
    <w:rsid w:val="009D5659"/>
    <w:rsid w:val="009E1082"/>
    <w:rsid w:val="009E2016"/>
    <w:rsid w:val="009E2F16"/>
    <w:rsid w:val="009F404E"/>
    <w:rsid w:val="00A031E7"/>
    <w:rsid w:val="00A04D0F"/>
    <w:rsid w:val="00A0659F"/>
    <w:rsid w:val="00A101AC"/>
    <w:rsid w:val="00A13269"/>
    <w:rsid w:val="00A13486"/>
    <w:rsid w:val="00A1483E"/>
    <w:rsid w:val="00A15C48"/>
    <w:rsid w:val="00A179BF"/>
    <w:rsid w:val="00A17FB5"/>
    <w:rsid w:val="00A222ED"/>
    <w:rsid w:val="00A23FAC"/>
    <w:rsid w:val="00A24854"/>
    <w:rsid w:val="00A262CE"/>
    <w:rsid w:val="00A26460"/>
    <w:rsid w:val="00A30A4A"/>
    <w:rsid w:val="00A31345"/>
    <w:rsid w:val="00A314AF"/>
    <w:rsid w:val="00A33890"/>
    <w:rsid w:val="00A36F28"/>
    <w:rsid w:val="00A3773D"/>
    <w:rsid w:val="00A429A4"/>
    <w:rsid w:val="00A45385"/>
    <w:rsid w:val="00A45609"/>
    <w:rsid w:val="00A50C1D"/>
    <w:rsid w:val="00A512E8"/>
    <w:rsid w:val="00A54A91"/>
    <w:rsid w:val="00A5692D"/>
    <w:rsid w:val="00A71755"/>
    <w:rsid w:val="00A72FF5"/>
    <w:rsid w:val="00A73F96"/>
    <w:rsid w:val="00A76D45"/>
    <w:rsid w:val="00A835C8"/>
    <w:rsid w:val="00A83E90"/>
    <w:rsid w:val="00A842E9"/>
    <w:rsid w:val="00A85C55"/>
    <w:rsid w:val="00A900A1"/>
    <w:rsid w:val="00A90406"/>
    <w:rsid w:val="00A90E37"/>
    <w:rsid w:val="00A918F5"/>
    <w:rsid w:val="00A9701A"/>
    <w:rsid w:val="00A97DF5"/>
    <w:rsid w:val="00AA01A8"/>
    <w:rsid w:val="00AA19F3"/>
    <w:rsid w:val="00AA2F37"/>
    <w:rsid w:val="00AA3B94"/>
    <w:rsid w:val="00AA64FD"/>
    <w:rsid w:val="00AA73AE"/>
    <w:rsid w:val="00AA7465"/>
    <w:rsid w:val="00AA7BFC"/>
    <w:rsid w:val="00AB1EB7"/>
    <w:rsid w:val="00AB4255"/>
    <w:rsid w:val="00AB43FE"/>
    <w:rsid w:val="00AB4D78"/>
    <w:rsid w:val="00AB5202"/>
    <w:rsid w:val="00AD07A3"/>
    <w:rsid w:val="00AD1D2E"/>
    <w:rsid w:val="00AD2BDB"/>
    <w:rsid w:val="00AE75C1"/>
    <w:rsid w:val="00AF50BA"/>
    <w:rsid w:val="00AF5127"/>
    <w:rsid w:val="00AF65CC"/>
    <w:rsid w:val="00AF6BA3"/>
    <w:rsid w:val="00B067B8"/>
    <w:rsid w:val="00B07631"/>
    <w:rsid w:val="00B10791"/>
    <w:rsid w:val="00B10F3D"/>
    <w:rsid w:val="00B113E4"/>
    <w:rsid w:val="00B12825"/>
    <w:rsid w:val="00B1656D"/>
    <w:rsid w:val="00B168ED"/>
    <w:rsid w:val="00B201C8"/>
    <w:rsid w:val="00B20D8D"/>
    <w:rsid w:val="00B22715"/>
    <w:rsid w:val="00B23D10"/>
    <w:rsid w:val="00B268A6"/>
    <w:rsid w:val="00B32945"/>
    <w:rsid w:val="00B338DB"/>
    <w:rsid w:val="00B3519D"/>
    <w:rsid w:val="00B35534"/>
    <w:rsid w:val="00B376C6"/>
    <w:rsid w:val="00B44C76"/>
    <w:rsid w:val="00B4681F"/>
    <w:rsid w:val="00B471CD"/>
    <w:rsid w:val="00B502D9"/>
    <w:rsid w:val="00B51D26"/>
    <w:rsid w:val="00B60000"/>
    <w:rsid w:val="00B60C3C"/>
    <w:rsid w:val="00B678F5"/>
    <w:rsid w:val="00B67DA4"/>
    <w:rsid w:val="00B70CD0"/>
    <w:rsid w:val="00B761BC"/>
    <w:rsid w:val="00B80BEE"/>
    <w:rsid w:val="00B81517"/>
    <w:rsid w:val="00B81EBE"/>
    <w:rsid w:val="00B82BAE"/>
    <w:rsid w:val="00B87126"/>
    <w:rsid w:val="00B9209E"/>
    <w:rsid w:val="00B95B43"/>
    <w:rsid w:val="00B95D59"/>
    <w:rsid w:val="00B96C4A"/>
    <w:rsid w:val="00BA415A"/>
    <w:rsid w:val="00BA5E99"/>
    <w:rsid w:val="00BA6602"/>
    <w:rsid w:val="00BB3F5D"/>
    <w:rsid w:val="00BB4363"/>
    <w:rsid w:val="00BC0907"/>
    <w:rsid w:val="00BC6D8A"/>
    <w:rsid w:val="00BD0413"/>
    <w:rsid w:val="00BD1ECD"/>
    <w:rsid w:val="00BD572B"/>
    <w:rsid w:val="00BE0533"/>
    <w:rsid w:val="00BE24B5"/>
    <w:rsid w:val="00BE28BD"/>
    <w:rsid w:val="00BE5ACC"/>
    <w:rsid w:val="00BE6894"/>
    <w:rsid w:val="00BF2047"/>
    <w:rsid w:val="00BF34B4"/>
    <w:rsid w:val="00BF576E"/>
    <w:rsid w:val="00BF5DC4"/>
    <w:rsid w:val="00BF6532"/>
    <w:rsid w:val="00C034B4"/>
    <w:rsid w:val="00C064B7"/>
    <w:rsid w:val="00C114E6"/>
    <w:rsid w:val="00C12151"/>
    <w:rsid w:val="00C1347D"/>
    <w:rsid w:val="00C13AE3"/>
    <w:rsid w:val="00C16122"/>
    <w:rsid w:val="00C16417"/>
    <w:rsid w:val="00C16CF1"/>
    <w:rsid w:val="00C17EBD"/>
    <w:rsid w:val="00C22593"/>
    <w:rsid w:val="00C23879"/>
    <w:rsid w:val="00C252AB"/>
    <w:rsid w:val="00C318AC"/>
    <w:rsid w:val="00C32884"/>
    <w:rsid w:val="00C342A8"/>
    <w:rsid w:val="00C35363"/>
    <w:rsid w:val="00C355DA"/>
    <w:rsid w:val="00C35DBF"/>
    <w:rsid w:val="00C35DFE"/>
    <w:rsid w:val="00C43344"/>
    <w:rsid w:val="00C45A23"/>
    <w:rsid w:val="00C463A9"/>
    <w:rsid w:val="00C507F6"/>
    <w:rsid w:val="00C51A70"/>
    <w:rsid w:val="00C56092"/>
    <w:rsid w:val="00C57775"/>
    <w:rsid w:val="00C64B6F"/>
    <w:rsid w:val="00C661AF"/>
    <w:rsid w:val="00C7147D"/>
    <w:rsid w:val="00C7333B"/>
    <w:rsid w:val="00C82FBB"/>
    <w:rsid w:val="00C844CC"/>
    <w:rsid w:val="00C85E43"/>
    <w:rsid w:val="00C86B09"/>
    <w:rsid w:val="00C93313"/>
    <w:rsid w:val="00C953ED"/>
    <w:rsid w:val="00CA235F"/>
    <w:rsid w:val="00CA2707"/>
    <w:rsid w:val="00CA5865"/>
    <w:rsid w:val="00CB35DC"/>
    <w:rsid w:val="00CB4E4B"/>
    <w:rsid w:val="00CB63B9"/>
    <w:rsid w:val="00CB6FC1"/>
    <w:rsid w:val="00CC239D"/>
    <w:rsid w:val="00CC3477"/>
    <w:rsid w:val="00CC49A5"/>
    <w:rsid w:val="00CC4B92"/>
    <w:rsid w:val="00CC6434"/>
    <w:rsid w:val="00CC6B2E"/>
    <w:rsid w:val="00CD2352"/>
    <w:rsid w:val="00CD2975"/>
    <w:rsid w:val="00CD413F"/>
    <w:rsid w:val="00CD6D7A"/>
    <w:rsid w:val="00CD7657"/>
    <w:rsid w:val="00CD7FB6"/>
    <w:rsid w:val="00CE0216"/>
    <w:rsid w:val="00CE2291"/>
    <w:rsid w:val="00CE2B7E"/>
    <w:rsid w:val="00CE6D7D"/>
    <w:rsid w:val="00CF08EB"/>
    <w:rsid w:val="00CF1696"/>
    <w:rsid w:val="00CF16F5"/>
    <w:rsid w:val="00CF5E12"/>
    <w:rsid w:val="00CF621F"/>
    <w:rsid w:val="00D0369D"/>
    <w:rsid w:val="00D0518F"/>
    <w:rsid w:val="00D052C7"/>
    <w:rsid w:val="00D06107"/>
    <w:rsid w:val="00D12D6A"/>
    <w:rsid w:val="00D13345"/>
    <w:rsid w:val="00D13F4F"/>
    <w:rsid w:val="00D14A66"/>
    <w:rsid w:val="00D160A5"/>
    <w:rsid w:val="00D17B6F"/>
    <w:rsid w:val="00D22253"/>
    <w:rsid w:val="00D270D7"/>
    <w:rsid w:val="00D340E2"/>
    <w:rsid w:val="00D371D8"/>
    <w:rsid w:val="00D3731C"/>
    <w:rsid w:val="00D5406C"/>
    <w:rsid w:val="00D54F1A"/>
    <w:rsid w:val="00D55B86"/>
    <w:rsid w:val="00D625B8"/>
    <w:rsid w:val="00D649A0"/>
    <w:rsid w:val="00D744E0"/>
    <w:rsid w:val="00D74E3D"/>
    <w:rsid w:val="00D778E5"/>
    <w:rsid w:val="00D8324F"/>
    <w:rsid w:val="00D83F60"/>
    <w:rsid w:val="00D846C3"/>
    <w:rsid w:val="00D91840"/>
    <w:rsid w:val="00D9614C"/>
    <w:rsid w:val="00DA08A7"/>
    <w:rsid w:val="00DA2913"/>
    <w:rsid w:val="00DA401D"/>
    <w:rsid w:val="00DA580F"/>
    <w:rsid w:val="00DA59F2"/>
    <w:rsid w:val="00DA73BE"/>
    <w:rsid w:val="00DA7402"/>
    <w:rsid w:val="00DB05EC"/>
    <w:rsid w:val="00DB207D"/>
    <w:rsid w:val="00DB2741"/>
    <w:rsid w:val="00DB4EB9"/>
    <w:rsid w:val="00DC106D"/>
    <w:rsid w:val="00DC4872"/>
    <w:rsid w:val="00DC5773"/>
    <w:rsid w:val="00DC5E55"/>
    <w:rsid w:val="00DD13DA"/>
    <w:rsid w:val="00DD21F8"/>
    <w:rsid w:val="00DD6F3C"/>
    <w:rsid w:val="00DD73C0"/>
    <w:rsid w:val="00DE1F6C"/>
    <w:rsid w:val="00DE700E"/>
    <w:rsid w:val="00DE7523"/>
    <w:rsid w:val="00DE7EFB"/>
    <w:rsid w:val="00DF1A1C"/>
    <w:rsid w:val="00DF2FF9"/>
    <w:rsid w:val="00DF32F6"/>
    <w:rsid w:val="00DF3CB1"/>
    <w:rsid w:val="00DF4F3F"/>
    <w:rsid w:val="00DF558B"/>
    <w:rsid w:val="00E02235"/>
    <w:rsid w:val="00E03CF2"/>
    <w:rsid w:val="00E05CF3"/>
    <w:rsid w:val="00E1012D"/>
    <w:rsid w:val="00E1332C"/>
    <w:rsid w:val="00E13EA0"/>
    <w:rsid w:val="00E16F29"/>
    <w:rsid w:val="00E201CD"/>
    <w:rsid w:val="00E2072F"/>
    <w:rsid w:val="00E2275A"/>
    <w:rsid w:val="00E247C7"/>
    <w:rsid w:val="00E262A5"/>
    <w:rsid w:val="00E32969"/>
    <w:rsid w:val="00E33F88"/>
    <w:rsid w:val="00E36BFE"/>
    <w:rsid w:val="00E37534"/>
    <w:rsid w:val="00E37662"/>
    <w:rsid w:val="00E37DB4"/>
    <w:rsid w:val="00E407F7"/>
    <w:rsid w:val="00E440B2"/>
    <w:rsid w:val="00E52D78"/>
    <w:rsid w:val="00E5329D"/>
    <w:rsid w:val="00E53D9B"/>
    <w:rsid w:val="00E60CA3"/>
    <w:rsid w:val="00E65E5E"/>
    <w:rsid w:val="00E74F06"/>
    <w:rsid w:val="00E777F5"/>
    <w:rsid w:val="00E77FF5"/>
    <w:rsid w:val="00E80D2B"/>
    <w:rsid w:val="00E8353A"/>
    <w:rsid w:val="00E839D2"/>
    <w:rsid w:val="00E83D91"/>
    <w:rsid w:val="00E84723"/>
    <w:rsid w:val="00E849FC"/>
    <w:rsid w:val="00E85D74"/>
    <w:rsid w:val="00E8648C"/>
    <w:rsid w:val="00E92E86"/>
    <w:rsid w:val="00E936AD"/>
    <w:rsid w:val="00E94D9C"/>
    <w:rsid w:val="00EA0FBA"/>
    <w:rsid w:val="00EA191C"/>
    <w:rsid w:val="00EA228D"/>
    <w:rsid w:val="00EA2DA5"/>
    <w:rsid w:val="00EA2F07"/>
    <w:rsid w:val="00EA4636"/>
    <w:rsid w:val="00EA572E"/>
    <w:rsid w:val="00EA7BE4"/>
    <w:rsid w:val="00EB1EFD"/>
    <w:rsid w:val="00EB3AC3"/>
    <w:rsid w:val="00EB60A9"/>
    <w:rsid w:val="00EB7D23"/>
    <w:rsid w:val="00EC14C0"/>
    <w:rsid w:val="00EC432C"/>
    <w:rsid w:val="00EC46ED"/>
    <w:rsid w:val="00EC4E56"/>
    <w:rsid w:val="00EC579C"/>
    <w:rsid w:val="00EC5D7F"/>
    <w:rsid w:val="00EC5E8A"/>
    <w:rsid w:val="00EC78C2"/>
    <w:rsid w:val="00ED0D8A"/>
    <w:rsid w:val="00ED21E0"/>
    <w:rsid w:val="00ED345A"/>
    <w:rsid w:val="00ED3919"/>
    <w:rsid w:val="00ED76C8"/>
    <w:rsid w:val="00EE7764"/>
    <w:rsid w:val="00EF3A44"/>
    <w:rsid w:val="00EF401E"/>
    <w:rsid w:val="00EF40E6"/>
    <w:rsid w:val="00EF54B8"/>
    <w:rsid w:val="00EF5697"/>
    <w:rsid w:val="00F040FD"/>
    <w:rsid w:val="00F05268"/>
    <w:rsid w:val="00F06B00"/>
    <w:rsid w:val="00F07364"/>
    <w:rsid w:val="00F0742D"/>
    <w:rsid w:val="00F07B41"/>
    <w:rsid w:val="00F121B3"/>
    <w:rsid w:val="00F13840"/>
    <w:rsid w:val="00F14364"/>
    <w:rsid w:val="00F15128"/>
    <w:rsid w:val="00F1585E"/>
    <w:rsid w:val="00F211EB"/>
    <w:rsid w:val="00F240CE"/>
    <w:rsid w:val="00F25BF1"/>
    <w:rsid w:val="00F2771C"/>
    <w:rsid w:val="00F34B61"/>
    <w:rsid w:val="00F352A1"/>
    <w:rsid w:val="00F40418"/>
    <w:rsid w:val="00F40984"/>
    <w:rsid w:val="00F40C6F"/>
    <w:rsid w:val="00F41843"/>
    <w:rsid w:val="00F41D2A"/>
    <w:rsid w:val="00F43C0B"/>
    <w:rsid w:val="00F43F51"/>
    <w:rsid w:val="00F46F28"/>
    <w:rsid w:val="00F473B5"/>
    <w:rsid w:val="00F51779"/>
    <w:rsid w:val="00F53995"/>
    <w:rsid w:val="00F62466"/>
    <w:rsid w:val="00F65F06"/>
    <w:rsid w:val="00F670C1"/>
    <w:rsid w:val="00F70244"/>
    <w:rsid w:val="00F702FC"/>
    <w:rsid w:val="00F747CD"/>
    <w:rsid w:val="00F8145E"/>
    <w:rsid w:val="00F81EB3"/>
    <w:rsid w:val="00F82A5D"/>
    <w:rsid w:val="00F82DD8"/>
    <w:rsid w:val="00F8588C"/>
    <w:rsid w:val="00F96360"/>
    <w:rsid w:val="00FA46F3"/>
    <w:rsid w:val="00FA7953"/>
    <w:rsid w:val="00FB228C"/>
    <w:rsid w:val="00FB2A7D"/>
    <w:rsid w:val="00FB770A"/>
    <w:rsid w:val="00FC350F"/>
    <w:rsid w:val="00FC6655"/>
    <w:rsid w:val="00FC6EE4"/>
    <w:rsid w:val="00FD4E4E"/>
    <w:rsid w:val="00FE442B"/>
    <w:rsid w:val="00FE666B"/>
    <w:rsid w:val="00FE69EC"/>
    <w:rsid w:val="00FE6FE0"/>
    <w:rsid w:val="00FF138F"/>
    <w:rsid w:val="00FF3CCA"/>
    <w:rsid w:val="00FF4A2C"/>
    <w:rsid w:val="00FF589A"/>
    <w:rsid w:val="00FF61E6"/>
    <w:rsid w:val="00FF74EF"/>
    <w:rsid w:val="17D55772"/>
    <w:rsid w:val="1FE32C0E"/>
    <w:rsid w:val="2C866CCF"/>
    <w:rsid w:val="3EE5198E"/>
    <w:rsid w:val="5B9C06A9"/>
    <w:rsid w:val="6AEE6D64"/>
    <w:rsid w:val="7775ADEE"/>
    <w:rsid w:val="777BA6BC"/>
    <w:rsid w:val="7C877FB0"/>
    <w:rsid w:val="B6BF7E38"/>
    <w:rsid w:val="DBBF90C9"/>
    <w:rsid w:val="EFFF634A"/>
    <w:rsid w:val="FD66E881"/>
    <w:rsid w:val="FFEF47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22"/>
    <w:semiHidden/>
    <w:qFormat/>
    <w:uiPriority w:val="99"/>
    <w:pPr>
      <w:shd w:val="clear" w:color="auto" w:fill="000080"/>
    </w:pPr>
  </w:style>
  <w:style w:type="paragraph" w:styleId="3">
    <w:name w:val="Body Text"/>
    <w:basedOn w:val="1"/>
    <w:link w:val="26"/>
    <w:semiHidden/>
    <w:unhideWhenUsed/>
    <w:qFormat/>
    <w:uiPriority w:val="99"/>
    <w:pPr>
      <w:spacing w:after="120"/>
    </w:pPr>
  </w:style>
  <w:style w:type="paragraph" w:styleId="4">
    <w:name w:val="Date"/>
    <w:basedOn w:val="1"/>
    <w:next w:val="1"/>
    <w:link w:val="17"/>
    <w:qFormat/>
    <w:uiPriority w:val="99"/>
    <w:pPr>
      <w:ind w:left="100" w:leftChars="2500"/>
    </w:pPr>
    <w:rPr>
      <w:kern w:val="0"/>
      <w:sz w:val="24"/>
      <w:szCs w:val="24"/>
    </w:rPr>
  </w:style>
  <w:style w:type="paragraph" w:styleId="5">
    <w:name w:val="Balloon Text"/>
    <w:basedOn w:val="1"/>
    <w:link w:val="21"/>
    <w:semiHidden/>
    <w:qFormat/>
    <w:uiPriority w:val="99"/>
    <w:rPr>
      <w:kern w:val="0"/>
      <w:sz w:val="18"/>
      <w:szCs w:val="18"/>
    </w:rPr>
  </w:style>
  <w:style w:type="paragraph" w:styleId="6">
    <w:name w:val="footer"/>
    <w:basedOn w:val="1"/>
    <w:link w:val="19"/>
    <w:qFormat/>
    <w:uiPriority w:val="99"/>
    <w:pPr>
      <w:tabs>
        <w:tab w:val="center" w:pos="4153"/>
        <w:tab w:val="right" w:pos="8306"/>
      </w:tabs>
      <w:snapToGrid w:val="0"/>
      <w:jc w:val="left"/>
    </w:pPr>
    <w:rPr>
      <w:sz w:val="18"/>
      <w:szCs w:val="18"/>
    </w:rPr>
  </w:style>
  <w:style w:type="paragraph" w:styleId="7">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5"/>
    <w:qFormat/>
    <w:uiPriority w:val="99"/>
    <w:pPr>
      <w:spacing w:after="120" w:line="480" w:lineRule="auto"/>
    </w:pPr>
    <w:rPr>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Body Text First Indent"/>
    <w:basedOn w:val="3"/>
    <w:link w:val="27"/>
    <w:semiHidden/>
    <w:unhideWhenUsed/>
    <w:qFormat/>
    <w:uiPriority w:val="99"/>
    <w:pPr>
      <w:ind w:firstLine="420" w:firstLineChars="100"/>
    </w:pPr>
  </w:style>
  <w:style w:type="character" w:styleId="13">
    <w:name w:val="Hyperlink"/>
    <w:basedOn w:val="12"/>
    <w:qFormat/>
    <w:uiPriority w:val="99"/>
    <w:rPr>
      <w:color w:val="0000FF"/>
      <w:u w:val="single"/>
    </w:rPr>
  </w:style>
  <w:style w:type="paragraph" w:customStyle="1" w:styleId="14">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15">
    <w:name w:val="正文文本 2 字符"/>
    <w:basedOn w:val="12"/>
    <w:link w:val="8"/>
    <w:semiHidden/>
    <w:qFormat/>
    <w:locked/>
    <w:uiPriority w:val="99"/>
    <w:rPr>
      <w:sz w:val="24"/>
      <w:szCs w:val="24"/>
    </w:rPr>
  </w:style>
  <w:style w:type="paragraph" w:customStyle="1" w:styleId="16">
    <w:name w:val="说明"/>
    <w:basedOn w:val="1"/>
    <w:qFormat/>
    <w:uiPriority w:val="99"/>
    <w:pPr>
      <w:spacing w:line="400" w:lineRule="atLeast"/>
    </w:pPr>
    <w:rPr>
      <w:rFonts w:ascii="楷体_GB2312" w:eastAsia="楷体_GB2312" w:cs="楷体_GB2312"/>
      <w:sz w:val="24"/>
      <w:szCs w:val="24"/>
    </w:rPr>
  </w:style>
  <w:style w:type="character" w:customStyle="1" w:styleId="17">
    <w:name w:val="日期 字符"/>
    <w:basedOn w:val="12"/>
    <w:link w:val="4"/>
    <w:semiHidden/>
    <w:qFormat/>
    <w:locked/>
    <w:uiPriority w:val="99"/>
    <w:rPr>
      <w:sz w:val="24"/>
      <w:szCs w:val="24"/>
    </w:rPr>
  </w:style>
  <w:style w:type="character" w:customStyle="1" w:styleId="18">
    <w:name w:val="页眉 字符"/>
    <w:basedOn w:val="12"/>
    <w:link w:val="7"/>
    <w:qFormat/>
    <w:locked/>
    <w:uiPriority w:val="99"/>
    <w:rPr>
      <w:kern w:val="2"/>
      <w:sz w:val="18"/>
      <w:szCs w:val="18"/>
    </w:rPr>
  </w:style>
  <w:style w:type="character" w:customStyle="1" w:styleId="19">
    <w:name w:val="页脚 字符"/>
    <w:basedOn w:val="12"/>
    <w:link w:val="6"/>
    <w:qFormat/>
    <w:locked/>
    <w:uiPriority w:val="99"/>
    <w:rPr>
      <w:kern w:val="2"/>
      <w:sz w:val="18"/>
      <w:szCs w:val="18"/>
    </w:rPr>
  </w:style>
  <w:style w:type="paragraph" w:customStyle="1" w:styleId="20">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1">
    <w:name w:val="批注框文本 字符"/>
    <w:basedOn w:val="12"/>
    <w:link w:val="5"/>
    <w:semiHidden/>
    <w:qFormat/>
    <w:locked/>
    <w:uiPriority w:val="99"/>
    <w:rPr>
      <w:sz w:val="18"/>
      <w:szCs w:val="18"/>
    </w:rPr>
  </w:style>
  <w:style w:type="character" w:customStyle="1" w:styleId="22">
    <w:name w:val="文档结构图 字符"/>
    <w:basedOn w:val="12"/>
    <w:link w:val="2"/>
    <w:semiHidden/>
    <w:qFormat/>
    <w:locked/>
    <w:uiPriority w:val="99"/>
    <w:rPr>
      <w:sz w:val="2"/>
      <w:szCs w:val="2"/>
    </w:rPr>
  </w:style>
  <w:style w:type="paragraph" w:customStyle="1" w:styleId="23">
    <w:name w:val="Char Char1 Char Char 字元 字元"/>
    <w:basedOn w:val="1"/>
    <w:qFormat/>
    <w:uiPriority w:val="0"/>
    <w:pPr>
      <w:spacing w:line="360" w:lineRule="auto"/>
      <w:ind w:firstLine="200" w:firstLineChars="200"/>
    </w:pPr>
    <w:rPr>
      <w:rFonts w:ascii="宋体" w:hAnsi="宋体" w:cs="宋体"/>
      <w:sz w:val="24"/>
      <w:szCs w:val="24"/>
    </w:rPr>
  </w:style>
  <w:style w:type="paragraph" w:styleId="24">
    <w:name w:val="List Paragraph"/>
    <w:basedOn w:val="1"/>
    <w:qFormat/>
    <w:uiPriority w:val="99"/>
    <w:pPr>
      <w:ind w:firstLine="420" w:firstLineChars="200"/>
    </w:pPr>
  </w:style>
  <w:style w:type="paragraph" w:customStyle="1" w:styleId="25">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26">
    <w:name w:val="正文文本 字符"/>
    <w:basedOn w:val="12"/>
    <w:link w:val="3"/>
    <w:semiHidden/>
    <w:qFormat/>
    <w:uiPriority w:val="99"/>
    <w:rPr>
      <w:szCs w:val="21"/>
    </w:rPr>
  </w:style>
  <w:style w:type="character" w:customStyle="1" w:styleId="27">
    <w:name w:val="正文首行缩进 字符"/>
    <w:basedOn w:val="26"/>
    <w:link w:val="10"/>
    <w:semiHidden/>
    <w:qFormat/>
    <w:uiPriority w:val="99"/>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charles</Company>
  <Pages>12</Pages>
  <Words>5555</Words>
  <Characters>132</Characters>
  <Lines>1</Lines>
  <Paragraphs>11</Paragraphs>
  <TotalTime>1</TotalTime>
  <ScaleCrop>false</ScaleCrop>
  <LinksUpToDate>false</LinksUpToDate>
  <CharactersWithSpaces>5676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2023-04-03T03:46:00Z</dcterms:created>
  <dc:creator>charles</dc:creator>
  <cp:lastModifiedBy>左右</cp:lastModifiedBy>
  <cp:lastPrinted>2019-11-29T22:14:00Z</cp:lastPrinted>
  <dcterms:modified xsi:type="dcterms:W3CDTF">2023-09-01T05:59:57Z</dcterms:modified>
  <dc:title>关于对国家标准《预拌混凝土》（征求意见稿）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863B71B593B34DC99CABFA5A6755EC33_13</vt:lpwstr>
  </property>
</Properties>
</file>