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青岛市“双随机</w:t>
      </w:r>
      <w:r>
        <w:rPr>
          <w:rFonts w:ascii="方正小标宋_GBK" w:eastAsia="方正小标宋_GBK"/>
          <w:sz w:val="44"/>
          <w:szCs w:val="44"/>
        </w:rPr>
        <w:t>、一公开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sz w:val="44"/>
          <w:szCs w:val="44"/>
        </w:rPr>
        <w:t>抽查事项清单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6"/>
        <w:tblW w:w="146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985"/>
        <w:gridCol w:w="3118"/>
        <w:gridCol w:w="993"/>
        <w:gridCol w:w="1134"/>
        <w:gridCol w:w="12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提报单位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抽查事项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检查对象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抽查内容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事项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检查方式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抽查比例及频次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青岛市统计局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统计数据质量检查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规模以上工业、限额以上批发</w:t>
            </w:r>
            <w:r>
              <w:rPr>
                <w:rFonts w:ascii="仿宋_GB2312" w:eastAsia="仿宋_GB2312"/>
                <w:color w:val="auto"/>
                <w:szCs w:val="21"/>
              </w:rPr>
              <w:t>和零售业、限额以上住宿和餐饮业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、有开发经营活动的房地产开发经营业</w:t>
            </w:r>
            <w:r>
              <w:rPr>
                <w:rFonts w:ascii="仿宋_GB2312" w:eastAsia="仿宋_GB2312"/>
                <w:color w:val="auto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有资质的建筑业、规模以上服务业法人单位，5</w:t>
            </w:r>
            <w:r>
              <w:rPr>
                <w:rFonts w:ascii="仿宋_GB2312" w:eastAsia="仿宋_GB2312"/>
                <w:color w:val="auto"/>
                <w:szCs w:val="21"/>
              </w:rPr>
              <w:t>000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万元及</w:t>
            </w:r>
            <w:r>
              <w:rPr>
                <w:rFonts w:ascii="仿宋_GB2312" w:eastAsia="仿宋_GB2312"/>
                <w:color w:val="auto"/>
                <w:szCs w:val="21"/>
              </w:rPr>
              <w:t>以上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固定资产投资项目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提供统计资料情况，建立原始记录、统计台账情况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一般检查事项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现场检查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全年抽查不低于5%，</w:t>
            </w:r>
          </w:p>
          <w:p>
            <w:pPr>
              <w:spacing w:line="28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每年1次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《中华人民共和国统计</w:t>
            </w:r>
            <w:r>
              <w:rPr>
                <w:rFonts w:ascii="仿宋_GB2312" w:eastAsia="仿宋_GB2312"/>
                <w:color w:val="auto"/>
                <w:szCs w:val="21"/>
              </w:rPr>
              <w:t>法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》第四十</w:t>
            </w:r>
            <w:r>
              <w:rPr>
                <w:rFonts w:ascii="仿宋_GB2312" w:eastAsia="仿宋_GB2312"/>
                <w:color w:val="auto"/>
                <w:szCs w:val="21"/>
              </w:rPr>
              <w:t>一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条、</w:t>
            </w:r>
            <w:r>
              <w:rPr>
                <w:rFonts w:ascii="仿宋_GB2312" w:eastAsia="仿宋_GB2312"/>
                <w:color w:val="auto"/>
                <w:szCs w:val="21"/>
              </w:rPr>
              <w:t>第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四</w:t>
            </w:r>
            <w:r>
              <w:rPr>
                <w:rFonts w:ascii="仿宋_GB2312" w:eastAsia="仿宋_GB2312"/>
                <w:color w:val="auto"/>
                <w:szCs w:val="21"/>
              </w:rPr>
              <w:t>十二条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0"/>
    <w:rsid w:val="000D6887"/>
    <w:rsid w:val="002C6FB6"/>
    <w:rsid w:val="004922CE"/>
    <w:rsid w:val="00621F84"/>
    <w:rsid w:val="00672C0B"/>
    <w:rsid w:val="00AF1D90"/>
    <w:rsid w:val="00CF19B1"/>
    <w:rsid w:val="00FB5502"/>
    <w:rsid w:val="DFAB3E1C"/>
    <w:rsid w:val="FF7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215</Characters>
  <Lines>1</Lines>
  <Paragraphs>1</Paragraphs>
  <TotalTime>85</TotalTime>
  <ScaleCrop>false</ScaleCrop>
  <LinksUpToDate>false</LinksUpToDate>
  <CharactersWithSpaces>251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2020-07-24T18:00:00Z</dcterms:created>
  <dc:creator>NTKO</dc:creator>
  <cp:lastModifiedBy>user</cp:lastModifiedBy>
  <cp:lastPrinted>2020-07-24T21:24:00Z</cp:lastPrinted>
  <dcterms:modified xsi:type="dcterms:W3CDTF">2021-11-18T10:45:52Z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