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D86A" w14:textId="77777777" w:rsidR="00B77F32" w:rsidRPr="00097E9B" w:rsidRDefault="00B77F32" w:rsidP="00B77F32">
      <w:pPr>
        <w:widowControl/>
        <w:spacing w:line="560" w:lineRule="exact"/>
        <w:jc w:val="left"/>
        <w:rPr>
          <w:rFonts w:ascii="黑体" w:eastAsia="黑体" w:hAnsi="黑体" w:cs="仿宋_GB2312" w:hint="eastAsia"/>
        </w:rPr>
      </w:pPr>
      <w:r w:rsidRPr="00097E9B">
        <w:rPr>
          <w:rFonts w:ascii="黑体" w:eastAsia="黑体" w:hAnsi="黑体" w:cs="仿宋_GB2312" w:hint="eastAsia"/>
        </w:rPr>
        <w:t>附件</w:t>
      </w:r>
    </w:p>
    <w:p w14:paraId="6E0516F9" w14:textId="77777777" w:rsidR="00B77F32" w:rsidRPr="00097E9B" w:rsidRDefault="00B77F32" w:rsidP="00B77F32">
      <w:pPr>
        <w:widowControl/>
        <w:spacing w:line="560" w:lineRule="exact"/>
        <w:jc w:val="left"/>
        <w:rPr>
          <w:rFonts w:ascii="仿宋_GB2312" w:hAnsi="仿宋_GB2312" w:cs="仿宋_GB2312" w:hint="eastAsia"/>
        </w:rPr>
      </w:pPr>
    </w:p>
    <w:p w14:paraId="544F3EB3" w14:textId="77777777" w:rsidR="00B77F32" w:rsidRDefault="00B77F32" w:rsidP="00B77F32">
      <w:pPr>
        <w:widowControl/>
        <w:spacing w:line="56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097E9B">
        <w:rPr>
          <w:rFonts w:ascii="方正小标宋_GBK" w:eastAsia="方正小标宋_GBK" w:hAnsi="仿宋_GB2312" w:cs="仿宋_GB2312" w:hint="eastAsia"/>
          <w:sz w:val="44"/>
          <w:szCs w:val="44"/>
        </w:rPr>
        <w:t>国家</w:t>
      </w:r>
      <w:proofErr w:type="gramStart"/>
      <w:r w:rsidRPr="00097E9B">
        <w:rPr>
          <w:rFonts w:ascii="方正小标宋_GBK" w:eastAsia="方正小标宋_GBK" w:hAnsi="仿宋_GB2312" w:cs="仿宋_GB2312" w:hint="eastAsia"/>
          <w:sz w:val="44"/>
          <w:szCs w:val="44"/>
        </w:rPr>
        <w:t>医</w:t>
      </w:r>
      <w:proofErr w:type="gramEnd"/>
      <w:r w:rsidRPr="00097E9B">
        <w:rPr>
          <w:rFonts w:ascii="方正小标宋_GBK" w:eastAsia="方正小标宋_GBK" w:hAnsi="仿宋_GB2312" w:cs="仿宋_GB2312" w:hint="eastAsia"/>
          <w:sz w:val="44"/>
          <w:szCs w:val="44"/>
        </w:rPr>
        <w:t>保局</w:t>
      </w:r>
      <w:proofErr w:type="gramStart"/>
      <w:r w:rsidRPr="00097E9B">
        <w:rPr>
          <w:rFonts w:ascii="方正小标宋_GBK" w:eastAsia="方正小标宋_GBK" w:hAnsi="仿宋_GB2312" w:cs="仿宋_GB2312" w:hint="eastAsia"/>
          <w:sz w:val="44"/>
          <w:szCs w:val="44"/>
        </w:rPr>
        <w:t>医保数据</w:t>
      </w:r>
      <w:proofErr w:type="gramEnd"/>
      <w:r w:rsidRPr="00097E9B">
        <w:rPr>
          <w:rFonts w:ascii="方正小标宋_GBK" w:eastAsia="方正小标宋_GBK" w:hAnsi="仿宋_GB2312" w:cs="仿宋_GB2312" w:hint="eastAsia"/>
          <w:sz w:val="44"/>
          <w:szCs w:val="44"/>
        </w:rPr>
        <w:t>工作组数据底稿</w:t>
      </w:r>
    </w:p>
    <w:p w14:paraId="7F254465" w14:textId="77777777" w:rsidR="00B77F32" w:rsidRPr="00097E9B" w:rsidRDefault="00B77F32" w:rsidP="00B77F32">
      <w:pPr>
        <w:widowControl/>
        <w:spacing w:line="560" w:lineRule="exact"/>
        <w:ind w:firstLine="472"/>
        <w:jc w:val="center"/>
        <w:rPr>
          <w:rFonts w:ascii="方正小标宋_GBK" w:eastAsia="方正小标宋_GBK" w:hAnsi="仿宋_GB2312" w:cs="仿宋_GB2312" w:hint="eastAs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992"/>
        <w:gridCol w:w="1893"/>
      </w:tblGrid>
      <w:tr w:rsidR="00B77F32" w:rsidRPr="00097E9B" w14:paraId="02843CA4" w14:textId="77777777" w:rsidTr="00F35DFA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20F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2D98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F96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建议公开频次</w:t>
            </w:r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044A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数据来源</w:t>
            </w:r>
          </w:p>
        </w:tc>
      </w:tr>
      <w:tr w:rsidR="00B77F32" w:rsidRPr="00097E9B" w14:paraId="4B5E39C3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41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基金收入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EBA0" w14:textId="77777777" w:rsidR="00B77F32" w:rsidRPr="00097E9B" w:rsidRDefault="00B77F32" w:rsidP="00B77F32">
            <w:pPr>
              <w:widowControl/>
              <w:spacing w:line="400" w:lineRule="exac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收入合计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35BD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5A9D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保基金</w:t>
            </w: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报表</w:t>
            </w:r>
          </w:p>
        </w:tc>
      </w:tr>
      <w:tr w:rsidR="00B77F32" w:rsidRPr="00097E9B" w14:paraId="34E472B2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C9EC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C00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（一）职工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保基金收入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33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E7828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B51DB0D" w14:textId="77777777" w:rsidTr="00F35DFA">
        <w:trPr>
          <w:trHeight w:val="45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DA2D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D14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1.征缴收入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BBE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E459B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33E5C009" w14:textId="77777777" w:rsidTr="00F35DFA">
        <w:trPr>
          <w:trHeight w:val="302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764F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A6D1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2.其他收入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6BFA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573DAC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00D1E273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D6DD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B9A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（二）居民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保基金收入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915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5BEB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449E0856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0E3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BC1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1.个人缴费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263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E1B6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15192E11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92A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CDD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2.财政补助和其他收入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6D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8EECA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34234504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02FE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基金支出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8252" w14:textId="77777777" w:rsidR="00B77F32" w:rsidRPr="00097E9B" w:rsidRDefault="00B77F32" w:rsidP="00B77F32">
            <w:pPr>
              <w:widowControl/>
              <w:spacing w:line="400" w:lineRule="exac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支出合计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5889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5AF4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保基金</w:t>
            </w: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报表</w:t>
            </w:r>
          </w:p>
        </w:tc>
      </w:tr>
      <w:tr w:rsidR="00B77F32" w:rsidRPr="00097E9B" w14:paraId="017D0B44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866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7F4C" w14:textId="77777777" w:rsidR="00B77F32" w:rsidRPr="00097E9B" w:rsidRDefault="00B77F32" w:rsidP="00B77F32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（一）职工</w:t>
            </w:r>
            <w:proofErr w:type="gramStart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保基金支出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FB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B2EBF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FD650D3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D3D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E7E6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其中：统筹基金支出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21E9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ED9E15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788764D3" w14:textId="77777777" w:rsidTr="00F35DFA">
        <w:trPr>
          <w:trHeight w:val="71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91DC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6B48" w14:textId="77777777" w:rsidR="00B77F32" w:rsidRPr="00097E9B" w:rsidRDefault="00B77F32" w:rsidP="00B77F32">
            <w:pPr>
              <w:widowControl/>
              <w:spacing w:line="40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其中：住院统筹基金支出</w:t>
            </w:r>
            <w:r w:rsidRPr="00097E9B">
              <w:rPr>
                <w:rFonts w:eastAsia="宋体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22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7F68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统筹地区</w:t>
            </w:r>
          </w:p>
          <w:p w14:paraId="0B8E98C5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结算数据</w:t>
            </w:r>
          </w:p>
        </w:tc>
      </w:tr>
      <w:tr w:rsidR="00B77F32" w:rsidRPr="00097E9B" w14:paraId="62B3D088" w14:textId="77777777" w:rsidTr="00F35DFA">
        <w:trPr>
          <w:trHeight w:val="536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F9BF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0168" w14:textId="77777777" w:rsidR="00B77F32" w:rsidRPr="00097E9B" w:rsidRDefault="00B77F32" w:rsidP="00B77F32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（二）居民</w:t>
            </w:r>
            <w:proofErr w:type="gramStart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保基金支出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7B6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2E4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保基金报表</w:t>
            </w:r>
          </w:p>
        </w:tc>
      </w:tr>
      <w:tr w:rsidR="00B77F32" w:rsidRPr="00097E9B" w14:paraId="182C7680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0B8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D81E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其中：住院统筹基金支出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D65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4AA1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统筹地区</w:t>
            </w:r>
          </w:p>
          <w:p w14:paraId="45C10011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结算数据</w:t>
            </w:r>
          </w:p>
        </w:tc>
      </w:tr>
      <w:tr w:rsidR="00B77F32" w:rsidRPr="00097E9B" w14:paraId="5A414004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DCA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99F7" w14:textId="77777777" w:rsidR="00B77F32" w:rsidRPr="00097E9B" w:rsidRDefault="00B77F32" w:rsidP="00B77F32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（三）</w:t>
            </w:r>
            <w:proofErr w:type="gramStart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保基金支付率</w:t>
            </w:r>
            <w:r w:rsidRPr="00097E9B">
              <w:rPr>
                <w:rFonts w:eastAsia="楷体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465D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半年</w:t>
            </w:r>
            <w:r w:rsidRPr="00097E9B">
              <w:rPr>
                <w:color w:val="000000"/>
                <w:kern w:val="0"/>
                <w:sz w:val="24"/>
                <w:szCs w:val="24"/>
              </w:rPr>
              <w:t>/</w:t>
            </w: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B290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77F32" w:rsidRPr="00097E9B" w14:paraId="553F18C0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0D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基金结余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A30" w14:textId="77777777" w:rsidR="00B77F32" w:rsidRPr="00097E9B" w:rsidRDefault="00B77F32" w:rsidP="00B77F32">
            <w:pPr>
              <w:widowControl/>
              <w:spacing w:line="400" w:lineRule="exac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结余合计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B5E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FD5F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保基金</w:t>
            </w: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报表</w:t>
            </w:r>
          </w:p>
        </w:tc>
      </w:tr>
      <w:tr w:rsidR="00B77F32" w:rsidRPr="00097E9B" w14:paraId="3E998F21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65AC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7538" w14:textId="77777777" w:rsidR="00B77F32" w:rsidRPr="00097E9B" w:rsidRDefault="00B77F32" w:rsidP="00B77F32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（一）职工</w:t>
            </w:r>
            <w:proofErr w:type="gramStart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10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B8F69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A2244A1" w14:textId="77777777" w:rsidTr="00F35DFA">
        <w:trPr>
          <w:trHeight w:val="273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B29E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1C4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统筹基金当期结余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926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CF84B0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2B43047C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B585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1C6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统筹基金累计结余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67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AD1673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7F905B2C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C03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0C05" w14:textId="77777777" w:rsidR="00B77F32" w:rsidRPr="00097E9B" w:rsidRDefault="00B77F32" w:rsidP="00B77F32">
            <w:pPr>
              <w:widowControl/>
              <w:spacing w:line="400" w:lineRule="exac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（二）居民</w:t>
            </w:r>
            <w:proofErr w:type="gramStart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4B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1F42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7363256B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379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8F9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当期结余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77F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5CAD6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13565D53" w14:textId="77777777" w:rsidTr="00F35DFA">
        <w:trPr>
          <w:trHeight w:val="62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41F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E02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累计结余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6EA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65DB9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2B3A0BF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E7D4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城乡</w:t>
            </w:r>
          </w:p>
          <w:p w14:paraId="0238B671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医疗救助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BB6E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基金收入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558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584E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保基金报表</w:t>
            </w:r>
          </w:p>
        </w:tc>
      </w:tr>
      <w:tr w:rsidR="00B77F32" w:rsidRPr="00097E9B" w14:paraId="1255FDDD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955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9E78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医疗救助支出（不含资助参保）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B19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53F31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B77F32" w:rsidRPr="00097E9B" w14:paraId="5EC1223C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092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下一年度</w:t>
            </w:r>
          </w:p>
          <w:p w14:paraId="6F6616E0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统筹地区</w:t>
            </w:r>
          </w:p>
          <w:p w14:paraId="3A88852A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保总额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46A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住院统筹基金总额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D46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1D4F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统筹地区</w:t>
            </w: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结算数据</w:t>
            </w:r>
          </w:p>
        </w:tc>
      </w:tr>
      <w:tr w:rsidR="00B77F32" w:rsidRPr="00097E9B" w14:paraId="2E1049DC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3D0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F83C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门诊统筹基金总额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C3D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52A9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410C187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56B0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68A3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按</w:t>
            </w:r>
            <w:r w:rsidRPr="00097E9B">
              <w:rPr>
                <w:color w:val="000000"/>
                <w:kern w:val="0"/>
                <w:sz w:val="24"/>
                <w:szCs w:val="24"/>
              </w:rPr>
              <w:t>DRG</w:t>
            </w: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付费统筹基金总额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391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9F53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04095C28" w14:textId="77777777" w:rsidTr="00F35DFA">
        <w:trPr>
          <w:trHeight w:val="39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38C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F0E0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9F4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A97A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AED0B93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69F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DRG</w:t>
            </w:r>
          </w:p>
          <w:p w14:paraId="70D39586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支付方式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7F3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保结算清单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上传率</w:t>
            </w:r>
            <w:proofErr w:type="gramEnd"/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8E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A58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医保信息</w:t>
            </w:r>
            <w:proofErr w:type="gramEnd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平台</w:t>
            </w:r>
          </w:p>
        </w:tc>
      </w:tr>
      <w:tr w:rsidR="00B77F32" w:rsidRPr="00097E9B" w14:paraId="51ACDC87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F6F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529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保结算清单质控通过率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782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C0CE0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7125465F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F5CA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2EA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DRG结算人次占比*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0A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31BF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统筹地区</w:t>
            </w: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br/>
              <w:t>结算数据/</w:t>
            </w:r>
            <w:proofErr w:type="gramStart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医保信息</w:t>
            </w:r>
            <w:proofErr w:type="gramEnd"/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平台</w:t>
            </w:r>
          </w:p>
        </w:tc>
      </w:tr>
      <w:tr w:rsidR="00B77F32" w:rsidRPr="00097E9B" w14:paraId="02A91684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B07C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632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 xml:space="preserve">  其中：按DRG付费标准结算人次占比*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B2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5A8C9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5BDDD512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8438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3004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1A4751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DRG病例中据实结算人次占比*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180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C203E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786B01F9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F8C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041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特例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单议申请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病例数量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6A6A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74551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123FDDB6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AD96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1E59" w14:textId="77777777" w:rsidR="00B77F32" w:rsidRPr="00097E9B" w:rsidRDefault="00B77F32" w:rsidP="00B77F32">
            <w:pPr>
              <w:widowControl/>
              <w:spacing w:line="400" w:lineRule="exac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eastAsia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97E9B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其中：审核通过病例数量</w:t>
            </w:r>
            <w:r w:rsidRPr="00097E9B">
              <w:rPr>
                <w:rFonts w:eastAsia="宋体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16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7B2B7A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074B7752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24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1368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特例单议病例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数占出院病例数的比例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66A9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907C3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513CD6B" w14:textId="77777777" w:rsidTr="00F35DFA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3018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医疗机构</w:t>
            </w:r>
          </w:p>
          <w:p w14:paraId="619B0878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服务情况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D843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住院总费用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EB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D50E3" w14:textId="77777777" w:rsidR="00B77F32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统筹地区</w:t>
            </w:r>
          </w:p>
          <w:p w14:paraId="3F84CF5C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kern w:val="0"/>
                <w:sz w:val="24"/>
                <w:szCs w:val="24"/>
              </w:rPr>
              <w:t>结算数据</w:t>
            </w:r>
          </w:p>
        </w:tc>
      </w:tr>
      <w:tr w:rsidR="00B77F32" w:rsidRPr="00097E9B" w14:paraId="4779AE12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6946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F62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次均住院费用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CAFC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7EAD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3144BE98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D291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8FB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人次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06B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67B4B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C815CBA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899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F514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出院</w:t>
            </w: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人次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F5C2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8BFC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42CF786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30F3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AF9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门诊住院人次比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0458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2CA7C4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B5CD21A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AA1F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23F3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出院人次增长率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266D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1F4E5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45744698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1246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F7BF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住院率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3EF0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半年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E7466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411EB762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1162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01C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时间消耗指数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4543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4F52E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66CA59BC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3FD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F57F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费用消耗指数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B41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4B897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B77F32" w:rsidRPr="00097E9B" w14:paraId="063436E5" w14:textId="77777777" w:rsidTr="00F35DFA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7C2D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65B" w14:textId="77777777" w:rsidR="00B77F32" w:rsidRPr="00097E9B" w:rsidRDefault="00B77F32" w:rsidP="00B77F32">
            <w:pPr>
              <w:widowControl/>
              <w:spacing w:line="400" w:lineRule="exact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保外费用占比</w:t>
            </w:r>
            <w:r w:rsidRPr="00097E9B">
              <w:rPr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5C37" w14:textId="77777777" w:rsidR="00B77F32" w:rsidRPr="00097E9B" w:rsidRDefault="00B77F32" w:rsidP="00B77F32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97E9B"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96493" w14:textId="77777777" w:rsidR="00B77F32" w:rsidRPr="00097E9B" w:rsidRDefault="00B77F32" w:rsidP="00B77F32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1C2A9A5A" w14:textId="77777777" w:rsidR="00B77F32" w:rsidRPr="00097E9B" w:rsidRDefault="00B77F32" w:rsidP="00B77F32">
      <w:pPr>
        <w:widowControl/>
        <w:ind w:firstLine="472"/>
        <w:rPr>
          <w:rFonts w:ascii="仿宋_GB2312" w:hAnsi="宋体" w:cs="宋体" w:hint="eastAsia"/>
          <w:color w:val="000000"/>
          <w:kern w:val="0"/>
          <w:sz w:val="24"/>
          <w:szCs w:val="24"/>
        </w:rPr>
      </w:pPr>
      <w:r w:rsidRPr="00197709">
        <w:rPr>
          <w:rFonts w:ascii="仿宋_GB2312" w:hAnsi="宋体" w:cs="宋体" w:hint="eastAsia"/>
          <w:color w:val="000000"/>
          <w:kern w:val="0"/>
          <w:sz w:val="24"/>
          <w:szCs w:val="24"/>
        </w:rPr>
        <w:t>说明：带“</w:t>
      </w:r>
      <w:r w:rsidRPr="00097E9B">
        <w:rPr>
          <w:rFonts w:ascii="仿宋_GB2312" w:hAnsi="宋体" w:cs="宋体"/>
          <w:color w:val="000000"/>
          <w:kern w:val="0"/>
          <w:sz w:val="24"/>
          <w:szCs w:val="24"/>
        </w:rPr>
        <w:t>*</w:t>
      </w:r>
      <w:r w:rsidRPr="00197709">
        <w:rPr>
          <w:rFonts w:ascii="仿宋_GB2312" w:hAnsi="宋体" w:cs="宋体" w:hint="eastAsia"/>
          <w:color w:val="000000"/>
          <w:kern w:val="0"/>
          <w:sz w:val="24"/>
          <w:szCs w:val="24"/>
        </w:rPr>
        <w:t>”的指标既要公布统筹地区整体情况，也要公布各家医疗机构情况。</w:t>
      </w:r>
    </w:p>
    <w:p w14:paraId="29703A26" w14:textId="77777777" w:rsidR="00B77F32" w:rsidRDefault="00B77F32" w:rsidP="00B77F32">
      <w:pPr>
        <w:spacing w:line="560" w:lineRule="exact"/>
        <w:ind w:firstLine="632"/>
      </w:pPr>
    </w:p>
    <w:p w14:paraId="7474790C" w14:textId="77777777" w:rsidR="00F419A4" w:rsidRPr="00B77F32" w:rsidRDefault="00F419A4" w:rsidP="00743000">
      <w:pPr>
        <w:widowControl/>
        <w:jc w:val="left"/>
        <w:rPr>
          <w:rFonts w:hint="eastAsia"/>
        </w:rPr>
      </w:pPr>
    </w:p>
    <w:sectPr w:rsidR="00F419A4" w:rsidRPr="00B77F32" w:rsidSect="00743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7464" w14:textId="77777777" w:rsidR="00352C1B" w:rsidRDefault="00352C1B" w:rsidP="00743000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1C239AEE" w14:textId="77777777" w:rsidR="00352C1B" w:rsidRDefault="00352C1B" w:rsidP="00743000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4195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BE918CB" w14:textId="77777777" w:rsidR="00743000" w:rsidRPr="00743000" w:rsidRDefault="00743000">
        <w:pPr>
          <w:pStyle w:val="a7"/>
          <w:ind w:firstLine="360"/>
          <w:rPr>
            <w:rFonts w:ascii="宋体" w:eastAsia="宋体" w:hAnsi="宋体" w:hint="eastAsia"/>
            <w:sz w:val="28"/>
            <w:szCs w:val="28"/>
          </w:rPr>
        </w:pPr>
        <w:r w:rsidRPr="00743000">
          <w:rPr>
            <w:rFonts w:ascii="宋体" w:eastAsia="宋体" w:hAnsi="宋体"/>
            <w:sz w:val="28"/>
            <w:szCs w:val="28"/>
          </w:rPr>
          <w:fldChar w:fldCharType="begin"/>
        </w:r>
        <w:r w:rsidRPr="0074300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43000">
          <w:rPr>
            <w:rFonts w:ascii="宋体" w:eastAsia="宋体" w:hAnsi="宋体"/>
            <w:sz w:val="28"/>
            <w:szCs w:val="28"/>
          </w:rPr>
          <w:fldChar w:fldCharType="separate"/>
        </w:r>
        <w:r w:rsidRPr="00743000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4300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868F100" w14:textId="77777777" w:rsidR="00743000" w:rsidRDefault="00743000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18205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62FE804" w14:textId="77777777" w:rsidR="00743000" w:rsidRPr="00743000" w:rsidRDefault="00743000">
        <w:pPr>
          <w:pStyle w:val="a7"/>
          <w:ind w:firstLine="360"/>
          <w:jc w:val="right"/>
          <w:rPr>
            <w:rFonts w:ascii="宋体" w:eastAsia="宋体" w:hAnsi="宋体" w:hint="eastAsia"/>
            <w:sz w:val="28"/>
            <w:szCs w:val="28"/>
          </w:rPr>
        </w:pPr>
        <w:r w:rsidRPr="00743000">
          <w:rPr>
            <w:rFonts w:ascii="宋体" w:eastAsia="宋体" w:hAnsi="宋体"/>
            <w:sz w:val="28"/>
            <w:szCs w:val="28"/>
          </w:rPr>
          <w:fldChar w:fldCharType="begin"/>
        </w:r>
        <w:r w:rsidRPr="0074300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43000">
          <w:rPr>
            <w:rFonts w:ascii="宋体" w:eastAsia="宋体" w:hAnsi="宋体"/>
            <w:sz w:val="28"/>
            <w:szCs w:val="28"/>
          </w:rPr>
          <w:fldChar w:fldCharType="separate"/>
        </w:r>
        <w:r w:rsidRPr="00743000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4300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6E4BD78" w14:textId="77777777" w:rsidR="00743000" w:rsidRDefault="00743000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C9A2" w14:textId="77777777" w:rsidR="00743000" w:rsidRDefault="00743000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8812" w14:textId="77777777" w:rsidR="00352C1B" w:rsidRDefault="00352C1B" w:rsidP="00743000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2517F694" w14:textId="77777777" w:rsidR="00352C1B" w:rsidRDefault="00352C1B" w:rsidP="00743000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5553" w14:textId="77777777" w:rsidR="00743000" w:rsidRPr="00743000" w:rsidRDefault="00743000" w:rsidP="00743000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9712" w14:textId="77777777" w:rsidR="00743000" w:rsidRPr="00743000" w:rsidRDefault="00743000" w:rsidP="00743000">
    <w:pPr>
      <w:ind w:firstLine="6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F897" w14:textId="77777777" w:rsidR="00743000" w:rsidRDefault="00743000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32"/>
    <w:rsid w:val="002821FA"/>
    <w:rsid w:val="003478D2"/>
    <w:rsid w:val="00352C1B"/>
    <w:rsid w:val="0073594C"/>
    <w:rsid w:val="00743000"/>
    <w:rsid w:val="009949B2"/>
    <w:rsid w:val="00B77F32"/>
    <w:rsid w:val="00EF68FC"/>
    <w:rsid w:val="00F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DEBB"/>
  <w15:chartTrackingRefBased/>
  <w15:docId w15:val="{1FA0BF98-76C2-4C57-A10F-B0487B46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3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949B2"/>
    <w:pPr>
      <w:keepNext/>
      <w:keepLines/>
      <w:spacing w:line="560" w:lineRule="exact"/>
      <w:jc w:val="center"/>
      <w:outlineLvl w:val="0"/>
    </w:pPr>
    <w:rPr>
      <w:rFonts w:ascii="仿宋_GB2312" w:eastAsia="方正小标宋_GBK" w:hAnsi="仿宋_GB2312" w:cs="仿宋_GB2312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32"/>
    <w:pPr>
      <w:keepNext/>
      <w:keepLines/>
      <w:spacing w:before="160" w:after="80" w:line="56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32"/>
    <w:pPr>
      <w:keepNext/>
      <w:keepLines/>
      <w:spacing w:before="160" w:after="80" w:line="56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32"/>
    <w:pPr>
      <w:keepNext/>
      <w:keepLines/>
      <w:spacing w:before="80" w:after="40" w:line="56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32"/>
    <w:pPr>
      <w:keepNext/>
      <w:keepLines/>
      <w:spacing w:before="80" w:after="40" w:line="56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32"/>
    <w:pPr>
      <w:keepNext/>
      <w:keepLines/>
      <w:spacing w:before="40" w:line="56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32"/>
    <w:pPr>
      <w:keepNext/>
      <w:keepLines/>
      <w:spacing w:before="40" w:line="56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32"/>
    <w:pPr>
      <w:keepNext/>
      <w:keepLines/>
      <w:spacing w:line="56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32"/>
    <w:pPr>
      <w:keepNext/>
      <w:keepLines/>
      <w:spacing w:line="56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B2"/>
    <w:rPr>
      <w:rFonts w:eastAsia="方正小标宋_GBK"/>
      <w:b/>
      <w:bCs/>
      <w:kern w:val="44"/>
      <w:sz w:val="44"/>
      <w:szCs w:val="44"/>
    </w:rPr>
  </w:style>
  <w:style w:type="paragraph" w:customStyle="1" w:styleId="a3">
    <w:name w:val="大标题"/>
    <w:basedOn w:val="a"/>
    <w:next w:val="a"/>
    <w:link w:val="a4"/>
    <w:qFormat/>
    <w:rsid w:val="009949B2"/>
    <w:pPr>
      <w:spacing w:line="560" w:lineRule="exact"/>
      <w:jc w:val="center"/>
    </w:pPr>
    <w:rPr>
      <w:rFonts w:ascii="仿宋_GB2312" w:eastAsia="方正小标宋_GBK" w:hAnsi="仿宋_GB2312" w:cs="仿宋_GB2312"/>
      <w:sz w:val="44"/>
    </w:rPr>
  </w:style>
  <w:style w:type="character" w:customStyle="1" w:styleId="a4">
    <w:name w:val="大标题 字符"/>
    <w:basedOn w:val="a0"/>
    <w:link w:val="a3"/>
    <w:rsid w:val="009949B2"/>
    <w:rPr>
      <w:rFonts w:eastAsia="方正小标宋_GBK"/>
      <w:sz w:val="44"/>
    </w:rPr>
  </w:style>
  <w:style w:type="paragraph" w:styleId="a5">
    <w:name w:val="header"/>
    <w:basedOn w:val="a"/>
    <w:link w:val="a6"/>
    <w:uiPriority w:val="99"/>
    <w:unhideWhenUsed/>
    <w:rsid w:val="0074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仿宋_GB2312" w:hAnsi="仿宋_GB2312" w:cs="仿宋_GB231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3000"/>
    <w:rPr>
      <w:rFonts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3000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仿宋_GB2312" w:hAnsi="仿宋_GB2312" w:cs="仿宋_GB231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3000"/>
    <w:rPr>
      <w:rFonts w:eastAsia="仿宋_GB231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B77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F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F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7F32"/>
    <w:rPr>
      <w:rFonts w:cstheme="majorBidi"/>
      <w:b/>
      <w:bCs/>
      <w:color w:val="0F4761" w:themeColor="accent1" w:themeShade="BF"/>
      <w:sz w:val="32"/>
      <w:szCs w:val="32"/>
    </w:rPr>
  </w:style>
  <w:style w:type="character" w:customStyle="1" w:styleId="70">
    <w:name w:val="标题 7 字符"/>
    <w:basedOn w:val="a0"/>
    <w:link w:val="7"/>
    <w:uiPriority w:val="9"/>
    <w:semiHidden/>
    <w:rsid w:val="00B77F32"/>
    <w:rPr>
      <w:rFonts w:cstheme="majorBidi"/>
      <w:b/>
      <w:bCs/>
      <w:color w:val="595959" w:themeColor="text1" w:themeTint="A6"/>
      <w:sz w:val="32"/>
      <w:szCs w:val="32"/>
    </w:rPr>
  </w:style>
  <w:style w:type="character" w:customStyle="1" w:styleId="80">
    <w:name w:val="标题 8 字符"/>
    <w:basedOn w:val="a0"/>
    <w:link w:val="8"/>
    <w:uiPriority w:val="9"/>
    <w:semiHidden/>
    <w:rsid w:val="00B77F32"/>
    <w:rPr>
      <w:rFonts w:cstheme="majorBidi"/>
      <w:color w:val="595959" w:themeColor="text1" w:themeTint="A6"/>
      <w:sz w:val="32"/>
      <w:szCs w:val="32"/>
    </w:rPr>
  </w:style>
  <w:style w:type="character" w:customStyle="1" w:styleId="90">
    <w:name w:val="标题 9 字符"/>
    <w:basedOn w:val="a0"/>
    <w:link w:val="9"/>
    <w:uiPriority w:val="9"/>
    <w:semiHidden/>
    <w:rsid w:val="00B77F32"/>
    <w:rPr>
      <w:rFonts w:eastAsiaTheme="majorEastAsia" w:cstheme="majorBidi"/>
      <w:color w:val="595959" w:themeColor="text1" w:themeTint="A6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B77F32"/>
    <w:pPr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0"/>
    <w:link w:val="a9"/>
    <w:uiPriority w:val="10"/>
    <w:rsid w:val="00B7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B77F32"/>
    <w:pPr>
      <w:numPr>
        <w:ilvl w:val="1"/>
      </w:numPr>
      <w:spacing w:after="160" w:line="56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副标题 字符"/>
    <w:basedOn w:val="a0"/>
    <w:link w:val="ab"/>
    <w:uiPriority w:val="11"/>
    <w:rsid w:val="00B77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rsid w:val="00B77F32"/>
    <w:pPr>
      <w:spacing w:before="160" w:after="160" w:line="560" w:lineRule="exact"/>
      <w:ind w:firstLineChars="200" w:firstLine="200"/>
      <w:jc w:val="center"/>
    </w:pPr>
    <w:rPr>
      <w:rFonts w:ascii="仿宋_GB2312" w:hAnsi="仿宋_GB2312" w:cs="仿宋_GB2312"/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rsid w:val="00B77F32"/>
    <w:rPr>
      <w:rFonts w:ascii="仿宋_GB2312" w:eastAsia="仿宋_GB2312" w:hAnsi="仿宋_GB2312" w:cs="仿宋_GB2312"/>
      <w:i/>
      <w:iCs/>
      <w:color w:val="404040" w:themeColor="text1" w:themeTint="BF"/>
      <w:sz w:val="32"/>
      <w:szCs w:val="32"/>
    </w:rPr>
  </w:style>
  <w:style w:type="paragraph" w:styleId="af">
    <w:name w:val="List Paragraph"/>
    <w:basedOn w:val="a"/>
    <w:uiPriority w:val="34"/>
    <w:qFormat/>
    <w:rsid w:val="00B77F32"/>
    <w:pPr>
      <w:spacing w:line="560" w:lineRule="exact"/>
      <w:ind w:left="720" w:firstLineChars="200" w:firstLine="200"/>
      <w:contextualSpacing/>
    </w:pPr>
    <w:rPr>
      <w:rFonts w:ascii="仿宋_GB2312" w:hAnsi="仿宋_GB2312" w:cs="仿宋_GB2312"/>
    </w:rPr>
  </w:style>
  <w:style w:type="character" w:styleId="af0">
    <w:name w:val="Intense Emphasis"/>
    <w:basedOn w:val="a0"/>
    <w:uiPriority w:val="21"/>
    <w:qFormat/>
    <w:rsid w:val="00B77F32"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B7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 w:firstLineChars="200" w:firstLine="200"/>
      <w:jc w:val="center"/>
    </w:pPr>
    <w:rPr>
      <w:rFonts w:ascii="仿宋_GB2312" w:hAnsi="仿宋_GB2312" w:cs="仿宋_GB2312"/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rsid w:val="00B77F32"/>
    <w:rPr>
      <w:rFonts w:ascii="仿宋_GB2312" w:eastAsia="仿宋_GB2312" w:hAnsi="仿宋_GB2312" w:cs="仿宋_GB2312"/>
      <w:i/>
      <w:iCs/>
      <w:color w:val="0F4761" w:themeColor="accent1" w:themeShade="BF"/>
      <w:sz w:val="32"/>
      <w:szCs w:val="32"/>
    </w:rPr>
  </w:style>
  <w:style w:type="character" w:styleId="af3">
    <w:name w:val="Intense Reference"/>
    <w:basedOn w:val="a0"/>
    <w:uiPriority w:val="32"/>
    <w:qFormat/>
    <w:rsid w:val="00B77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V</dc:creator>
  <cp:keywords/>
  <dc:description/>
  <cp:lastModifiedBy>LI V</cp:lastModifiedBy>
  <cp:revision>1</cp:revision>
  <dcterms:created xsi:type="dcterms:W3CDTF">2025-04-02T03:00:00Z</dcterms:created>
  <dcterms:modified xsi:type="dcterms:W3CDTF">2025-04-02T03:02:00Z</dcterms:modified>
</cp:coreProperties>
</file>