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青岛市城市管理局现行有效部门规范性文件目录</w:t>
      </w:r>
    </w:p>
    <w:p>
      <w:pPr>
        <w:jc w:val="center"/>
      </w:pPr>
      <w:r>
        <w:rPr>
          <w:rFonts w:hint="eastAsia" w:ascii="黑体" w:hAnsi="黑体" w:eastAsia="黑体"/>
          <w:color w:val="000000"/>
          <w:sz w:val="32"/>
          <w:szCs w:val="32"/>
        </w:rPr>
        <w:t>（截至20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/>
          <w:color w:val="000000"/>
          <w:sz w:val="32"/>
          <w:szCs w:val="32"/>
        </w:rPr>
        <w:t>年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</w:rPr>
        <w:t>月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</w:rPr>
        <w:t>日）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241"/>
        <w:tblOverlap w:val="never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785"/>
        <w:gridCol w:w="2896"/>
        <w:gridCol w:w="2689"/>
        <w:gridCol w:w="2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文件名称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发文字号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widowControl/>
              <w:spacing w:line="520" w:lineRule="exact"/>
              <w:jc w:val="center"/>
              <w:outlineLvl w:val="2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登记号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outlineLvl w:val="2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《青岛市城市管理局关于印发&lt;青岛市市容和环境卫生责任区划分办法&gt;的通知》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青城管规〔2018〕1号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QDCR-2018-016001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《青岛市城市管理局关于印发&lt;青岛市城市管理行政处罚裁量基准&gt;的通知》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青城管规〔2019〕3号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QDCR-20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仿宋_GB2312" w:hAnsi="宋体" w:eastAsia="仿宋_GB2312"/>
                <w:sz w:val="24"/>
                <w:szCs w:val="24"/>
              </w:rPr>
              <w:t>-015000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《青岛市城市管理局关于印发&lt;青岛市居民用户燃气设施安全管理规定&gt;的通知》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青城管规〔2020〕1号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QDCR-20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宋体" w:eastAsia="仿宋_GB2312"/>
                <w:sz w:val="24"/>
                <w:szCs w:val="24"/>
              </w:rPr>
              <w:t>-015000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2025年6月30日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《青岛市城市管理局关于调整燃气等行政处罚裁量基准的通知》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青城管规〔2020〕2号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QDCR-20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宋体" w:eastAsia="仿宋_GB2312"/>
                <w:sz w:val="24"/>
                <w:szCs w:val="24"/>
              </w:rPr>
              <w:t>-015000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《青岛市城市管理局关于印发&lt;青岛市城市管理领域部分轻微违法行为不予行政处罚清单&gt;的通知》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青城管规〔2020〕3号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QDCR-20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宋体" w:eastAsia="仿宋_GB2312"/>
                <w:sz w:val="24"/>
                <w:szCs w:val="24"/>
              </w:rPr>
              <w:t>-015000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2022年11月20日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《青岛市城市管理局关于调整物业等行政处罚裁量基准的通知》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青城管规〔2021〕1号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QDCR-20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仿宋_GB2312" w:hAnsi="宋体" w:eastAsia="仿宋_GB2312"/>
                <w:sz w:val="24"/>
                <w:szCs w:val="24"/>
              </w:rPr>
              <w:t>-015000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《青岛市城市管理局关于印发&lt;青岛市城市管理领域部分轻微违法行为不予行政处罚清单（2021版）&gt;》的通知》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青城管规〔2021〕2号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QDCR-20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仿宋_GB2312" w:hAnsi="宋体" w:eastAsia="仿宋_GB2312"/>
                <w:sz w:val="24"/>
                <w:szCs w:val="24"/>
              </w:rPr>
              <w:t>-015000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有效期至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2023年9月30日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</w:p>
    <w:p/>
    <w:sectPr>
      <w:pgSz w:w="16838" w:h="11906" w:orient="landscape"/>
      <w:pgMar w:top="1701" w:right="1474" w:bottom="1417" w:left="1588" w:header="851" w:footer="992" w:gutter="0"/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2191B"/>
    <w:rsid w:val="394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2022-01-10T08:40:56Z</dcterms:created>
  <dc:creator>lenovo</dc:creator>
  <cp:lastModifiedBy>范儿</cp:lastModifiedBy>
  <dcterms:modified xsi:type="dcterms:W3CDTF">2022-01-10T08:42:50Z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