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454490">
      <w:pPr>
        <w:overflowPunct w:val="0"/>
        <w:adjustRightInd w:val="0"/>
        <w:snapToGrid w:val="0"/>
        <w:spacing w:line="560" w:lineRule="exact"/>
        <w:jc w:val="center"/>
        <w:rPr>
          <w:rFonts w:hint="eastAsia" w:ascii="方正小标宋_GBK" w:hAnsi="方正小标宋_GBK" w:eastAsia="方正小标宋_GBK" w:cs="方正小标宋_GBK"/>
          <w:snapToGrid w:val="0"/>
          <w:kern w:val="0"/>
          <w:sz w:val="44"/>
          <w:szCs w:val="44"/>
        </w:rPr>
      </w:pPr>
      <w:r>
        <w:rPr>
          <w:rFonts w:hint="eastAsia" w:ascii="方正小标宋_GBK" w:hAnsi="方正小标宋_GBK" w:eastAsia="方正小标宋_GBK" w:cs="方正小标宋_GBK"/>
          <w:snapToGrid w:val="0"/>
          <w:kern w:val="0"/>
          <w:sz w:val="44"/>
          <w:szCs w:val="44"/>
        </w:rPr>
        <w:t>青岛市交通工程质量和安全生产监督管理办法</w:t>
      </w:r>
    </w:p>
    <w:p w14:paraId="62C8FD14">
      <w:pPr>
        <w:pStyle w:val="2"/>
        <w:keepNext w:val="0"/>
        <w:keepLines w:val="0"/>
        <w:pageBreakBefore w:val="0"/>
        <w:widowControl w:val="0"/>
        <w:kinsoku/>
        <w:wordWrap/>
        <w:overflowPunct/>
        <w:topLinePunct w:val="0"/>
        <w:autoSpaceDE/>
        <w:autoSpaceDN/>
        <w:bidi w:val="0"/>
        <w:adjustRightInd/>
        <w:snapToGrid/>
        <w:spacing w:line="560" w:lineRule="exact"/>
        <w:ind w:left="624" w:leftChars="200" w:right="624" w:rightChars="200" w:firstLine="0" w:firstLineChars="0"/>
        <w:textAlignment w:val="auto"/>
        <w:rPr>
          <w:rFonts w:hint="eastAsia" w:ascii="楷体_GB2312" w:hAnsi="楷体_GB2312" w:eastAsia="楷体_GB2312" w:cs="楷体_GB2312"/>
          <w:lang w:val="en-US" w:eastAsia="zh-CN"/>
        </w:rPr>
      </w:pPr>
    </w:p>
    <w:p w14:paraId="2B8FBDBA">
      <w:pPr>
        <w:pStyle w:val="2"/>
        <w:keepNext w:val="0"/>
        <w:keepLines w:val="0"/>
        <w:pageBreakBefore w:val="0"/>
        <w:widowControl w:val="0"/>
        <w:kinsoku/>
        <w:wordWrap/>
        <w:overflowPunct/>
        <w:topLinePunct w:val="0"/>
        <w:autoSpaceDE/>
        <w:autoSpaceDN/>
        <w:bidi w:val="0"/>
        <w:adjustRightInd/>
        <w:snapToGrid/>
        <w:spacing w:after="0" w:line="560" w:lineRule="exact"/>
        <w:ind w:left="624" w:leftChars="200" w:right="624" w:rightChars="200" w:firstLine="0" w:firstLineChars="0"/>
        <w:textAlignment w:val="auto"/>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（2011年6月21日青岛市人民政府令第213号公布 根据2018年2月7日青岛市人民政府令第261号《青岛市人民政府关于修改〈青岛市平时使用人防工程管理和收费的实施办法〉等27件政府规章的决定》</w:t>
      </w:r>
      <w:r>
        <w:rPr>
          <w:rFonts w:hint="default" w:ascii="楷体_GB2312" w:hAnsi="楷体_GB2312" w:eastAsia="楷体_GB2312" w:cs="楷体_GB2312"/>
          <w:lang w:val="en" w:eastAsia="zh-CN"/>
        </w:rPr>
        <w:t>修正</w:t>
      </w:r>
      <w:r>
        <w:rPr>
          <w:rFonts w:hint="eastAsia" w:ascii="楷体_GB2312" w:hAnsi="楷体_GB2312" w:eastAsia="楷体_GB2312" w:cs="楷体_GB2312"/>
          <w:lang w:val="en-US" w:eastAsia="zh-CN"/>
        </w:rPr>
        <w:t xml:space="preserve"> 根据2026年2月13</w:t>
      </w:r>
      <w:bookmarkStart w:id="16" w:name="_GoBack"/>
      <w:bookmarkEnd w:id="16"/>
      <w:r>
        <w:rPr>
          <w:rFonts w:hint="eastAsia" w:ascii="楷体_GB2312" w:hAnsi="楷体_GB2312" w:eastAsia="楷体_GB2312" w:cs="楷体_GB2312"/>
          <w:lang w:val="en-US" w:eastAsia="zh-CN"/>
        </w:rPr>
        <w:t>日青岛市人民政府令第311号修订）</w:t>
      </w:r>
    </w:p>
    <w:p w14:paraId="69898976">
      <w:pPr>
        <w:rPr>
          <w:rFonts w:hint="eastAsia"/>
          <w:lang w:val="en-US" w:eastAsia="zh-CN"/>
        </w:rPr>
      </w:pPr>
    </w:p>
    <w:p w14:paraId="3FC69ED8">
      <w:pPr>
        <w:tabs>
          <w:tab w:val="left" w:pos="312"/>
        </w:tabs>
        <w:overflowPunct w:val="0"/>
        <w:adjustRightInd w:val="0"/>
        <w:snapToGrid w:val="0"/>
        <w:spacing w:line="560" w:lineRule="exact"/>
        <w:jc w:val="center"/>
        <w:rPr>
          <w:rFonts w:ascii="黑体" w:hAnsi="Verdana,??" w:eastAsia="黑体" w:cs="宋体"/>
          <w:snapToGrid w:val="0"/>
          <w:kern w:val="0"/>
          <w:szCs w:val="32"/>
        </w:rPr>
      </w:pPr>
      <w:r>
        <w:rPr>
          <w:rFonts w:hint="eastAsia" w:ascii="黑体" w:hAnsi="Verdana,??" w:eastAsia="黑体" w:cs="宋体"/>
          <w:snapToGrid w:val="0"/>
          <w:kern w:val="0"/>
          <w:szCs w:val="32"/>
        </w:rPr>
        <w:t>第一章  总  则</w:t>
      </w:r>
    </w:p>
    <w:p w14:paraId="33B1DADC">
      <w:pPr>
        <w:tabs>
          <w:tab w:val="left" w:pos="312"/>
        </w:tabs>
        <w:overflowPunct w:val="0"/>
        <w:adjustRightInd w:val="0"/>
        <w:snapToGrid w:val="0"/>
        <w:spacing w:line="560" w:lineRule="exact"/>
        <w:jc w:val="center"/>
        <w:rPr>
          <w:rFonts w:ascii="黑体" w:hAnsi="Verdana,??" w:eastAsia="黑体" w:cs="宋体"/>
          <w:snapToGrid w:val="0"/>
          <w:kern w:val="0"/>
          <w:szCs w:val="32"/>
        </w:rPr>
      </w:pPr>
    </w:p>
    <w:p w14:paraId="4BB285E9">
      <w:pPr>
        <w:tabs>
          <w:tab w:val="left" w:pos="312"/>
        </w:tabs>
        <w:overflowPunct w:val="0"/>
        <w:adjustRightInd w:val="0"/>
        <w:snapToGrid w:val="0"/>
        <w:spacing w:line="560" w:lineRule="exact"/>
        <w:ind w:firstLine="624" w:firstLineChars="200"/>
        <w:jc w:val="left"/>
        <w:rPr>
          <w:rFonts w:ascii="仿宋_GB2312" w:hAnsi="宋体" w:eastAsia="仿宋_GB2312" w:cs="宋体"/>
          <w:snapToGrid w:val="0"/>
          <w:kern w:val="0"/>
          <w:szCs w:val="32"/>
        </w:rPr>
      </w:pPr>
      <w:r>
        <w:rPr>
          <w:rFonts w:hint="eastAsia" w:ascii="黑体" w:hAnsi="黑体" w:eastAsia="黑体" w:cs="黑体"/>
          <w:bCs/>
          <w:snapToGrid w:val="0"/>
          <w:kern w:val="0"/>
          <w:szCs w:val="32"/>
        </w:rPr>
        <w:t xml:space="preserve">第一条  </w:t>
      </w:r>
      <w:r>
        <w:rPr>
          <w:rFonts w:hint="eastAsia" w:ascii="仿宋_GB2312" w:hAnsi="宋体" w:eastAsia="仿宋_GB2312" w:cs="宋体"/>
          <w:snapToGrid w:val="0"/>
          <w:kern w:val="0"/>
          <w:szCs w:val="32"/>
        </w:rPr>
        <w:t>为了规范交通工程建设活动，保证交通工程质量和安全生产，保护人民群众生命和财产安全，根据《中华人民共和国安全生产法》、《中华人民共和国公路法》、《建设工程质量管理条例》、《建设工程安全生产管理条例》等法律法规，结合本市实际，制定本办法。</w:t>
      </w:r>
    </w:p>
    <w:p w14:paraId="64207982">
      <w:pPr>
        <w:tabs>
          <w:tab w:val="left" w:pos="312"/>
        </w:tabs>
        <w:overflowPunct w:val="0"/>
        <w:adjustRightInd w:val="0"/>
        <w:snapToGrid w:val="0"/>
        <w:spacing w:line="560" w:lineRule="exact"/>
        <w:ind w:firstLine="624" w:firstLineChars="200"/>
        <w:jc w:val="left"/>
        <w:rPr>
          <w:rFonts w:ascii="仿宋_GB2312" w:hAnsi="宋体" w:eastAsia="仿宋_GB2312" w:cs="宋体"/>
          <w:snapToGrid w:val="0"/>
          <w:kern w:val="0"/>
          <w:szCs w:val="32"/>
        </w:rPr>
      </w:pPr>
      <w:r>
        <w:rPr>
          <w:rFonts w:hint="eastAsia" w:ascii="黑体" w:hAnsi="黑体" w:eastAsia="黑体" w:cs="黑体"/>
          <w:bCs/>
          <w:snapToGrid w:val="0"/>
          <w:kern w:val="0"/>
          <w:szCs w:val="32"/>
        </w:rPr>
        <w:t xml:space="preserve">第二条  </w:t>
      </w:r>
      <w:r>
        <w:rPr>
          <w:rFonts w:hint="eastAsia" w:ascii="仿宋_GB2312" w:hAnsi="宋体" w:eastAsia="仿宋_GB2312" w:cs="宋体"/>
          <w:snapToGrid w:val="0"/>
          <w:kern w:val="0"/>
          <w:szCs w:val="32"/>
        </w:rPr>
        <w:t>本市行政区域内交通工程质量和安全生产，以及对其实施的监督管理，适用本办法。</w:t>
      </w:r>
    </w:p>
    <w:p w14:paraId="4097139B">
      <w:pPr>
        <w:tabs>
          <w:tab w:val="left" w:pos="312"/>
        </w:tabs>
        <w:overflowPunct w:val="0"/>
        <w:adjustRightInd w:val="0"/>
        <w:snapToGrid w:val="0"/>
        <w:spacing w:line="560" w:lineRule="exact"/>
        <w:ind w:firstLine="624" w:firstLineChars="200"/>
        <w:jc w:val="left"/>
        <w:rPr>
          <w:rFonts w:ascii="仿宋_GB2312" w:hAnsi="宋体" w:eastAsia="仿宋_GB2312" w:cs="宋体"/>
          <w:snapToGrid w:val="0"/>
          <w:kern w:val="0"/>
          <w:szCs w:val="32"/>
        </w:rPr>
      </w:pPr>
      <w:r>
        <w:rPr>
          <w:rFonts w:hint="eastAsia" w:ascii="仿宋_GB2312" w:hAnsi="宋体" w:eastAsia="仿宋_GB2312" w:cs="宋体"/>
          <w:snapToGrid w:val="0"/>
          <w:kern w:val="0"/>
          <w:szCs w:val="32"/>
        </w:rPr>
        <w:t>本办法所称交通工程，是指经依法审批、核准或者备案的公路、水运基础设施的新建、改建、扩建等建设项目。</w:t>
      </w:r>
    </w:p>
    <w:p w14:paraId="09EF7A09">
      <w:pPr>
        <w:tabs>
          <w:tab w:val="left" w:pos="312"/>
        </w:tabs>
        <w:overflowPunct w:val="0"/>
        <w:adjustRightInd w:val="0"/>
        <w:snapToGrid w:val="0"/>
        <w:spacing w:line="560" w:lineRule="exact"/>
        <w:ind w:firstLine="624" w:firstLineChars="200"/>
        <w:jc w:val="left"/>
        <w:rPr>
          <w:rFonts w:ascii="仿宋_GB2312" w:hAnsi="宋体" w:eastAsia="仿宋_GB2312" w:cs="宋体"/>
          <w:snapToGrid w:val="0"/>
          <w:kern w:val="0"/>
          <w:szCs w:val="32"/>
        </w:rPr>
      </w:pPr>
      <w:bookmarkStart w:id="0" w:name="OLE_LINK4"/>
      <w:r>
        <w:rPr>
          <w:rFonts w:hint="eastAsia" w:ascii="黑体" w:hAnsi="黑体" w:eastAsia="黑体" w:cs="黑体"/>
          <w:bCs/>
          <w:snapToGrid w:val="0"/>
          <w:kern w:val="0"/>
          <w:szCs w:val="32"/>
        </w:rPr>
        <w:t>第三条</w:t>
      </w:r>
      <w:bookmarkStart w:id="1" w:name="OLE_LINK7"/>
      <w:r>
        <w:rPr>
          <w:rFonts w:hint="eastAsia" w:ascii="黑体" w:hAnsi="黑体" w:eastAsia="黑体" w:cs="黑体"/>
          <w:bCs/>
          <w:snapToGrid w:val="0"/>
          <w:kern w:val="0"/>
          <w:szCs w:val="32"/>
        </w:rPr>
        <w:t xml:space="preserve">  </w:t>
      </w:r>
      <w:r>
        <w:rPr>
          <w:rFonts w:hint="eastAsia" w:ascii="仿宋_GB2312" w:hAnsi="宋体" w:eastAsia="仿宋_GB2312" w:cs="宋体"/>
          <w:snapToGrid w:val="0"/>
          <w:kern w:val="0"/>
          <w:szCs w:val="32"/>
        </w:rPr>
        <w:t>交通运输主管部门按照职责和权限负责交通工程质量和安全生产监督管理工作。</w:t>
      </w:r>
    </w:p>
    <w:bookmarkEnd w:id="0"/>
    <w:bookmarkEnd w:id="1"/>
    <w:p w14:paraId="5B56F39D">
      <w:pPr>
        <w:overflowPunct w:val="0"/>
        <w:adjustRightInd w:val="0"/>
        <w:snapToGrid w:val="0"/>
        <w:spacing w:line="560" w:lineRule="exact"/>
        <w:ind w:firstLine="624" w:firstLineChars="200"/>
        <w:rPr>
          <w:rFonts w:ascii="仿宋_GB2312" w:hAnsi="宋体" w:eastAsia="仿宋_GB2312" w:cs="宋体"/>
          <w:snapToGrid w:val="0"/>
          <w:kern w:val="0"/>
          <w:szCs w:val="32"/>
        </w:rPr>
      </w:pPr>
      <w:r>
        <w:rPr>
          <w:rFonts w:hint="eastAsia" w:ascii="黑体" w:hAnsi="黑体" w:eastAsia="黑体" w:cs="黑体"/>
          <w:bCs/>
          <w:snapToGrid w:val="0"/>
          <w:kern w:val="0"/>
          <w:szCs w:val="32"/>
        </w:rPr>
        <w:t xml:space="preserve">第四条  </w:t>
      </w:r>
      <w:r>
        <w:rPr>
          <w:rFonts w:hint="eastAsia" w:ascii="仿宋_GB2312" w:hAnsi="宋体" w:eastAsia="仿宋_GB2312" w:cs="宋体"/>
          <w:snapToGrid w:val="0"/>
          <w:kern w:val="0"/>
          <w:szCs w:val="32"/>
        </w:rPr>
        <w:t>建设、勘察、设计、施工、监理、质量检测等单位（以下统称从业单位）和从业人员应当遵守交通工程质量和安全生产法律法规规章、工程建设强制性标准和相关技术规范等，执行国家规定的基本建设程序，履行交通工程质量和安全生产责任。</w:t>
      </w:r>
    </w:p>
    <w:p w14:paraId="3B5C8224">
      <w:pPr>
        <w:overflowPunct w:val="0"/>
        <w:adjustRightInd w:val="0"/>
        <w:snapToGrid w:val="0"/>
        <w:spacing w:line="560" w:lineRule="exact"/>
        <w:ind w:firstLine="624" w:firstLineChars="200"/>
        <w:rPr>
          <w:rFonts w:ascii="仿宋_GB2312" w:hAnsi="宋体" w:eastAsia="仿宋_GB2312" w:cs="宋体"/>
          <w:snapToGrid w:val="0"/>
          <w:kern w:val="0"/>
          <w:szCs w:val="32"/>
        </w:rPr>
      </w:pPr>
      <w:r>
        <w:rPr>
          <w:rFonts w:hint="eastAsia" w:ascii="仿宋_GB2312" w:hAnsi="宋体" w:eastAsia="仿宋_GB2312" w:cs="宋体"/>
          <w:snapToGrid w:val="0"/>
          <w:kern w:val="0"/>
          <w:szCs w:val="32"/>
        </w:rPr>
        <w:t>从业单位应当建立健全交通工程质量和安全生产管理制度，完善交通工程质量和安全生产目标保障机制，推进交通工程质量和安全生产标准化，加强从业人员培训、教育和管理，预防、减少交通工程质量问题和生产安全事故。</w:t>
      </w:r>
    </w:p>
    <w:p w14:paraId="00AF54FE">
      <w:pPr>
        <w:tabs>
          <w:tab w:val="left" w:pos="312"/>
        </w:tabs>
        <w:overflowPunct w:val="0"/>
        <w:adjustRightInd w:val="0"/>
        <w:snapToGrid w:val="0"/>
        <w:spacing w:line="560" w:lineRule="exact"/>
        <w:ind w:firstLine="624" w:firstLineChars="200"/>
        <w:jc w:val="left"/>
        <w:rPr>
          <w:rFonts w:ascii="仿宋_GB2312" w:hAnsi="宋体" w:eastAsia="仿宋_GB2312" w:cs="宋体"/>
          <w:snapToGrid w:val="0"/>
          <w:kern w:val="0"/>
          <w:szCs w:val="32"/>
        </w:rPr>
      </w:pPr>
      <w:r>
        <w:rPr>
          <w:rFonts w:hint="eastAsia" w:ascii="仿宋_GB2312" w:hAnsi="黑体" w:eastAsia="仿宋_GB2312" w:cs="黑体"/>
          <w:bCs/>
          <w:snapToGrid w:val="0"/>
          <w:kern w:val="0"/>
          <w:szCs w:val="32"/>
        </w:rPr>
        <w:t>从业</w:t>
      </w:r>
      <w:r>
        <w:rPr>
          <w:rFonts w:hint="eastAsia" w:ascii="仿宋_GB2312" w:hAnsi="宋体" w:eastAsia="仿宋_GB2312" w:cs="宋体"/>
          <w:snapToGrid w:val="0"/>
          <w:kern w:val="0"/>
          <w:szCs w:val="32"/>
        </w:rPr>
        <w:t>单位应当构建安全生产风险分级管控和隐患排查治理双重预防机制，按照规定编制应急预案，定期开展应急演练。</w:t>
      </w:r>
    </w:p>
    <w:p w14:paraId="299F5EF3">
      <w:pPr>
        <w:tabs>
          <w:tab w:val="left" w:pos="312"/>
        </w:tabs>
        <w:overflowPunct w:val="0"/>
        <w:adjustRightInd w:val="0"/>
        <w:snapToGrid w:val="0"/>
        <w:spacing w:line="560" w:lineRule="exact"/>
        <w:ind w:firstLine="624" w:firstLineChars="200"/>
        <w:jc w:val="left"/>
        <w:rPr>
          <w:rFonts w:ascii="仿宋_GB2312" w:hAnsi="宋体" w:eastAsia="仿宋_GB2312" w:cs="宋体"/>
          <w:snapToGrid w:val="0"/>
          <w:kern w:val="0"/>
          <w:szCs w:val="32"/>
        </w:rPr>
      </w:pPr>
      <w:r>
        <w:rPr>
          <w:rFonts w:hint="eastAsia" w:ascii="黑体" w:hAnsi="黑体" w:eastAsia="黑体" w:cs="黑体"/>
          <w:bCs/>
          <w:snapToGrid w:val="0"/>
          <w:kern w:val="0"/>
          <w:szCs w:val="32"/>
        </w:rPr>
        <w:t xml:space="preserve">第五条  </w:t>
      </w:r>
      <w:r>
        <w:rPr>
          <w:rFonts w:hint="eastAsia" w:ascii="仿宋_GB2312" w:hAnsi="宋体" w:eastAsia="仿宋_GB2312" w:cs="宋体"/>
          <w:snapToGrid w:val="0"/>
          <w:kern w:val="0"/>
          <w:szCs w:val="32"/>
        </w:rPr>
        <w:t>交通运输主管部门应当加强信息化建设，通过系统互联、数据共享等方式，提升交通工程质量和安全生产监督管理的</w:t>
      </w:r>
      <w:r>
        <w:rPr>
          <w:rFonts w:hint="eastAsia" w:ascii="仿宋_GB2312" w:hAnsi="黑体" w:eastAsia="仿宋_GB2312" w:cs="宋体"/>
          <w:snapToGrid w:val="0"/>
          <w:kern w:val="0"/>
          <w:szCs w:val="32"/>
        </w:rPr>
        <w:t>数字化水平</w:t>
      </w:r>
      <w:r>
        <w:rPr>
          <w:rFonts w:hint="eastAsia" w:ascii="仿宋_GB2312" w:hAnsi="宋体" w:eastAsia="仿宋_GB2312" w:cs="宋体"/>
          <w:snapToGrid w:val="0"/>
          <w:kern w:val="0"/>
          <w:szCs w:val="32"/>
        </w:rPr>
        <w:t>。</w:t>
      </w:r>
    </w:p>
    <w:p w14:paraId="62241F30">
      <w:pPr>
        <w:tabs>
          <w:tab w:val="left" w:pos="312"/>
        </w:tabs>
        <w:overflowPunct w:val="0"/>
        <w:adjustRightInd w:val="0"/>
        <w:snapToGrid w:val="0"/>
        <w:spacing w:line="560" w:lineRule="exact"/>
        <w:ind w:firstLine="624" w:firstLineChars="200"/>
        <w:jc w:val="left"/>
        <w:rPr>
          <w:rFonts w:ascii="仿宋_GB2312" w:hAnsi="宋体" w:eastAsia="仿宋_GB2312" w:cs="宋体"/>
          <w:snapToGrid w:val="0"/>
          <w:kern w:val="0"/>
          <w:szCs w:val="32"/>
        </w:rPr>
      </w:pPr>
      <w:r>
        <w:rPr>
          <w:rFonts w:hint="eastAsia" w:ascii="仿宋_GB2312" w:hAnsi="宋体" w:eastAsia="仿宋_GB2312" w:cs="宋体"/>
          <w:snapToGrid w:val="0"/>
          <w:kern w:val="0"/>
          <w:szCs w:val="32"/>
        </w:rPr>
        <w:t>鼓励从业单位应用数字化技术，实现交通工程的智能建造、数字分析、实时监控、智能预警。</w:t>
      </w:r>
    </w:p>
    <w:p w14:paraId="5F613D87">
      <w:pPr>
        <w:tabs>
          <w:tab w:val="left" w:pos="312"/>
        </w:tabs>
        <w:overflowPunct w:val="0"/>
        <w:adjustRightInd w:val="0"/>
        <w:snapToGrid w:val="0"/>
        <w:spacing w:line="560" w:lineRule="exact"/>
        <w:jc w:val="center"/>
        <w:rPr>
          <w:rFonts w:hint="eastAsia" w:ascii="黑体" w:hAnsi="黑体" w:eastAsia="黑体" w:cs="仿宋_GB2312"/>
          <w:kern w:val="0"/>
          <w:szCs w:val="32"/>
          <w:shd w:val="clear" w:color="auto" w:fill="FFFFFF"/>
        </w:rPr>
      </w:pPr>
    </w:p>
    <w:p w14:paraId="7ADD71BF">
      <w:pPr>
        <w:tabs>
          <w:tab w:val="left" w:pos="312"/>
        </w:tabs>
        <w:overflowPunct w:val="0"/>
        <w:adjustRightInd w:val="0"/>
        <w:snapToGrid w:val="0"/>
        <w:spacing w:line="560" w:lineRule="exact"/>
        <w:jc w:val="center"/>
        <w:rPr>
          <w:rFonts w:ascii="宋体" w:hAnsi="宋体" w:eastAsia="黑体" w:cs="宋体"/>
          <w:snapToGrid w:val="0"/>
          <w:kern w:val="0"/>
          <w:szCs w:val="32"/>
        </w:rPr>
      </w:pPr>
      <w:r>
        <w:rPr>
          <w:rFonts w:hint="eastAsia" w:ascii="黑体" w:hAnsi="Verdana,??" w:eastAsia="黑体" w:cs="宋体"/>
          <w:snapToGrid w:val="0"/>
          <w:kern w:val="0"/>
          <w:szCs w:val="32"/>
        </w:rPr>
        <w:t>第二章  建设单位的质量和安全责任</w:t>
      </w:r>
    </w:p>
    <w:p w14:paraId="4A4EF1A9">
      <w:pPr>
        <w:tabs>
          <w:tab w:val="left" w:pos="312"/>
        </w:tabs>
        <w:overflowPunct w:val="0"/>
        <w:adjustRightInd w:val="0"/>
        <w:snapToGrid w:val="0"/>
        <w:spacing w:line="560" w:lineRule="exact"/>
        <w:jc w:val="center"/>
        <w:rPr>
          <w:rFonts w:ascii="黑体" w:hAnsi="黑体" w:eastAsia="黑体" w:cs="黑体"/>
          <w:snapToGrid w:val="0"/>
          <w:kern w:val="0"/>
          <w:szCs w:val="32"/>
        </w:rPr>
      </w:pPr>
    </w:p>
    <w:p w14:paraId="12DCA88B">
      <w:pPr>
        <w:tabs>
          <w:tab w:val="left" w:pos="312"/>
        </w:tabs>
        <w:overflowPunct w:val="0"/>
        <w:adjustRightInd w:val="0"/>
        <w:snapToGrid w:val="0"/>
        <w:spacing w:line="560" w:lineRule="exact"/>
        <w:ind w:firstLine="624" w:firstLineChars="200"/>
        <w:rPr>
          <w:rFonts w:ascii="仿宋_GB2312" w:hAnsi="宋体" w:eastAsia="仿宋_GB2312" w:cs="宋体"/>
          <w:snapToGrid w:val="0"/>
          <w:kern w:val="0"/>
          <w:szCs w:val="32"/>
        </w:rPr>
      </w:pPr>
      <w:r>
        <w:rPr>
          <w:rFonts w:hint="eastAsia" w:ascii="黑体" w:hAnsi="黑体" w:eastAsia="黑体" w:cs="黑体"/>
          <w:snapToGrid w:val="0"/>
          <w:kern w:val="0"/>
          <w:szCs w:val="32"/>
        </w:rPr>
        <w:t xml:space="preserve">第六条  </w:t>
      </w:r>
      <w:r>
        <w:rPr>
          <w:rFonts w:hint="eastAsia" w:ascii="仿宋_GB2312" w:hAnsi="宋体" w:eastAsia="仿宋_GB2312" w:cs="宋体"/>
          <w:snapToGrid w:val="0"/>
          <w:kern w:val="0"/>
          <w:szCs w:val="32"/>
        </w:rPr>
        <w:t>建设单位应当依法组织办理质量安全监督、开工、交工、竣工等手续，按照规定对其他从业单位进行合同履约、质量和安全生产管理。</w:t>
      </w:r>
    </w:p>
    <w:p w14:paraId="0F439027">
      <w:pPr>
        <w:tabs>
          <w:tab w:val="left" w:pos="312"/>
        </w:tabs>
        <w:overflowPunct w:val="0"/>
        <w:adjustRightInd w:val="0"/>
        <w:snapToGrid w:val="0"/>
        <w:spacing w:line="560" w:lineRule="exact"/>
        <w:ind w:firstLine="624" w:firstLineChars="200"/>
        <w:rPr>
          <w:rFonts w:ascii="仿宋_GB2312" w:hAnsi="宋体" w:eastAsia="仿宋_GB2312" w:cs="宋体"/>
          <w:snapToGrid w:val="0"/>
          <w:kern w:val="0"/>
          <w:szCs w:val="32"/>
        </w:rPr>
      </w:pPr>
      <w:r>
        <w:rPr>
          <w:rFonts w:hint="eastAsia" w:ascii="仿宋_GB2312" w:hAnsi="宋体" w:eastAsia="仿宋_GB2312" w:cs="宋体"/>
          <w:snapToGrid w:val="0"/>
          <w:kern w:val="0"/>
          <w:szCs w:val="32"/>
        </w:rPr>
        <w:t>建设单位不得明示或者暗示设计单位或者施工单位违反法律法规规章和工程建设强制性标准降低工程质量，不得任意压缩合理工期。</w:t>
      </w:r>
    </w:p>
    <w:p w14:paraId="4515C109">
      <w:pPr>
        <w:tabs>
          <w:tab w:val="left" w:pos="312"/>
        </w:tabs>
        <w:overflowPunct w:val="0"/>
        <w:adjustRightInd w:val="0"/>
        <w:snapToGrid w:val="0"/>
        <w:spacing w:line="560" w:lineRule="exact"/>
        <w:ind w:firstLine="624" w:firstLineChars="200"/>
        <w:rPr>
          <w:rFonts w:ascii="仿宋_GB2312" w:hAnsi="宋体" w:eastAsia="仿宋_GB2312" w:cs="宋体"/>
          <w:snapToGrid w:val="0"/>
          <w:kern w:val="0"/>
          <w:szCs w:val="32"/>
        </w:rPr>
      </w:pPr>
      <w:r>
        <w:rPr>
          <w:rFonts w:hint="eastAsia" w:ascii="黑体" w:hAnsi="黑体" w:eastAsia="黑体" w:cs="黑体"/>
          <w:snapToGrid w:val="0"/>
          <w:kern w:val="0"/>
          <w:szCs w:val="32"/>
        </w:rPr>
        <w:t xml:space="preserve">第七条  </w:t>
      </w:r>
      <w:r>
        <w:rPr>
          <w:rFonts w:hint="eastAsia" w:ascii="仿宋_GB2312" w:hAnsi="宋体" w:eastAsia="仿宋_GB2312" w:cs="宋体"/>
          <w:snapToGrid w:val="0"/>
          <w:kern w:val="0"/>
          <w:szCs w:val="32"/>
        </w:rPr>
        <w:t>建设单位应当向其他从业单位提供与交通工程有关的原始资料。原始资料应当真实、准确、齐全。</w:t>
      </w:r>
    </w:p>
    <w:p w14:paraId="7E6BEBBC">
      <w:pPr>
        <w:tabs>
          <w:tab w:val="left" w:pos="312"/>
        </w:tabs>
        <w:overflowPunct w:val="0"/>
        <w:adjustRightInd w:val="0"/>
        <w:snapToGrid w:val="0"/>
        <w:spacing w:line="560" w:lineRule="exact"/>
        <w:ind w:firstLine="624" w:firstLineChars="200"/>
        <w:rPr>
          <w:rFonts w:ascii="仿宋_GB2312" w:hAnsi="宋体" w:eastAsia="仿宋_GB2312" w:cs="宋体"/>
          <w:snapToGrid w:val="0"/>
          <w:kern w:val="0"/>
          <w:szCs w:val="32"/>
        </w:rPr>
      </w:pPr>
      <w:r>
        <w:rPr>
          <w:rFonts w:hint="eastAsia" w:ascii="仿宋_GB2312" w:hAnsi="宋体" w:eastAsia="仿宋_GB2312" w:cs="宋体"/>
          <w:snapToGrid w:val="0"/>
          <w:kern w:val="0"/>
          <w:szCs w:val="32"/>
        </w:rPr>
        <w:t>建设单位应当向施工单位提供施工现场以及毗邻区域内供水、排水、供电、供气、供热、通信、广播电视等地下管线资料，气象和水文观测资料，相邻建筑物和构筑物、地下工程的有关资料，并保证资料的真实、准确、完整。</w:t>
      </w:r>
    </w:p>
    <w:p w14:paraId="3E991185">
      <w:pPr>
        <w:tabs>
          <w:tab w:val="left" w:pos="312"/>
        </w:tabs>
        <w:overflowPunct w:val="0"/>
        <w:adjustRightInd w:val="0"/>
        <w:snapToGrid w:val="0"/>
        <w:spacing w:line="560" w:lineRule="exact"/>
        <w:ind w:firstLine="624" w:firstLineChars="200"/>
        <w:rPr>
          <w:rFonts w:ascii="仿宋_GB2312" w:hAnsi="宋体" w:eastAsia="仿宋_GB2312" w:cs="宋体"/>
          <w:snapToGrid w:val="0"/>
          <w:kern w:val="0"/>
          <w:szCs w:val="32"/>
        </w:rPr>
      </w:pPr>
      <w:r>
        <w:rPr>
          <w:rFonts w:hint="eastAsia" w:ascii="黑体" w:hAnsi="黑体" w:eastAsia="黑体" w:cs="黑体"/>
          <w:snapToGrid w:val="0"/>
          <w:kern w:val="0"/>
          <w:szCs w:val="32"/>
        </w:rPr>
        <w:t xml:space="preserve">第八条  </w:t>
      </w:r>
      <w:r>
        <w:rPr>
          <w:rFonts w:hint="eastAsia" w:ascii="仿宋_GB2312" w:hAnsi="仿宋_GB2312" w:eastAsia="仿宋_GB2312" w:cs="仿宋_GB2312"/>
          <w:kern w:val="0"/>
          <w:szCs w:val="32"/>
          <w:shd w:val="clear" w:color="auto" w:fill="FFFFFF"/>
        </w:rPr>
        <w:t>建设单位在编制</w:t>
      </w:r>
      <w:r>
        <w:rPr>
          <w:rFonts w:hint="eastAsia" w:ascii="仿宋_GB2312" w:hAnsi="宋体" w:eastAsia="仿宋_GB2312" w:cs="宋体"/>
          <w:snapToGrid w:val="0"/>
          <w:kern w:val="0"/>
          <w:szCs w:val="32"/>
        </w:rPr>
        <w:t>交通</w:t>
      </w:r>
      <w:r>
        <w:rPr>
          <w:rFonts w:hint="eastAsia" w:ascii="仿宋_GB2312" w:hAnsi="仿宋_GB2312" w:eastAsia="仿宋_GB2312" w:cs="仿宋_GB2312"/>
          <w:kern w:val="0"/>
          <w:szCs w:val="32"/>
          <w:shd w:val="clear" w:color="auto" w:fill="FFFFFF"/>
        </w:rPr>
        <w:t>工程招标文件以及项目概预算时，</w:t>
      </w:r>
      <w:r>
        <w:rPr>
          <w:rFonts w:hint="eastAsia" w:ascii="仿宋_GB2312" w:hAnsi="宋体" w:eastAsia="仿宋_GB2312" w:cs="宋体"/>
          <w:snapToGrid w:val="0"/>
          <w:kern w:val="0"/>
          <w:szCs w:val="32"/>
        </w:rPr>
        <w:t>应当按照规定确定安全生产费用。</w:t>
      </w:r>
    </w:p>
    <w:p w14:paraId="73B8866C">
      <w:pPr>
        <w:tabs>
          <w:tab w:val="left" w:pos="312"/>
        </w:tabs>
        <w:overflowPunct w:val="0"/>
        <w:adjustRightInd w:val="0"/>
        <w:snapToGrid w:val="0"/>
        <w:spacing w:line="560" w:lineRule="exact"/>
        <w:ind w:firstLine="624" w:firstLineChars="200"/>
        <w:rPr>
          <w:rFonts w:ascii="仿宋_GB2312" w:hAnsi="宋体" w:eastAsia="仿宋_GB2312" w:cs="宋体"/>
          <w:snapToGrid w:val="0"/>
          <w:kern w:val="0"/>
          <w:szCs w:val="32"/>
        </w:rPr>
      </w:pPr>
      <w:r>
        <w:rPr>
          <w:rFonts w:hint="eastAsia" w:ascii="仿宋_GB2312" w:hAnsi="宋体" w:eastAsia="仿宋_GB2312" w:cs="宋体"/>
          <w:snapToGrid w:val="0"/>
          <w:kern w:val="0"/>
          <w:szCs w:val="32"/>
        </w:rPr>
        <w:t>建设单位应当建立安全生产费用管理制度，明确安全生产费用的使用范围、</w:t>
      </w:r>
      <w:r>
        <w:rPr>
          <w:rFonts w:hint="eastAsia" w:ascii="仿宋_GB2312" w:hAnsi="仿宋_GB2312" w:eastAsia="仿宋_GB2312" w:cs="仿宋_GB2312"/>
          <w:bCs/>
          <w:snapToGrid w:val="0"/>
          <w:kern w:val="0"/>
          <w:szCs w:val="32"/>
        </w:rPr>
        <w:t>提取和使用程序等</w:t>
      </w:r>
      <w:r>
        <w:rPr>
          <w:rFonts w:hint="eastAsia" w:ascii="仿宋_GB2312" w:hAnsi="宋体" w:eastAsia="仿宋_GB2312" w:cs="宋体"/>
          <w:snapToGrid w:val="0"/>
          <w:kern w:val="0"/>
          <w:szCs w:val="32"/>
        </w:rPr>
        <w:t>。</w:t>
      </w:r>
    </w:p>
    <w:p w14:paraId="304F5E42">
      <w:pPr>
        <w:tabs>
          <w:tab w:val="left" w:pos="312"/>
        </w:tabs>
        <w:overflowPunct w:val="0"/>
        <w:adjustRightInd w:val="0"/>
        <w:snapToGrid w:val="0"/>
        <w:spacing w:line="560" w:lineRule="exact"/>
        <w:ind w:firstLine="624" w:firstLineChars="200"/>
        <w:rPr>
          <w:rFonts w:ascii="仿宋_GB2312" w:hAnsi="宋体" w:eastAsia="仿宋_GB2312" w:cs="宋体"/>
          <w:snapToGrid w:val="0"/>
          <w:kern w:val="0"/>
          <w:szCs w:val="32"/>
        </w:rPr>
      </w:pPr>
      <w:r>
        <w:rPr>
          <w:rFonts w:hint="eastAsia" w:ascii="黑体" w:hAnsi="黑体" w:eastAsia="黑体" w:cs="黑体"/>
          <w:snapToGrid w:val="0"/>
          <w:kern w:val="0"/>
          <w:szCs w:val="32"/>
        </w:rPr>
        <w:t xml:space="preserve">第九条  </w:t>
      </w:r>
      <w:r>
        <w:rPr>
          <w:rFonts w:hint="eastAsia" w:ascii="仿宋_GB2312" w:hAnsi="宋体" w:eastAsia="仿宋_GB2312" w:cs="宋体"/>
          <w:snapToGrid w:val="0"/>
          <w:kern w:val="0"/>
          <w:szCs w:val="32"/>
        </w:rPr>
        <w:t>建设单位应当加强交通工程建设全过程质量管理，按照规定组织开展质量检查。</w:t>
      </w:r>
    </w:p>
    <w:p w14:paraId="4E619B9D">
      <w:pPr>
        <w:tabs>
          <w:tab w:val="left" w:pos="312"/>
        </w:tabs>
        <w:overflowPunct w:val="0"/>
        <w:adjustRightInd w:val="0"/>
        <w:snapToGrid w:val="0"/>
        <w:spacing w:line="560" w:lineRule="exact"/>
        <w:ind w:firstLine="624" w:firstLineChars="200"/>
        <w:rPr>
          <w:rFonts w:ascii="仿宋_GB2312" w:hAnsi="宋体" w:eastAsia="仿宋_GB2312" w:cs="宋体"/>
          <w:snapToGrid w:val="0"/>
          <w:kern w:val="0"/>
          <w:szCs w:val="32"/>
        </w:rPr>
      </w:pPr>
      <w:r>
        <w:rPr>
          <w:rFonts w:hint="eastAsia" w:ascii="仿宋_GB2312" w:hAnsi="宋体" w:eastAsia="仿宋_GB2312" w:cs="宋体"/>
          <w:snapToGrid w:val="0"/>
          <w:kern w:val="0"/>
          <w:szCs w:val="32"/>
        </w:rPr>
        <w:t>建设单位应当对</w:t>
      </w:r>
      <w:r>
        <w:rPr>
          <w:rFonts w:ascii="仿宋_GB2312" w:hAnsi="宋体" w:eastAsia="仿宋_GB2312" w:cs="宋体"/>
          <w:snapToGrid w:val="0"/>
          <w:kern w:val="0"/>
          <w:szCs w:val="32"/>
        </w:rPr>
        <w:t>项目</w:t>
      </w:r>
      <w:r>
        <w:rPr>
          <w:rFonts w:hint="eastAsia" w:ascii="仿宋_GB2312" w:hAnsi="宋体" w:eastAsia="仿宋_GB2312" w:cs="宋体"/>
          <w:snapToGrid w:val="0"/>
          <w:kern w:val="0"/>
          <w:szCs w:val="32"/>
        </w:rPr>
        <w:t>安全生产条件进行审核，按照规定组织开展</w:t>
      </w:r>
      <w:r>
        <w:rPr>
          <w:rFonts w:ascii="仿宋_GB2312" w:hAnsi="宋体" w:eastAsia="仿宋_GB2312" w:cs="宋体"/>
          <w:snapToGrid w:val="0"/>
          <w:kern w:val="0"/>
          <w:szCs w:val="32"/>
        </w:rPr>
        <w:t>风险评估和安全生产检查。</w:t>
      </w:r>
    </w:p>
    <w:p w14:paraId="6E183DA7">
      <w:pPr>
        <w:tabs>
          <w:tab w:val="left" w:pos="312"/>
        </w:tabs>
        <w:overflowPunct w:val="0"/>
        <w:adjustRightInd w:val="0"/>
        <w:snapToGrid w:val="0"/>
        <w:spacing w:line="560" w:lineRule="exact"/>
        <w:ind w:firstLine="624" w:firstLineChars="200"/>
        <w:rPr>
          <w:rFonts w:ascii="仿宋_GB2312" w:hAnsi="宋体" w:eastAsia="仿宋_GB2312" w:cs="宋体"/>
          <w:snapToGrid w:val="0"/>
          <w:kern w:val="0"/>
          <w:szCs w:val="32"/>
        </w:rPr>
      </w:pPr>
      <w:bookmarkStart w:id="2" w:name="_Hlk207486113"/>
      <w:r>
        <w:rPr>
          <w:rFonts w:hint="eastAsia" w:ascii="黑体" w:hAnsi="黑体" w:eastAsia="黑体" w:cs="黑体"/>
          <w:snapToGrid w:val="0"/>
          <w:kern w:val="0"/>
          <w:szCs w:val="32"/>
        </w:rPr>
        <w:t xml:space="preserve">第十条  </w:t>
      </w:r>
      <w:r>
        <w:rPr>
          <w:rFonts w:hint="eastAsia" w:ascii="仿宋_GB2312" w:hAnsi="宋体" w:eastAsia="仿宋_GB2312" w:cs="宋体"/>
          <w:snapToGrid w:val="0"/>
          <w:kern w:val="0"/>
          <w:szCs w:val="32"/>
        </w:rPr>
        <w:t>按照合同约定，由建设单位采购材料、构件和工程制品的，建设单位应当保证材料、构件和工程制品符合设计文件和合同要求。建设单位不得明示或者暗示施工单位购买、使用不合格的材料、构件和工程制品。</w:t>
      </w:r>
    </w:p>
    <w:p w14:paraId="1B95B1FC">
      <w:pPr>
        <w:tabs>
          <w:tab w:val="left" w:pos="312"/>
        </w:tabs>
        <w:overflowPunct w:val="0"/>
        <w:adjustRightInd w:val="0"/>
        <w:snapToGrid w:val="0"/>
        <w:spacing w:line="560" w:lineRule="exact"/>
        <w:ind w:firstLine="624" w:firstLineChars="200"/>
        <w:rPr>
          <w:rFonts w:ascii="仿宋_GB2312" w:hAnsi="宋体" w:eastAsia="仿宋_GB2312" w:cs="宋体"/>
          <w:snapToGrid w:val="0"/>
          <w:kern w:val="0"/>
          <w:szCs w:val="32"/>
        </w:rPr>
      </w:pPr>
      <w:r>
        <w:rPr>
          <w:rFonts w:hint="eastAsia" w:ascii="仿宋_GB2312" w:hAnsi="宋体" w:eastAsia="仿宋_GB2312" w:cs="宋体"/>
          <w:snapToGrid w:val="0"/>
          <w:kern w:val="0"/>
          <w:szCs w:val="32"/>
        </w:rPr>
        <w:t>建设单位不得明示或者暗示施工单位购买、租赁、使用不符合安全施工要求的安全防护用具、机械设备、施工机具及配件、消防设施和器材等。</w:t>
      </w:r>
    </w:p>
    <w:p w14:paraId="3F1DBDC7">
      <w:pPr>
        <w:overflowPunct w:val="0"/>
        <w:adjustRightInd w:val="0"/>
        <w:snapToGrid w:val="0"/>
        <w:spacing w:line="560" w:lineRule="exact"/>
        <w:ind w:firstLine="624" w:firstLineChars="200"/>
        <w:rPr>
          <w:rFonts w:ascii="仿宋_GB2312" w:hAnsi="宋体" w:eastAsia="仿宋_GB2312" w:cs="宋体"/>
          <w:snapToGrid w:val="0"/>
          <w:kern w:val="0"/>
          <w:szCs w:val="32"/>
        </w:rPr>
      </w:pPr>
      <w:r>
        <w:rPr>
          <w:rFonts w:hint="eastAsia" w:ascii="黑体" w:hAnsi="黑体" w:eastAsia="黑体" w:cs="黑体"/>
          <w:snapToGrid w:val="0"/>
          <w:kern w:val="0"/>
          <w:szCs w:val="32"/>
        </w:rPr>
        <w:t>第十一条</w:t>
      </w:r>
      <w:bookmarkStart w:id="3" w:name="Title"/>
      <w:r>
        <w:rPr>
          <w:rFonts w:hint="eastAsia" w:ascii="黑体" w:hAnsi="黑体" w:eastAsia="黑体" w:cs="黑体"/>
          <w:snapToGrid w:val="0"/>
          <w:kern w:val="0"/>
          <w:szCs w:val="32"/>
        </w:rPr>
        <w:t xml:space="preserve">  </w:t>
      </w:r>
      <w:r>
        <w:rPr>
          <w:rFonts w:hint="eastAsia" w:ascii="仿宋_GB2312" w:hAnsi="宋体" w:eastAsia="仿宋_GB2312" w:cs="宋体"/>
          <w:snapToGrid w:val="0"/>
          <w:kern w:val="0"/>
          <w:szCs w:val="32"/>
        </w:rPr>
        <w:t>交通工程</w:t>
      </w:r>
      <w:r>
        <w:rPr>
          <w:rFonts w:ascii="仿宋_GB2312" w:hAnsi="宋体" w:eastAsia="仿宋_GB2312" w:cs="宋体"/>
          <w:snapToGrid w:val="0"/>
          <w:kern w:val="0"/>
          <w:szCs w:val="32"/>
        </w:rPr>
        <w:t>因故中止施工的，建设单位应</w:t>
      </w:r>
      <w:r>
        <w:rPr>
          <w:rFonts w:hint="eastAsia" w:ascii="仿宋_GB2312" w:hAnsi="宋体" w:eastAsia="仿宋_GB2312" w:cs="宋体"/>
          <w:snapToGrid w:val="0"/>
          <w:kern w:val="0"/>
          <w:szCs w:val="32"/>
        </w:rPr>
        <w:t>当自</w:t>
      </w:r>
      <w:r>
        <w:rPr>
          <w:rFonts w:ascii="仿宋_GB2312" w:hAnsi="宋体" w:eastAsia="仿宋_GB2312" w:cs="宋体"/>
          <w:snapToGrid w:val="0"/>
          <w:kern w:val="0"/>
          <w:szCs w:val="32"/>
        </w:rPr>
        <w:t>中止施工起一个月内向交通运输主管部门报告中止施工情况</w:t>
      </w:r>
      <w:r>
        <w:rPr>
          <w:rFonts w:hint="eastAsia" w:ascii="仿宋_GB2312" w:hAnsi="宋体" w:eastAsia="仿宋_GB2312" w:cs="宋体"/>
          <w:snapToGrid w:val="0"/>
          <w:kern w:val="0"/>
          <w:szCs w:val="32"/>
        </w:rPr>
        <w:t>，并于</w:t>
      </w:r>
      <w:r>
        <w:rPr>
          <w:rFonts w:ascii="仿宋_GB2312" w:hAnsi="宋体" w:eastAsia="仿宋_GB2312" w:cs="宋体"/>
          <w:snapToGrid w:val="0"/>
          <w:kern w:val="0"/>
          <w:szCs w:val="32"/>
        </w:rPr>
        <w:t>恢复施工前向交通运输主管部门报告</w:t>
      </w:r>
      <w:r>
        <w:rPr>
          <w:rFonts w:hint="eastAsia" w:ascii="仿宋_GB2312" w:hAnsi="宋体" w:eastAsia="仿宋_GB2312" w:cs="宋体"/>
          <w:snapToGrid w:val="0"/>
          <w:kern w:val="0"/>
          <w:szCs w:val="32"/>
        </w:rPr>
        <w:t>。</w:t>
      </w:r>
      <w:r>
        <w:rPr>
          <w:rFonts w:ascii="仿宋_GB2312" w:hAnsi="宋体" w:eastAsia="仿宋_GB2312" w:cs="宋体"/>
          <w:snapToGrid w:val="0"/>
          <w:kern w:val="0"/>
          <w:szCs w:val="32"/>
        </w:rPr>
        <w:t>中止施工期间</w:t>
      </w:r>
      <w:r>
        <w:rPr>
          <w:rFonts w:hint="eastAsia" w:ascii="仿宋_GB2312" w:hAnsi="宋体" w:eastAsia="仿宋_GB2312" w:cs="宋体"/>
          <w:snapToGrid w:val="0"/>
          <w:kern w:val="0"/>
          <w:szCs w:val="32"/>
        </w:rPr>
        <w:t>，应当做好现场防护。</w:t>
      </w:r>
      <w:bookmarkEnd w:id="3"/>
    </w:p>
    <w:p w14:paraId="49B80DCE">
      <w:pPr>
        <w:overflowPunct w:val="0"/>
        <w:adjustRightInd w:val="0"/>
        <w:snapToGrid w:val="0"/>
        <w:spacing w:line="560" w:lineRule="exact"/>
        <w:ind w:firstLine="624" w:firstLineChars="200"/>
        <w:rPr>
          <w:rFonts w:ascii="仿宋_GB2312" w:hAnsi="宋体" w:eastAsia="仿宋_GB2312" w:cs="宋体"/>
          <w:snapToGrid w:val="0"/>
          <w:kern w:val="0"/>
          <w:szCs w:val="32"/>
        </w:rPr>
      </w:pPr>
      <w:r>
        <w:rPr>
          <w:rFonts w:hint="eastAsia" w:ascii="黑体" w:hAnsi="黑体" w:eastAsia="黑体" w:cs="黑体"/>
          <w:snapToGrid w:val="0"/>
          <w:kern w:val="0"/>
          <w:szCs w:val="32"/>
        </w:rPr>
        <w:t xml:space="preserve">第十二条 </w:t>
      </w:r>
      <w:r>
        <w:rPr>
          <w:rFonts w:hint="eastAsia" w:ascii="仿宋_GB2312" w:hAnsi="宋体" w:eastAsia="仿宋_GB2312" w:cs="宋体"/>
          <w:snapToGrid w:val="0"/>
          <w:kern w:val="0"/>
          <w:szCs w:val="32"/>
        </w:rPr>
        <w:t xml:space="preserve"> 建设单位应当按照档案管理的规定，及时收集、整理项目各环节的文件资料，督促其他从业单位按照规定收集、整理、保存项目档案资料，建立完整的项目档案。</w:t>
      </w:r>
    </w:p>
    <w:p w14:paraId="063328F9">
      <w:pPr>
        <w:overflowPunct w:val="0"/>
        <w:adjustRightInd w:val="0"/>
        <w:snapToGrid w:val="0"/>
        <w:spacing w:line="560" w:lineRule="exact"/>
        <w:jc w:val="center"/>
        <w:rPr>
          <w:rFonts w:ascii="黑体" w:hAnsi="黑体" w:eastAsia="黑体" w:cs="黑体"/>
          <w:snapToGrid w:val="0"/>
          <w:kern w:val="0"/>
          <w:szCs w:val="32"/>
        </w:rPr>
      </w:pPr>
    </w:p>
    <w:p w14:paraId="3D98EBCF">
      <w:pPr>
        <w:overflowPunct w:val="0"/>
        <w:adjustRightInd w:val="0"/>
        <w:snapToGrid w:val="0"/>
        <w:spacing w:line="560" w:lineRule="exact"/>
        <w:jc w:val="center"/>
        <w:rPr>
          <w:rFonts w:ascii="黑体" w:hAnsi="Verdana,??" w:eastAsia="黑体" w:cs="宋体"/>
          <w:snapToGrid w:val="0"/>
          <w:kern w:val="0"/>
          <w:szCs w:val="32"/>
        </w:rPr>
      </w:pPr>
      <w:r>
        <w:rPr>
          <w:rFonts w:hint="eastAsia" w:ascii="黑体" w:hAnsi="Verdana,??" w:eastAsia="黑体" w:cs="宋体"/>
          <w:snapToGrid w:val="0"/>
          <w:kern w:val="0"/>
          <w:szCs w:val="32"/>
        </w:rPr>
        <w:t>第三章  勘察、设计、监理以及其他相关单位的质量和安全责任</w:t>
      </w:r>
    </w:p>
    <w:p w14:paraId="7B121553">
      <w:pPr>
        <w:overflowPunct w:val="0"/>
        <w:adjustRightInd w:val="0"/>
        <w:snapToGrid w:val="0"/>
        <w:spacing w:line="560" w:lineRule="exact"/>
        <w:jc w:val="center"/>
        <w:rPr>
          <w:rFonts w:ascii="黑体" w:hAnsi="黑体" w:eastAsia="黑体" w:cs="黑体"/>
          <w:snapToGrid w:val="0"/>
          <w:kern w:val="0"/>
          <w:szCs w:val="32"/>
        </w:rPr>
      </w:pPr>
    </w:p>
    <w:p w14:paraId="5EAEDA64">
      <w:pPr>
        <w:tabs>
          <w:tab w:val="left" w:pos="312"/>
        </w:tabs>
        <w:overflowPunct w:val="0"/>
        <w:adjustRightInd w:val="0"/>
        <w:snapToGrid w:val="0"/>
        <w:spacing w:line="560" w:lineRule="exact"/>
        <w:ind w:firstLine="624" w:firstLineChars="200"/>
        <w:rPr>
          <w:rFonts w:ascii="仿宋_GB2312" w:hAnsi="宋体" w:eastAsia="仿宋_GB2312" w:cs="宋体"/>
          <w:snapToGrid w:val="0"/>
          <w:kern w:val="0"/>
          <w:szCs w:val="32"/>
        </w:rPr>
      </w:pPr>
      <w:r>
        <w:rPr>
          <w:rFonts w:hint="eastAsia" w:ascii="黑体" w:hAnsi="黑体" w:eastAsia="黑体" w:cs="黑体"/>
          <w:snapToGrid w:val="0"/>
          <w:kern w:val="0"/>
          <w:szCs w:val="32"/>
        </w:rPr>
        <w:t xml:space="preserve">第十三条  </w:t>
      </w:r>
      <w:bookmarkEnd w:id="2"/>
      <w:bookmarkStart w:id="4" w:name="OLE_LINK11"/>
      <w:r>
        <w:rPr>
          <w:rFonts w:hint="eastAsia" w:ascii="仿宋_GB2312" w:hAnsi="宋体" w:eastAsia="仿宋_GB2312" w:cs="宋体"/>
          <w:snapToGrid w:val="0"/>
          <w:kern w:val="0"/>
          <w:szCs w:val="32"/>
        </w:rPr>
        <w:t>勘察单位编制的勘察文件应当真实、准确，满足工程规划、选址、设计、岩土治理和施工的需要。</w:t>
      </w:r>
    </w:p>
    <w:p w14:paraId="705DA336">
      <w:pPr>
        <w:tabs>
          <w:tab w:val="left" w:pos="312"/>
        </w:tabs>
        <w:overflowPunct w:val="0"/>
        <w:adjustRightInd w:val="0"/>
        <w:snapToGrid w:val="0"/>
        <w:spacing w:line="560" w:lineRule="exact"/>
        <w:ind w:firstLine="624" w:firstLineChars="200"/>
        <w:rPr>
          <w:rFonts w:ascii="仿宋_GB2312" w:hAnsi="宋体" w:eastAsia="仿宋_GB2312" w:cs="宋体"/>
          <w:snapToGrid w:val="0"/>
          <w:kern w:val="0"/>
          <w:szCs w:val="32"/>
        </w:rPr>
      </w:pPr>
      <w:r>
        <w:rPr>
          <w:rFonts w:hint="eastAsia" w:ascii="仿宋_GB2312" w:hAnsi="宋体" w:eastAsia="仿宋_GB2312" w:cs="宋体"/>
          <w:snapToGrid w:val="0"/>
          <w:kern w:val="0"/>
          <w:szCs w:val="32"/>
        </w:rPr>
        <w:t>勘察单位应当根据环境条件、地质条件和工程特点，确定地下工程、基坑工程、边坡工程等各类工程勘察的范围和深度，并提出工程质量和安全生产的保障措施。勘察场地存在不良地质作用或者存在发生不良地质作用的条件时，应当开展专门勘察工作。</w:t>
      </w:r>
    </w:p>
    <w:bookmarkEnd w:id="4"/>
    <w:p w14:paraId="554C8BAC">
      <w:pPr>
        <w:tabs>
          <w:tab w:val="left" w:pos="312"/>
        </w:tabs>
        <w:overflowPunct w:val="0"/>
        <w:adjustRightInd w:val="0"/>
        <w:snapToGrid w:val="0"/>
        <w:spacing w:line="560" w:lineRule="exact"/>
        <w:ind w:firstLine="624" w:firstLineChars="200"/>
        <w:rPr>
          <w:rFonts w:ascii="仿宋_GB2312" w:hAnsi="宋体" w:eastAsia="仿宋_GB2312" w:cs="宋体"/>
          <w:snapToGrid w:val="0"/>
          <w:kern w:val="0"/>
          <w:szCs w:val="32"/>
        </w:rPr>
      </w:pPr>
      <w:bookmarkStart w:id="5" w:name="_Hlk207184462"/>
      <w:r>
        <w:rPr>
          <w:rFonts w:hint="eastAsia" w:ascii="黑体" w:hAnsi="黑体" w:eastAsia="黑体" w:cs="黑体"/>
          <w:snapToGrid w:val="0"/>
          <w:kern w:val="0"/>
          <w:szCs w:val="32"/>
        </w:rPr>
        <w:t xml:space="preserve">第十四条  </w:t>
      </w:r>
      <w:r>
        <w:rPr>
          <w:rFonts w:hint="eastAsia" w:ascii="仿宋_GB2312" w:hAnsi="宋体" w:eastAsia="仿宋_GB2312" w:cs="宋体"/>
          <w:snapToGrid w:val="0"/>
          <w:kern w:val="0"/>
          <w:szCs w:val="32"/>
        </w:rPr>
        <w:t>设计单位应当根据勘察文件等进行设计，并加强系统设计，满足交通工程使用功能、质量、安全、环保、节约等基本要求。</w:t>
      </w:r>
    </w:p>
    <w:p w14:paraId="216CEFA5">
      <w:pPr>
        <w:tabs>
          <w:tab w:val="left" w:pos="312"/>
        </w:tabs>
        <w:overflowPunct w:val="0"/>
        <w:adjustRightInd w:val="0"/>
        <w:snapToGrid w:val="0"/>
        <w:spacing w:line="560" w:lineRule="exact"/>
        <w:ind w:firstLine="624" w:firstLineChars="200"/>
        <w:rPr>
          <w:rFonts w:ascii="仿宋_GB2312" w:hAnsi="宋体" w:eastAsia="仿宋_GB2312" w:cs="宋体"/>
          <w:snapToGrid w:val="0"/>
          <w:kern w:val="0"/>
          <w:szCs w:val="32"/>
        </w:rPr>
      </w:pPr>
      <w:r>
        <w:rPr>
          <w:rFonts w:hint="eastAsia" w:ascii="仿宋_GB2312" w:hAnsi="宋体" w:eastAsia="仿宋_GB2312" w:cs="宋体"/>
          <w:snapToGrid w:val="0"/>
          <w:kern w:val="0"/>
          <w:szCs w:val="32"/>
        </w:rPr>
        <w:t>设计单位应当考虑施工安全操作和防护的需要，在设计文件中注明涉及施工安全的重点部位和环节，并对防范生产安全事故提出指导意见。</w:t>
      </w:r>
    </w:p>
    <w:p w14:paraId="212CBBD8">
      <w:pPr>
        <w:tabs>
          <w:tab w:val="left" w:pos="312"/>
        </w:tabs>
        <w:overflowPunct w:val="0"/>
        <w:adjustRightInd w:val="0"/>
        <w:snapToGrid w:val="0"/>
        <w:spacing w:line="560" w:lineRule="exact"/>
        <w:ind w:firstLine="624" w:firstLineChars="200"/>
        <w:rPr>
          <w:rFonts w:ascii="仿宋_GB2312" w:hAnsi="宋体" w:eastAsia="仿宋_GB2312" w:cs="宋体"/>
          <w:snapToGrid w:val="0"/>
          <w:kern w:val="0"/>
          <w:szCs w:val="32"/>
        </w:rPr>
      </w:pPr>
      <w:r>
        <w:rPr>
          <w:rFonts w:hint="eastAsia" w:ascii="仿宋_GB2312" w:hAnsi="宋体" w:eastAsia="仿宋_GB2312" w:cs="宋体"/>
          <w:snapToGrid w:val="0"/>
          <w:kern w:val="0"/>
          <w:szCs w:val="32"/>
        </w:rPr>
        <w:t>设计单位应当在交通工程施工前向施工和监理单位说明设计意图，解释设计文件，并加强跟踪评估，及时处理施工中出现的与设计相关的技术问题。</w:t>
      </w:r>
    </w:p>
    <w:bookmarkEnd w:id="5"/>
    <w:p w14:paraId="0C33FBFD">
      <w:pPr>
        <w:tabs>
          <w:tab w:val="left" w:pos="312"/>
        </w:tabs>
        <w:overflowPunct w:val="0"/>
        <w:adjustRightInd w:val="0"/>
        <w:snapToGrid w:val="0"/>
        <w:spacing w:line="560" w:lineRule="exact"/>
        <w:ind w:firstLine="624" w:firstLineChars="200"/>
        <w:rPr>
          <w:rFonts w:ascii="仿宋_GB2312" w:hAnsi="宋体" w:eastAsia="仿宋_GB2312" w:cs="宋体"/>
          <w:snapToGrid w:val="0"/>
          <w:kern w:val="0"/>
          <w:szCs w:val="32"/>
        </w:rPr>
      </w:pPr>
      <w:bookmarkStart w:id="6" w:name="_Hlk207184581"/>
      <w:r>
        <w:rPr>
          <w:rFonts w:hint="eastAsia" w:ascii="黑体" w:hAnsi="黑体" w:eastAsia="黑体" w:cs="黑体"/>
          <w:snapToGrid w:val="0"/>
          <w:kern w:val="0"/>
          <w:szCs w:val="32"/>
        </w:rPr>
        <w:t>第十五条</w:t>
      </w:r>
      <w:bookmarkEnd w:id="6"/>
      <w:r>
        <w:rPr>
          <w:rFonts w:hint="eastAsia" w:ascii="黑体" w:hAnsi="黑体" w:eastAsia="黑体" w:cs="黑体"/>
          <w:snapToGrid w:val="0"/>
          <w:kern w:val="0"/>
          <w:szCs w:val="32"/>
        </w:rPr>
        <w:t xml:space="preserve">  </w:t>
      </w:r>
      <w:r>
        <w:rPr>
          <w:rFonts w:hint="eastAsia" w:ascii="仿宋_GB2312" w:hAnsi="宋体" w:eastAsia="仿宋_GB2312" w:cs="宋体"/>
          <w:snapToGrid w:val="0"/>
          <w:kern w:val="0"/>
          <w:szCs w:val="32"/>
        </w:rPr>
        <w:t>监理单位应当根据勘察文件、设计文件、监理合同等进行监理，审查施工组织设计中的安全技术措施和专项施工方案，编制危险性较大的分部分项工程专项监理细则，对危险性较大的分部分项工程施工实施专项巡视检查。</w:t>
      </w:r>
    </w:p>
    <w:p w14:paraId="33203AEC">
      <w:pPr>
        <w:tabs>
          <w:tab w:val="left" w:pos="312"/>
        </w:tabs>
        <w:overflowPunct w:val="0"/>
        <w:adjustRightInd w:val="0"/>
        <w:snapToGrid w:val="0"/>
        <w:spacing w:line="560" w:lineRule="exact"/>
        <w:ind w:firstLine="624" w:firstLineChars="200"/>
        <w:rPr>
          <w:rFonts w:ascii="仿宋_GB2312" w:hAnsi="仿宋_GB2312" w:eastAsia="仿宋_GB2312" w:cs="仿宋_GB2312"/>
          <w:snapToGrid w:val="0"/>
          <w:kern w:val="0"/>
          <w:szCs w:val="32"/>
        </w:rPr>
      </w:pPr>
      <w:r>
        <w:rPr>
          <w:rFonts w:hint="eastAsia" w:ascii="仿宋_GB2312" w:hAnsi="宋体" w:eastAsia="仿宋_GB2312" w:cs="宋体"/>
          <w:snapToGrid w:val="0"/>
          <w:kern w:val="0"/>
          <w:szCs w:val="32"/>
        </w:rPr>
        <w:t>监理单位在实施监理过程中，发现存在生产安全事故隐患的，应当要求施工单位整改；情节严重的，应当要求其暂停施工，并及时报告建设单位。施工单位拒不整改或者不停止施工的，监理单位应当及时向建设单位和交通运输主</w:t>
      </w:r>
      <w:r>
        <w:rPr>
          <w:rFonts w:hint="eastAsia" w:ascii="仿宋_GB2312" w:hAnsi="仿宋_GB2312" w:eastAsia="仿宋_GB2312" w:cs="仿宋_GB2312"/>
          <w:snapToGrid w:val="0"/>
          <w:kern w:val="0"/>
          <w:szCs w:val="32"/>
        </w:rPr>
        <w:t>管部门报告。</w:t>
      </w:r>
      <w:r>
        <w:rPr>
          <w:rFonts w:ascii="仿宋_GB2312" w:hAnsi="仿宋_GB2312" w:eastAsia="仿宋_GB2312" w:cs="仿宋_GB2312"/>
          <w:snapToGrid w:val="0"/>
          <w:kern w:val="0"/>
          <w:szCs w:val="32"/>
        </w:rPr>
        <w:t>监理单位应当如实记录</w:t>
      </w:r>
      <w:r>
        <w:rPr>
          <w:rFonts w:hint="eastAsia" w:ascii="仿宋_GB2312" w:hAnsi="仿宋_GB2312" w:eastAsia="仿宋_GB2312" w:cs="仿宋_GB2312"/>
          <w:snapToGrid w:val="0"/>
          <w:kern w:val="0"/>
          <w:szCs w:val="32"/>
        </w:rPr>
        <w:t>生产</w:t>
      </w:r>
      <w:r>
        <w:rPr>
          <w:rFonts w:ascii="仿宋_GB2312" w:hAnsi="仿宋_GB2312" w:eastAsia="仿宋_GB2312" w:cs="仿宋_GB2312"/>
          <w:snapToGrid w:val="0"/>
          <w:kern w:val="0"/>
          <w:szCs w:val="32"/>
        </w:rPr>
        <w:t>安全事故隐患和整改验收情况，妥善保存有关文字、影像资料。</w:t>
      </w:r>
    </w:p>
    <w:p w14:paraId="4AFAAE55">
      <w:pPr>
        <w:overflowPunct w:val="0"/>
        <w:adjustRightInd w:val="0"/>
        <w:snapToGrid w:val="0"/>
        <w:spacing w:line="560" w:lineRule="exact"/>
        <w:ind w:firstLine="624" w:firstLineChars="200"/>
        <w:rPr>
          <w:rFonts w:ascii="仿宋_GB2312" w:hAnsi="宋体" w:eastAsia="仿宋_GB2312" w:cs="宋体"/>
          <w:snapToGrid w:val="0"/>
          <w:kern w:val="0"/>
          <w:szCs w:val="32"/>
        </w:rPr>
      </w:pPr>
      <w:bookmarkStart w:id="7" w:name="_Hlk207184593"/>
      <w:bookmarkStart w:id="8" w:name="_Hlk207531690"/>
      <w:r>
        <w:rPr>
          <w:rFonts w:hint="eastAsia" w:ascii="黑体" w:hAnsi="黑体" w:eastAsia="黑体" w:cs="黑体"/>
          <w:snapToGrid w:val="0"/>
          <w:kern w:val="0"/>
          <w:szCs w:val="32"/>
        </w:rPr>
        <w:t>第十六条</w:t>
      </w:r>
      <w:bookmarkEnd w:id="7"/>
      <w:r>
        <w:rPr>
          <w:rFonts w:hint="eastAsia" w:ascii="黑体" w:hAnsi="黑体" w:eastAsia="黑体" w:cs="黑体"/>
          <w:snapToGrid w:val="0"/>
          <w:kern w:val="0"/>
          <w:szCs w:val="32"/>
        </w:rPr>
        <w:t xml:space="preserve">  </w:t>
      </w:r>
      <w:r>
        <w:rPr>
          <w:rFonts w:hint="eastAsia" w:ascii="仿宋_GB2312" w:hAnsi="宋体" w:eastAsia="仿宋_GB2312" w:cs="宋体"/>
          <w:snapToGrid w:val="0"/>
          <w:kern w:val="0"/>
          <w:szCs w:val="32"/>
        </w:rPr>
        <w:t>质量检测机构应当在资质等级对应的许可范围内，独立开展质量检测活动，如实出具检测报告，不得篡改或者伪造原始记录和数据。</w:t>
      </w:r>
    </w:p>
    <w:p w14:paraId="5C9ACF5D">
      <w:pPr>
        <w:overflowPunct w:val="0"/>
        <w:adjustRightInd w:val="0"/>
        <w:snapToGrid w:val="0"/>
        <w:spacing w:line="560" w:lineRule="exact"/>
        <w:ind w:firstLine="624" w:firstLineChars="200"/>
        <w:rPr>
          <w:rFonts w:ascii="仿宋_GB2312" w:hAnsi="宋体" w:eastAsia="仿宋_GB2312" w:cs="宋体"/>
          <w:snapToGrid w:val="0"/>
          <w:kern w:val="0"/>
          <w:szCs w:val="32"/>
        </w:rPr>
      </w:pPr>
      <w:r>
        <w:rPr>
          <w:rFonts w:hint="eastAsia" w:ascii="黑体" w:hAnsi="黑体" w:eastAsia="黑体" w:cs="黑体"/>
          <w:snapToGrid w:val="0"/>
          <w:kern w:val="0"/>
          <w:szCs w:val="32"/>
        </w:rPr>
        <w:t xml:space="preserve">第十七条  </w:t>
      </w:r>
      <w:r>
        <w:rPr>
          <w:rFonts w:hint="eastAsia" w:ascii="仿宋_GB2312" w:hAnsi="宋体" w:eastAsia="仿宋_GB2312" w:cs="宋体"/>
          <w:snapToGrid w:val="0"/>
          <w:kern w:val="0"/>
          <w:szCs w:val="32"/>
        </w:rPr>
        <w:t>从业单位根据质量和安全生产管理需要或者按照合同约定设立工地试验室，承担质量检测工作。工地试验室应当</w:t>
      </w:r>
      <w:bookmarkEnd w:id="8"/>
      <w:r>
        <w:rPr>
          <w:rFonts w:hint="eastAsia" w:ascii="仿宋_GB2312" w:hAnsi="宋体" w:eastAsia="仿宋_GB2312" w:cs="宋体"/>
          <w:snapToGrid w:val="0"/>
          <w:kern w:val="0"/>
          <w:szCs w:val="32"/>
        </w:rPr>
        <w:t>严格按照工程技术标准、检测规范和规程，在核定的试验检测参数范围内开展质量检测活动。</w:t>
      </w:r>
    </w:p>
    <w:p w14:paraId="2BDB6732">
      <w:pPr>
        <w:overflowPunct w:val="0"/>
        <w:adjustRightInd w:val="0"/>
        <w:snapToGrid w:val="0"/>
        <w:spacing w:line="560" w:lineRule="exact"/>
        <w:jc w:val="center"/>
        <w:rPr>
          <w:rFonts w:ascii="仿宋_GB2312" w:hAnsi="宋体" w:eastAsia="仿宋_GB2312" w:cs="宋体"/>
          <w:snapToGrid w:val="0"/>
          <w:kern w:val="0"/>
          <w:szCs w:val="32"/>
          <w:highlight w:val="lightGray"/>
        </w:rPr>
      </w:pPr>
    </w:p>
    <w:p w14:paraId="1E949C97">
      <w:pPr>
        <w:overflowPunct w:val="0"/>
        <w:adjustRightInd w:val="0"/>
        <w:snapToGrid w:val="0"/>
        <w:spacing w:line="560" w:lineRule="exact"/>
        <w:jc w:val="center"/>
        <w:rPr>
          <w:rFonts w:ascii="黑体" w:hAnsi="Verdana,??" w:eastAsia="黑体" w:cs="宋体"/>
          <w:snapToGrid w:val="0"/>
          <w:kern w:val="0"/>
          <w:szCs w:val="32"/>
        </w:rPr>
      </w:pPr>
      <w:r>
        <w:rPr>
          <w:rFonts w:hint="eastAsia" w:ascii="黑体" w:hAnsi="Verdana,??" w:eastAsia="黑体" w:cs="宋体"/>
          <w:snapToGrid w:val="0"/>
          <w:kern w:val="0"/>
          <w:szCs w:val="32"/>
        </w:rPr>
        <w:t>第四章  施工单位的质量和安全责任</w:t>
      </w:r>
    </w:p>
    <w:p w14:paraId="604050D0">
      <w:pPr>
        <w:overflowPunct w:val="0"/>
        <w:adjustRightInd w:val="0"/>
        <w:snapToGrid w:val="0"/>
        <w:spacing w:line="560" w:lineRule="exact"/>
        <w:jc w:val="center"/>
        <w:rPr>
          <w:rFonts w:ascii="黑体" w:hAnsi="黑体" w:eastAsia="黑体" w:cs="黑体"/>
          <w:snapToGrid w:val="0"/>
          <w:kern w:val="0"/>
          <w:szCs w:val="32"/>
        </w:rPr>
      </w:pPr>
    </w:p>
    <w:p w14:paraId="21A9E07F">
      <w:pPr>
        <w:overflowPunct w:val="0"/>
        <w:adjustRightInd w:val="0"/>
        <w:snapToGrid w:val="0"/>
        <w:spacing w:line="560" w:lineRule="exact"/>
        <w:ind w:firstLine="624" w:firstLineChars="200"/>
        <w:rPr>
          <w:rFonts w:ascii="仿宋_GB2312" w:hAnsi="宋体" w:eastAsia="仿宋_GB2312" w:cs="宋体"/>
          <w:snapToGrid w:val="0"/>
          <w:kern w:val="0"/>
          <w:szCs w:val="32"/>
        </w:rPr>
      </w:pPr>
      <w:r>
        <w:rPr>
          <w:rFonts w:hint="eastAsia" w:ascii="黑体" w:hAnsi="黑体" w:eastAsia="黑体" w:cs="黑体"/>
          <w:snapToGrid w:val="0"/>
          <w:kern w:val="0"/>
          <w:szCs w:val="32"/>
        </w:rPr>
        <w:t xml:space="preserve">第十八条  </w:t>
      </w:r>
      <w:r>
        <w:rPr>
          <w:rFonts w:hint="eastAsia" w:ascii="仿宋_GB2312" w:hAnsi="宋体" w:eastAsia="仿宋_GB2312" w:cs="宋体"/>
          <w:snapToGrid w:val="0"/>
          <w:kern w:val="0"/>
          <w:szCs w:val="32"/>
        </w:rPr>
        <w:t>施工单位应当按照合同约定设立现场质量管理机构，配备工程技术人员和质量管理人员；依法设置安全生产管理机构，配备专职安全生产管理人员。</w:t>
      </w:r>
    </w:p>
    <w:p w14:paraId="5E15297A">
      <w:pPr>
        <w:tabs>
          <w:tab w:val="left" w:pos="312"/>
        </w:tabs>
        <w:overflowPunct w:val="0"/>
        <w:adjustRightInd w:val="0"/>
        <w:snapToGrid w:val="0"/>
        <w:spacing w:line="560" w:lineRule="exact"/>
        <w:ind w:firstLine="624" w:firstLineChars="200"/>
        <w:rPr>
          <w:rFonts w:ascii="仿宋_GB2312" w:hAnsi="宋体" w:eastAsia="仿宋_GB2312" w:cs="宋体"/>
          <w:snapToGrid w:val="0"/>
          <w:kern w:val="0"/>
          <w:szCs w:val="32"/>
        </w:rPr>
      </w:pPr>
      <w:r>
        <w:rPr>
          <w:rFonts w:hint="eastAsia" w:ascii="黑体" w:hAnsi="黑体" w:eastAsia="黑体" w:cs="黑体"/>
          <w:snapToGrid w:val="0"/>
          <w:kern w:val="0"/>
          <w:szCs w:val="32"/>
        </w:rPr>
        <w:t xml:space="preserve">第十九条 </w:t>
      </w:r>
      <w:r>
        <w:rPr>
          <w:rFonts w:hint="eastAsia" w:ascii="仿宋_GB2312" w:hAnsi="宋体" w:eastAsia="仿宋_GB2312" w:cs="宋体"/>
          <w:snapToGrid w:val="0"/>
          <w:kern w:val="0"/>
          <w:szCs w:val="32"/>
        </w:rPr>
        <w:t xml:space="preserve"> 施工单位应当将专业分包单位、劳务合作单位的作业人员</w:t>
      </w:r>
      <w:r>
        <w:rPr>
          <w:rFonts w:hint="eastAsia" w:ascii="仿宋_GB2312" w:hAnsi="宋体" w:eastAsia="仿宋_GB2312" w:cs="宋体"/>
          <w:snapToGrid w:val="0"/>
          <w:kern w:val="0"/>
          <w:szCs w:val="32"/>
          <w:lang w:eastAsia="zh-CN"/>
        </w:rPr>
        <w:t>和</w:t>
      </w:r>
      <w:r>
        <w:rPr>
          <w:rFonts w:hint="eastAsia" w:ascii="仿宋_GB2312" w:hAnsi="宋体" w:eastAsia="仿宋_GB2312" w:cs="宋体"/>
          <w:snapToGrid w:val="0"/>
          <w:kern w:val="0"/>
          <w:szCs w:val="32"/>
        </w:rPr>
        <w:t>实习人员纳入本单位统一管理。</w:t>
      </w:r>
    </w:p>
    <w:p w14:paraId="799774B2">
      <w:pPr>
        <w:tabs>
          <w:tab w:val="left" w:pos="312"/>
        </w:tabs>
        <w:overflowPunct w:val="0"/>
        <w:adjustRightInd w:val="0"/>
        <w:snapToGrid w:val="0"/>
        <w:spacing w:line="560" w:lineRule="exact"/>
        <w:ind w:firstLine="624" w:firstLineChars="200"/>
        <w:rPr>
          <w:rFonts w:ascii="仿宋_GB2312" w:hAnsi="宋体" w:eastAsia="仿宋_GB2312" w:cs="宋体"/>
          <w:snapToGrid w:val="0"/>
          <w:kern w:val="0"/>
          <w:szCs w:val="32"/>
        </w:rPr>
      </w:pPr>
      <w:r>
        <w:rPr>
          <w:rFonts w:hint="eastAsia" w:ascii="仿宋_GB2312" w:hAnsi="宋体" w:eastAsia="仿宋_GB2312" w:cs="宋体"/>
          <w:snapToGrid w:val="0"/>
          <w:kern w:val="0"/>
          <w:szCs w:val="32"/>
        </w:rPr>
        <w:t>施工单位应当加强施工作业班组管理，对班组人员实行实名登记，并按照规定开展教育培训。</w:t>
      </w:r>
      <w:bookmarkStart w:id="9" w:name="_Hlk207184507"/>
    </w:p>
    <w:p w14:paraId="1189E41F">
      <w:pPr>
        <w:tabs>
          <w:tab w:val="left" w:pos="312"/>
        </w:tabs>
        <w:overflowPunct w:val="0"/>
        <w:adjustRightInd w:val="0"/>
        <w:snapToGrid w:val="0"/>
        <w:spacing w:line="560" w:lineRule="exact"/>
        <w:ind w:firstLine="624" w:firstLineChars="200"/>
        <w:rPr>
          <w:rFonts w:ascii="仿宋_GB2312" w:hAnsi="宋体" w:eastAsia="仿宋_GB2312" w:cs="宋体"/>
          <w:snapToGrid w:val="0"/>
          <w:kern w:val="0"/>
          <w:szCs w:val="32"/>
        </w:rPr>
      </w:pPr>
      <w:r>
        <w:rPr>
          <w:rFonts w:hint="eastAsia" w:ascii="黑体" w:hAnsi="黑体" w:eastAsia="黑体" w:cs="黑体"/>
          <w:snapToGrid w:val="0"/>
          <w:kern w:val="0"/>
          <w:szCs w:val="32"/>
        </w:rPr>
        <w:t xml:space="preserve">第二十条  </w:t>
      </w:r>
      <w:r>
        <w:rPr>
          <w:rFonts w:hint="eastAsia" w:ascii="仿宋_GB2312" w:hAnsi="宋体" w:eastAsia="仿宋_GB2312" w:cs="宋体"/>
          <w:snapToGrid w:val="0"/>
          <w:kern w:val="0"/>
          <w:szCs w:val="32"/>
        </w:rPr>
        <w:t>施工单位应当编制安全生产费用提取和使用计划，保障资金投入，确保安全生产费用专项用于与安全生产直接相关的工作，不得挪作他用。</w:t>
      </w:r>
    </w:p>
    <w:p w14:paraId="13056EF2">
      <w:pPr>
        <w:tabs>
          <w:tab w:val="left" w:pos="312"/>
        </w:tabs>
        <w:overflowPunct w:val="0"/>
        <w:adjustRightInd w:val="0"/>
        <w:snapToGrid w:val="0"/>
        <w:spacing w:line="560" w:lineRule="exact"/>
        <w:ind w:firstLine="624" w:firstLineChars="200"/>
        <w:rPr>
          <w:rFonts w:ascii="仿宋_GB2312" w:hAnsi="宋体" w:eastAsia="仿宋_GB2312" w:cs="宋体"/>
          <w:snapToGrid w:val="0"/>
          <w:kern w:val="0"/>
          <w:szCs w:val="32"/>
        </w:rPr>
      </w:pPr>
      <w:r>
        <w:rPr>
          <w:rFonts w:hint="eastAsia" w:ascii="黑体" w:hAnsi="黑体" w:eastAsia="黑体" w:cs="黑体"/>
          <w:snapToGrid w:val="0"/>
          <w:kern w:val="0"/>
          <w:szCs w:val="32"/>
        </w:rPr>
        <w:t xml:space="preserve">第二十一条  </w:t>
      </w:r>
      <w:r>
        <w:rPr>
          <w:rFonts w:hint="eastAsia" w:ascii="仿宋_GB2312" w:hAnsi="宋体" w:eastAsia="仿宋_GB2312" w:cs="宋体"/>
          <w:snapToGrid w:val="0"/>
          <w:kern w:val="0"/>
          <w:szCs w:val="32"/>
        </w:rPr>
        <w:t>施工单位应当建立安全风险分级管控制度，根据风险评估结论，编制风险分级管控清单，列明管控重点、管控机构、责任人员和管控措施，并定期检查管控措施的落实情况。</w:t>
      </w:r>
    </w:p>
    <w:p w14:paraId="34F76271">
      <w:pPr>
        <w:tabs>
          <w:tab w:val="left" w:pos="312"/>
        </w:tabs>
        <w:overflowPunct w:val="0"/>
        <w:adjustRightInd w:val="0"/>
        <w:snapToGrid w:val="0"/>
        <w:spacing w:line="560" w:lineRule="exact"/>
        <w:ind w:firstLine="624" w:firstLineChars="200"/>
        <w:rPr>
          <w:rFonts w:ascii="仿宋_GB2312" w:hAnsi="宋体" w:eastAsia="仿宋_GB2312" w:cs="宋体"/>
          <w:snapToGrid w:val="0"/>
          <w:kern w:val="0"/>
          <w:szCs w:val="32"/>
        </w:rPr>
      </w:pPr>
      <w:r>
        <w:rPr>
          <w:rFonts w:hint="eastAsia" w:ascii="黑体" w:hAnsi="黑体" w:eastAsia="黑体" w:cs="黑体"/>
          <w:snapToGrid w:val="0"/>
          <w:kern w:val="0"/>
          <w:szCs w:val="32"/>
        </w:rPr>
        <w:t xml:space="preserve">第二十二条  </w:t>
      </w:r>
      <w:r>
        <w:rPr>
          <w:rFonts w:hint="eastAsia" w:ascii="仿宋_GB2312" w:hAnsi="宋体" w:eastAsia="仿宋_GB2312" w:cs="宋体"/>
          <w:snapToGrid w:val="0"/>
          <w:kern w:val="0"/>
          <w:szCs w:val="32"/>
        </w:rPr>
        <w:t>施工单位应当建立</w:t>
      </w:r>
      <w:r>
        <w:rPr>
          <w:rFonts w:hint="eastAsia" w:ascii="仿宋_GB2312" w:hAnsi="宋体" w:eastAsia="仿宋_GB2312" w:cs="宋体"/>
          <w:snapToGrid w:val="0"/>
          <w:color w:val="auto"/>
          <w:kern w:val="0"/>
          <w:szCs w:val="32"/>
          <w:lang w:eastAsia="zh-CN"/>
        </w:rPr>
        <w:t>生产安全事故</w:t>
      </w:r>
      <w:r>
        <w:rPr>
          <w:rFonts w:hint="eastAsia" w:ascii="仿宋_GB2312" w:hAnsi="宋体" w:eastAsia="仿宋_GB2312" w:cs="宋体"/>
          <w:snapToGrid w:val="0"/>
          <w:kern w:val="0"/>
          <w:szCs w:val="32"/>
        </w:rPr>
        <w:t>隐患排查治理制度，通过日常排查、定期排查、专项排查等方式，对事故隐患进行排查并及时采取技术、管理措施予以消除。对不能及时消除的重大事故隐患，施工单位应当根据需要停止使用相关设施、设备，局部或者全部停产停业，组织开展现状风险评估，根据风险评估情况制定并落实治理方案，消除事故隐患后组织复查验收。</w:t>
      </w:r>
    </w:p>
    <w:p w14:paraId="6381B52F">
      <w:pPr>
        <w:tabs>
          <w:tab w:val="left" w:pos="312"/>
        </w:tabs>
        <w:overflowPunct w:val="0"/>
        <w:adjustRightInd w:val="0"/>
        <w:snapToGrid w:val="0"/>
        <w:spacing w:line="560" w:lineRule="exact"/>
        <w:ind w:firstLine="624" w:firstLineChars="200"/>
        <w:rPr>
          <w:rFonts w:ascii="仿宋_GB2312" w:hAnsi="宋体" w:eastAsia="仿宋_GB2312" w:cs="宋体"/>
          <w:snapToGrid w:val="0"/>
          <w:color w:val="auto"/>
          <w:kern w:val="0"/>
          <w:szCs w:val="32"/>
        </w:rPr>
      </w:pPr>
      <w:r>
        <w:rPr>
          <w:rFonts w:hint="eastAsia" w:ascii="仿宋_GB2312" w:hAnsi="宋体" w:eastAsia="仿宋_GB2312" w:cs="宋体"/>
          <w:snapToGrid w:val="0"/>
          <w:kern w:val="0"/>
          <w:szCs w:val="32"/>
        </w:rPr>
        <w:t>施工单位应当对</w:t>
      </w:r>
      <w:r>
        <w:rPr>
          <w:rFonts w:hint="eastAsia" w:ascii="仿宋_GB2312" w:hAnsi="宋体" w:eastAsia="仿宋_GB2312" w:cs="宋体"/>
          <w:snapToGrid w:val="0"/>
          <w:color w:val="auto"/>
          <w:kern w:val="0"/>
          <w:szCs w:val="32"/>
          <w:lang w:eastAsia="zh-CN"/>
        </w:rPr>
        <w:t>事故</w:t>
      </w:r>
      <w:r>
        <w:rPr>
          <w:rFonts w:hint="eastAsia" w:ascii="仿宋_GB2312" w:hAnsi="宋体" w:eastAsia="仿宋_GB2312" w:cs="宋体"/>
          <w:snapToGrid w:val="0"/>
          <w:color w:val="auto"/>
          <w:kern w:val="0"/>
          <w:szCs w:val="32"/>
        </w:rPr>
        <w:t>隐</w:t>
      </w:r>
      <w:r>
        <w:rPr>
          <w:rFonts w:hint="eastAsia" w:ascii="仿宋_GB2312" w:hAnsi="宋体" w:eastAsia="仿宋_GB2312" w:cs="宋体"/>
          <w:snapToGrid w:val="0"/>
          <w:kern w:val="0"/>
          <w:szCs w:val="32"/>
        </w:rPr>
        <w:t>患排查治理情况如实记录，并向从业</w:t>
      </w:r>
      <w:r>
        <w:rPr>
          <w:rFonts w:hint="eastAsia" w:ascii="仿宋_GB2312" w:hAnsi="宋体" w:eastAsia="仿宋_GB2312" w:cs="宋体"/>
          <w:snapToGrid w:val="0"/>
          <w:color w:val="auto"/>
          <w:kern w:val="0"/>
          <w:szCs w:val="32"/>
        </w:rPr>
        <w:t>人员通报。重大事故隐患，还应当按照规定及时上报和专项治理。鼓励施工单位建立内部</w:t>
      </w:r>
      <w:r>
        <w:rPr>
          <w:rFonts w:hint="eastAsia" w:ascii="仿宋_GB2312" w:hAnsi="宋体" w:eastAsia="仿宋_GB2312" w:cs="宋体"/>
          <w:snapToGrid w:val="0"/>
          <w:color w:val="auto"/>
          <w:kern w:val="0"/>
          <w:szCs w:val="32"/>
          <w:lang w:eastAsia="zh-CN"/>
        </w:rPr>
        <w:t>事故</w:t>
      </w:r>
      <w:r>
        <w:rPr>
          <w:rFonts w:hint="eastAsia" w:ascii="仿宋_GB2312" w:hAnsi="宋体" w:eastAsia="仿宋_GB2312" w:cs="宋体"/>
          <w:snapToGrid w:val="0"/>
          <w:color w:val="auto"/>
          <w:kern w:val="0"/>
          <w:szCs w:val="32"/>
        </w:rPr>
        <w:t>隐患举报奖励机制。</w:t>
      </w:r>
    </w:p>
    <w:p w14:paraId="0CED8972">
      <w:pPr>
        <w:tabs>
          <w:tab w:val="left" w:pos="312"/>
        </w:tabs>
        <w:overflowPunct w:val="0"/>
        <w:adjustRightInd w:val="0"/>
        <w:snapToGrid w:val="0"/>
        <w:spacing w:line="560" w:lineRule="exact"/>
        <w:ind w:firstLine="624" w:firstLineChars="200"/>
        <w:rPr>
          <w:rFonts w:ascii="仿宋_GB2312" w:hAnsi="宋体" w:eastAsia="仿宋_GB2312" w:cs="宋体"/>
          <w:snapToGrid w:val="0"/>
          <w:kern w:val="0"/>
          <w:szCs w:val="32"/>
        </w:rPr>
      </w:pPr>
      <w:r>
        <w:rPr>
          <w:rFonts w:hint="eastAsia" w:ascii="黑体" w:hAnsi="黑体" w:eastAsia="黑体" w:cs="黑体"/>
          <w:snapToGrid w:val="0"/>
          <w:kern w:val="0"/>
          <w:szCs w:val="32"/>
        </w:rPr>
        <w:t xml:space="preserve">第二十三条  </w:t>
      </w:r>
      <w:r>
        <w:rPr>
          <w:rFonts w:hint="eastAsia" w:ascii="仿宋_GB2312" w:hAnsi="宋体" w:eastAsia="仿宋_GB2312" w:cs="宋体"/>
          <w:snapToGrid w:val="0"/>
          <w:kern w:val="0"/>
          <w:szCs w:val="32"/>
        </w:rPr>
        <w:t>施工单位应当建立健全技术分级交底制度，明确技术分级交底的原则、内容、方法以及确认手续等。</w:t>
      </w:r>
    </w:p>
    <w:p w14:paraId="2A2A859F">
      <w:pPr>
        <w:tabs>
          <w:tab w:val="left" w:pos="312"/>
        </w:tabs>
        <w:overflowPunct w:val="0"/>
        <w:adjustRightInd w:val="0"/>
        <w:snapToGrid w:val="0"/>
        <w:spacing w:line="560" w:lineRule="exact"/>
        <w:ind w:firstLine="624" w:firstLineChars="200"/>
        <w:rPr>
          <w:rFonts w:ascii="仿宋_GB2312" w:hAnsi="仿宋_GB2312" w:eastAsia="仿宋_GB2312" w:cs="仿宋_GB2312"/>
          <w:snapToGrid w:val="0"/>
          <w:kern w:val="0"/>
          <w:szCs w:val="32"/>
        </w:rPr>
      </w:pPr>
      <w:r>
        <w:rPr>
          <w:rFonts w:hint="eastAsia" w:ascii="仿宋_GB2312" w:hAnsi="宋体" w:eastAsia="仿宋_GB2312" w:cs="宋体"/>
          <w:snapToGrid w:val="0"/>
          <w:kern w:val="0"/>
          <w:szCs w:val="32"/>
        </w:rPr>
        <w:t>交通工程施工前，施工单位负责项目管理的技术人员应当将有关安全施工的技术要求向施工作业班组、作业人员作出详细说明，</w:t>
      </w:r>
      <w:r>
        <w:rPr>
          <w:rFonts w:hint="eastAsia" w:ascii="仿宋_GB2312" w:hAnsi="仿宋_GB2312" w:eastAsia="仿宋_GB2312" w:cs="仿宋_GB2312"/>
          <w:snapToGrid w:val="0"/>
          <w:kern w:val="0"/>
          <w:szCs w:val="32"/>
        </w:rPr>
        <w:t>并由双方签字确认。</w:t>
      </w:r>
      <w:bookmarkStart w:id="10" w:name="_Hlk207184518"/>
    </w:p>
    <w:p w14:paraId="3EB41C1B">
      <w:pPr>
        <w:tabs>
          <w:tab w:val="left" w:pos="312"/>
        </w:tabs>
        <w:overflowPunct w:val="0"/>
        <w:adjustRightInd w:val="0"/>
        <w:snapToGrid w:val="0"/>
        <w:spacing w:line="560" w:lineRule="exact"/>
        <w:ind w:firstLine="624" w:firstLineChars="200"/>
        <w:rPr>
          <w:rFonts w:ascii="仿宋_GB2312" w:hAnsi="宋体" w:eastAsia="仿宋_GB2312" w:cs="宋体"/>
          <w:snapToGrid w:val="0"/>
          <w:kern w:val="0"/>
          <w:szCs w:val="32"/>
        </w:rPr>
      </w:pPr>
      <w:r>
        <w:rPr>
          <w:rFonts w:hint="eastAsia" w:ascii="黑体" w:hAnsi="黑体" w:eastAsia="黑体" w:cs="黑体"/>
          <w:snapToGrid w:val="0"/>
          <w:kern w:val="0"/>
          <w:szCs w:val="32"/>
        </w:rPr>
        <w:t xml:space="preserve">第二十四条  </w:t>
      </w:r>
      <w:r>
        <w:rPr>
          <w:rFonts w:hint="eastAsia" w:ascii="仿宋_GB2312" w:hAnsi="宋体" w:eastAsia="仿宋_GB2312" w:cs="宋体"/>
          <w:snapToGrid w:val="0"/>
          <w:kern w:val="0"/>
          <w:szCs w:val="32"/>
        </w:rPr>
        <w:t>施工单位应当按照工程设计要求、施工技术标准和合同约定，对材料、构件和工程制品等进行检验，书面记录检验情况并由专人签字，对检验情况进行标识。未经检验或者检验不合格的，不得使用。</w:t>
      </w:r>
    </w:p>
    <w:p w14:paraId="2EFCE93B">
      <w:pPr>
        <w:tabs>
          <w:tab w:val="left" w:pos="312"/>
        </w:tabs>
        <w:overflowPunct w:val="0"/>
        <w:adjustRightInd w:val="0"/>
        <w:snapToGrid w:val="0"/>
        <w:spacing w:line="560" w:lineRule="exact"/>
        <w:ind w:firstLine="624" w:firstLineChars="200"/>
        <w:rPr>
          <w:rFonts w:ascii="仿宋_GB2312" w:hAnsi="宋体" w:eastAsia="仿宋_GB2312" w:cs="宋体"/>
          <w:snapToGrid w:val="0"/>
          <w:kern w:val="0"/>
          <w:szCs w:val="32"/>
        </w:rPr>
      </w:pPr>
      <w:r>
        <w:rPr>
          <w:rFonts w:hint="eastAsia" w:ascii="仿宋_GB2312" w:hAnsi="宋体" w:eastAsia="仿宋_GB2312" w:cs="宋体"/>
          <w:snapToGrid w:val="0"/>
          <w:kern w:val="0"/>
          <w:szCs w:val="32"/>
        </w:rPr>
        <w:t>施工单位应当按照规定实行施工作业班组自检、工序交接检、专职质检员检验的质量控制程序，形成完整、可追溯的施工质量管理资料。</w:t>
      </w:r>
    </w:p>
    <w:p w14:paraId="29BE364B">
      <w:pPr>
        <w:tabs>
          <w:tab w:val="left" w:pos="312"/>
        </w:tabs>
        <w:overflowPunct w:val="0"/>
        <w:adjustRightInd w:val="0"/>
        <w:snapToGrid w:val="0"/>
        <w:spacing w:line="560" w:lineRule="exact"/>
        <w:ind w:firstLine="624" w:firstLineChars="200"/>
        <w:rPr>
          <w:rFonts w:ascii="仿宋_GB2312" w:hAnsi="宋体" w:eastAsia="仿宋_GB2312" w:cs="宋体"/>
          <w:strike/>
          <w:snapToGrid w:val="0"/>
          <w:kern w:val="0"/>
          <w:szCs w:val="32"/>
        </w:rPr>
      </w:pPr>
      <w:r>
        <w:rPr>
          <w:rFonts w:hint="eastAsia" w:ascii="仿宋_GB2312" w:hAnsi="宋体" w:eastAsia="仿宋_GB2312" w:cs="宋体"/>
          <w:snapToGrid w:val="0"/>
          <w:kern w:val="0"/>
          <w:szCs w:val="32"/>
        </w:rPr>
        <w:t>施工单位应当做好隐蔽工程的质量检查和记录，主体工程的隐蔽部位施工还应当保留影像资料。</w:t>
      </w:r>
      <w:bookmarkEnd w:id="10"/>
    </w:p>
    <w:p w14:paraId="65A6301A">
      <w:pPr>
        <w:tabs>
          <w:tab w:val="left" w:pos="312"/>
        </w:tabs>
        <w:overflowPunct w:val="0"/>
        <w:adjustRightInd w:val="0"/>
        <w:snapToGrid w:val="0"/>
        <w:spacing w:line="560" w:lineRule="exact"/>
        <w:ind w:firstLine="624" w:firstLineChars="200"/>
        <w:rPr>
          <w:rFonts w:ascii="仿宋_GB2312" w:hAnsi="宋体" w:eastAsia="仿宋_GB2312" w:cs="宋体"/>
          <w:snapToGrid w:val="0"/>
          <w:kern w:val="0"/>
          <w:szCs w:val="32"/>
        </w:rPr>
      </w:pPr>
      <w:r>
        <w:rPr>
          <w:rFonts w:hint="eastAsia" w:ascii="黑体" w:hAnsi="黑体" w:eastAsia="黑体" w:cs="黑体"/>
          <w:snapToGrid w:val="0"/>
          <w:kern w:val="0"/>
          <w:szCs w:val="32"/>
        </w:rPr>
        <w:t xml:space="preserve">第二十五条  </w:t>
      </w:r>
      <w:r>
        <w:rPr>
          <w:rFonts w:hint="eastAsia" w:ascii="仿宋_GB2312" w:hAnsi="仿宋_GB2312" w:eastAsia="仿宋_GB2312" w:cs="仿宋_GB2312"/>
          <w:snapToGrid w:val="0"/>
          <w:kern w:val="0"/>
          <w:szCs w:val="32"/>
        </w:rPr>
        <w:t>施工单位应当</w:t>
      </w:r>
      <w:r>
        <w:rPr>
          <w:rFonts w:hint="eastAsia" w:ascii="仿宋_GB2312" w:hAnsi="仿宋_GB2312" w:eastAsia="仿宋_GB2312" w:cs="仿宋_GB2312"/>
          <w:color w:val="000000"/>
          <w:kern w:val="0"/>
          <w:szCs w:val="32"/>
          <w:shd w:val="clear" w:color="auto" w:fill="FFFFFF"/>
        </w:rPr>
        <w:t>对危险性较大的分部分项工程编制专项施工方案，并附具安全验算结果，经施工单位技术负责人、总监理工程师签字后实施，由专职安全生产管理人员进行现场监督。</w:t>
      </w:r>
      <w:r>
        <w:rPr>
          <w:rFonts w:hint="eastAsia" w:ascii="仿宋_GB2312" w:hAnsi="宋体" w:eastAsia="仿宋_GB2312" w:cs="宋体"/>
          <w:snapToGrid w:val="0"/>
          <w:kern w:val="0"/>
          <w:szCs w:val="32"/>
        </w:rPr>
        <w:t>对超过一定规模的危险性较大的分部分项工程，施工单位还应当按照规定组织对专项施工方案进行专家论证。</w:t>
      </w:r>
    </w:p>
    <w:p w14:paraId="0A7A5222">
      <w:pPr>
        <w:tabs>
          <w:tab w:val="left" w:pos="312"/>
        </w:tabs>
        <w:overflowPunct w:val="0"/>
        <w:adjustRightInd w:val="0"/>
        <w:snapToGrid w:val="0"/>
        <w:spacing w:line="560" w:lineRule="exact"/>
        <w:ind w:firstLine="624" w:firstLineChars="200"/>
        <w:rPr>
          <w:rFonts w:ascii="仿宋_GB2312" w:hAnsi="宋体" w:eastAsia="仿宋_GB2312" w:cs="宋体"/>
          <w:snapToGrid w:val="0"/>
          <w:kern w:val="0"/>
          <w:szCs w:val="32"/>
        </w:rPr>
      </w:pPr>
      <w:r>
        <w:rPr>
          <w:rFonts w:hint="eastAsia" w:ascii="仿宋_GB2312" w:hAnsi="宋体" w:eastAsia="仿宋_GB2312" w:cs="宋体"/>
          <w:snapToGrid w:val="0"/>
          <w:kern w:val="0"/>
          <w:szCs w:val="32"/>
        </w:rPr>
        <w:t>施工单位应当按照规定对</w:t>
      </w:r>
      <w:r>
        <w:rPr>
          <w:rFonts w:hint="eastAsia" w:ascii="仿宋_GB2312" w:hAnsi="仿宋_GB2312" w:eastAsia="仿宋_GB2312" w:cs="仿宋_GB2312"/>
          <w:color w:val="000000"/>
          <w:kern w:val="0"/>
          <w:szCs w:val="32"/>
          <w:shd w:val="clear" w:color="auto" w:fill="FFFFFF"/>
        </w:rPr>
        <w:t>危险性较大的分部分项工程</w:t>
      </w:r>
      <w:r>
        <w:rPr>
          <w:rFonts w:hint="eastAsia" w:ascii="仿宋_GB2312" w:hAnsi="宋体" w:eastAsia="仿宋_GB2312" w:cs="宋体"/>
          <w:snapToGrid w:val="0"/>
          <w:kern w:val="0"/>
          <w:szCs w:val="32"/>
        </w:rPr>
        <w:t>进行施工监测和安全巡视，发现危及人身安全的紧急情况，应当立即组织施工作业人员撤离危险区域。</w:t>
      </w:r>
    </w:p>
    <w:bookmarkEnd w:id="9"/>
    <w:p w14:paraId="434E7300">
      <w:pPr>
        <w:tabs>
          <w:tab w:val="left" w:pos="312"/>
        </w:tabs>
        <w:overflowPunct w:val="0"/>
        <w:adjustRightInd w:val="0"/>
        <w:snapToGrid w:val="0"/>
        <w:spacing w:line="560" w:lineRule="exact"/>
        <w:ind w:firstLine="624" w:firstLineChars="200"/>
        <w:rPr>
          <w:rFonts w:ascii="仿宋_GB2312" w:hAnsi="宋体" w:eastAsia="仿宋_GB2312" w:cs="宋体"/>
          <w:snapToGrid w:val="0"/>
          <w:kern w:val="0"/>
          <w:szCs w:val="32"/>
        </w:rPr>
      </w:pPr>
      <w:bookmarkStart w:id="11" w:name="_Hlk207184556"/>
      <w:r>
        <w:rPr>
          <w:rFonts w:hint="eastAsia" w:ascii="黑体" w:hAnsi="黑体" w:eastAsia="黑体" w:cs="黑体"/>
          <w:snapToGrid w:val="0"/>
          <w:kern w:val="0"/>
          <w:szCs w:val="32"/>
        </w:rPr>
        <w:t xml:space="preserve">第二十六条  </w:t>
      </w:r>
      <w:r>
        <w:rPr>
          <w:rFonts w:ascii="仿宋_GB2312" w:hAnsi="宋体" w:eastAsia="仿宋_GB2312" w:cs="宋体"/>
          <w:snapToGrid w:val="0"/>
          <w:kern w:val="0"/>
          <w:szCs w:val="32"/>
        </w:rPr>
        <w:t>施工单位采购、租赁的安全防护用具、机械设备、施工机具及配件</w:t>
      </w:r>
      <w:r>
        <w:rPr>
          <w:rFonts w:hint="eastAsia" w:ascii="仿宋_GB2312" w:hAnsi="宋体" w:eastAsia="仿宋_GB2312" w:cs="宋体"/>
          <w:snapToGrid w:val="0"/>
          <w:kern w:val="0"/>
          <w:szCs w:val="32"/>
        </w:rPr>
        <w:t>等</w:t>
      </w:r>
      <w:r>
        <w:rPr>
          <w:rFonts w:ascii="仿宋_GB2312" w:hAnsi="宋体" w:eastAsia="仿宋_GB2312" w:cs="宋体"/>
          <w:snapToGrid w:val="0"/>
          <w:kern w:val="0"/>
          <w:szCs w:val="32"/>
        </w:rPr>
        <w:t>，应当具有生产（制造）许可证、产品合格证，并在进入施工现场前进行查验。</w:t>
      </w:r>
    </w:p>
    <w:p w14:paraId="4FDFD802">
      <w:pPr>
        <w:tabs>
          <w:tab w:val="left" w:pos="312"/>
        </w:tabs>
        <w:overflowPunct w:val="0"/>
        <w:adjustRightInd w:val="0"/>
        <w:snapToGrid w:val="0"/>
        <w:spacing w:line="560" w:lineRule="exact"/>
        <w:ind w:firstLine="624" w:firstLineChars="200"/>
        <w:rPr>
          <w:rFonts w:ascii="仿宋_GB2312" w:hAnsi="宋体" w:eastAsia="仿宋_GB2312" w:cs="宋体"/>
          <w:snapToGrid w:val="0"/>
          <w:kern w:val="0"/>
          <w:szCs w:val="32"/>
        </w:rPr>
      </w:pPr>
      <w:r>
        <w:rPr>
          <w:rFonts w:hint="eastAsia" w:ascii="仿宋_GB2312" w:hAnsi="宋体" w:eastAsia="仿宋_GB2312" w:cs="宋体"/>
          <w:snapToGrid w:val="0"/>
          <w:kern w:val="0"/>
          <w:szCs w:val="32"/>
        </w:rPr>
        <w:t>施工现场的安全防护用具、机械设备、施工机具及配件应当由专人管理，定期进行检查、维修和保养，保证设施</w:t>
      </w:r>
      <w:r>
        <w:rPr>
          <w:rFonts w:hint="eastAsia" w:ascii="仿宋_GB2312" w:hAnsi="宋体" w:eastAsia="仿宋_GB2312" w:cs="宋体"/>
          <w:snapToGrid w:val="0"/>
          <w:kern w:val="0"/>
          <w:szCs w:val="32"/>
          <w:lang w:eastAsia="zh-CN"/>
        </w:rPr>
        <w:t>、</w:t>
      </w:r>
      <w:r>
        <w:rPr>
          <w:rFonts w:hint="eastAsia" w:ascii="仿宋_GB2312" w:hAnsi="宋体" w:eastAsia="仿宋_GB2312" w:cs="宋体"/>
          <w:snapToGrid w:val="0"/>
          <w:kern w:val="0"/>
          <w:szCs w:val="32"/>
        </w:rPr>
        <w:t>设备的性能完好，建立相应的资料档案，并按照国家有关规定及时报废。</w:t>
      </w:r>
    </w:p>
    <w:p w14:paraId="5528C975">
      <w:pPr>
        <w:tabs>
          <w:tab w:val="left" w:pos="312"/>
        </w:tabs>
        <w:overflowPunct w:val="0"/>
        <w:adjustRightInd w:val="0"/>
        <w:snapToGrid w:val="0"/>
        <w:spacing w:line="560" w:lineRule="exact"/>
        <w:ind w:firstLine="624" w:firstLineChars="200"/>
        <w:rPr>
          <w:rFonts w:ascii="仿宋_GB2312" w:hAnsi="宋体" w:eastAsia="仿宋_GB2312" w:cs="宋体"/>
          <w:snapToGrid w:val="0"/>
          <w:kern w:val="0"/>
          <w:szCs w:val="32"/>
        </w:rPr>
      </w:pPr>
      <w:bookmarkStart w:id="12" w:name="_Hlk207184531"/>
      <w:r>
        <w:rPr>
          <w:rFonts w:hint="eastAsia" w:ascii="黑体" w:hAnsi="黑体" w:eastAsia="黑体" w:cs="黑体"/>
          <w:snapToGrid w:val="0"/>
          <w:kern w:val="0"/>
          <w:szCs w:val="32"/>
        </w:rPr>
        <w:t xml:space="preserve">第二十七条  </w:t>
      </w:r>
      <w:r>
        <w:rPr>
          <w:rFonts w:hint="eastAsia" w:ascii="仿宋_GB2312" w:hAnsi="宋体" w:eastAsia="仿宋_GB2312" w:cs="宋体"/>
          <w:snapToGrid w:val="0"/>
          <w:kern w:val="0"/>
          <w:szCs w:val="32"/>
        </w:rPr>
        <w:t>施工单位应当将施工现场的办公区、生活区与作业区分开设置，并保持安全距离。</w:t>
      </w:r>
    </w:p>
    <w:p w14:paraId="113636F7">
      <w:pPr>
        <w:tabs>
          <w:tab w:val="left" w:pos="312"/>
        </w:tabs>
        <w:overflowPunct w:val="0"/>
        <w:adjustRightInd w:val="0"/>
        <w:snapToGrid w:val="0"/>
        <w:spacing w:line="560" w:lineRule="exact"/>
        <w:ind w:firstLine="624" w:firstLineChars="200"/>
        <w:rPr>
          <w:rFonts w:ascii="仿宋_GB2312" w:hAnsi="宋体" w:eastAsia="仿宋_GB2312" w:cs="宋体"/>
          <w:snapToGrid w:val="0"/>
          <w:kern w:val="0"/>
          <w:szCs w:val="32"/>
        </w:rPr>
      </w:pPr>
      <w:r>
        <w:rPr>
          <w:rFonts w:hint="eastAsia" w:ascii="仿宋_GB2312" w:hAnsi="宋体" w:eastAsia="仿宋_GB2312" w:cs="宋体"/>
          <w:snapToGrid w:val="0"/>
          <w:kern w:val="0"/>
          <w:szCs w:val="32"/>
        </w:rPr>
        <w:t>办公区、生活区的选址应当符合安全性要求，严禁</w:t>
      </w:r>
      <w:bookmarkEnd w:id="12"/>
      <w:r>
        <w:rPr>
          <w:rFonts w:hint="eastAsia" w:ascii="仿宋_GB2312" w:hAnsi="宋体" w:eastAsia="仿宋_GB2312" w:cs="宋体"/>
          <w:snapToGrid w:val="0"/>
          <w:kern w:val="0"/>
          <w:szCs w:val="32"/>
        </w:rPr>
        <w:t>在已发现的泥石流影响区、滑坡体等危险区域设置施工驻地。</w:t>
      </w:r>
    </w:p>
    <w:p w14:paraId="239E8B1E">
      <w:pPr>
        <w:tabs>
          <w:tab w:val="left" w:pos="312"/>
        </w:tabs>
        <w:overflowPunct w:val="0"/>
        <w:adjustRightInd w:val="0"/>
        <w:snapToGrid w:val="0"/>
        <w:spacing w:line="560" w:lineRule="exact"/>
        <w:ind w:firstLine="624" w:firstLineChars="200"/>
        <w:rPr>
          <w:rFonts w:ascii="仿宋_GB2312" w:hAnsi="宋体" w:eastAsia="仿宋_GB2312" w:cs="宋体"/>
          <w:snapToGrid w:val="0"/>
          <w:kern w:val="0"/>
          <w:szCs w:val="32"/>
        </w:rPr>
      </w:pPr>
      <w:r>
        <w:rPr>
          <w:rFonts w:hint="eastAsia" w:ascii="仿宋_GB2312" w:hAnsi="宋体" w:eastAsia="仿宋_GB2312" w:cs="宋体"/>
          <w:snapToGrid w:val="0"/>
          <w:kern w:val="0"/>
          <w:szCs w:val="32"/>
        </w:rPr>
        <w:t>施工作业区应当根据施工安全风险辨识结果，确定不同风险等级的管理要求，合理布设。在风险等级较高的区域应当设置警戒区和风险告知牌。</w:t>
      </w:r>
    </w:p>
    <w:p w14:paraId="51A254DF">
      <w:pPr>
        <w:tabs>
          <w:tab w:val="left" w:pos="312"/>
        </w:tabs>
        <w:overflowPunct w:val="0"/>
        <w:adjustRightInd w:val="0"/>
        <w:snapToGrid w:val="0"/>
        <w:spacing w:line="560" w:lineRule="exact"/>
        <w:ind w:firstLine="624" w:firstLineChars="200"/>
        <w:rPr>
          <w:rFonts w:ascii="仿宋_GB2312" w:hAnsi="宋体" w:eastAsia="仿宋_GB2312" w:cs="宋体"/>
          <w:snapToGrid w:val="0"/>
          <w:kern w:val="0"/>
          <w:szCs w:val="32"/>
        </w:rPr>
      </w:pPr>
      <w:r>
        <w:rPr>
          <w:rFonts w:hint="eastAsia" w:ascii="黑体" w:hAnsi="黑体" w:eastAsia="黑体" w:cs="黑体"/>
          <w:snapToGrid w:val="0"/>
          <w:kern w:val="0"/>
          <w:szCs w:val="32"/>
        </w:rPr>
        <w:t xml:space="preserve">第二十八条  </w:t>
      </w:r>
      <w:r>
        <w:rPr>
          <w:rFonts w:hint="eastAsia" w:ascii="仿宋_GB2312" w:hAnsi="宋体" w:eastAsia="仿宋_GB2312" w:cs="宋体"/>
          <w:snapToGrid w:val="0"/>
          <w:kern w:val="0"/>
          <w:szCs w:val="32"/>
        </w:rPr>
        <w:t>施工单位特种作业人员应当按照规定接受专门的安全作业培训，取得特种作业相关资格证书后，方可上岗作业。</w:t>
      </w:r>
    </w:p>
    <w:p w14:paraId="75D39C12">
      <w:pPr>
        <w:tabs>
          <w:tab w:val="left" w:pos="312"/>
        </w:tabs>
        <w:overflowPunct w:val="0"/>
        <w:adjustRightInd w:val="0"/>
        <w:snapToGrid w:val="0"/>
        <w:spacing w:line="560" w:lineRule="exact"/>
        <w:ind w:firstLine="624" w:firstLineChars="200"/>
        <w:rPr>
          <w:rFonts w:ascii="仿宋_GB2312" w:hAnsi="宋体" w:eastAsia="仿宋_GB2312" w:cs="宋体"/>
          <w:snapToGrid w:val="0"/>
          <w:kern w:val="0"/>
          <w:szCs w:val="32"/>
        </w:rPr>
      </w:pPr>
      <w:r>
        <w:rPr>
          <w:rFonts w:hint="eastAsia" w:ascii="黑体" w:hAnsi="黑体" w:eastAsia="黑体" w:cs="黑体"/>
          <w:snapToGrid w:val="0"/>
          <w:kern w:val="0"/>
          <w:szCs w:val="32"/>
        </w:rPr>
        <w:t>第二十九条</w:t>
      </w:r>
      <w:r>
        <w:rPr>
          <w:rFonts w:hint="eastAsia" w:ascii="仿宋_GB2312" w:hAnsi="宋体" w:eastAsia="仿宋_GB2312" w:cs="宋体"/>
          <w:snapToGrid w:val="0"/>
          <w:kern w:val="0"/>
          <w:szCs w:val="32"/>
        </w:rPr>
        <w:t xml:space="preserve">  施工单位使用特种设备，应当依法取得特种设备使用登记证书，并将登记标志置于该特种设备的显著位置。</w:t>
      </w:r>
    </w:p>
    <w:p w14:paraId="33EFA2E3">
      <w:pPr>
        <w:tabs>
          <w:tab w:val="left" w:pos="312"/>
        </w:tabs>
        <w:overflowPunct w:val="0"/>
        <w:adjustRightInd w:val="0"/>
        <w:snapToGrid w:val="0"/>
        <w:spacing w:line="560" w:lineRule="exact"/>
        <w:ind w:firstLine="624" w:firstLineChars="200"/>
        <w:rPr>
          <w:rFonts w:ascii="仿宋_GB2312" w:hAnsi="宋体" w:eastAsia="仿宋_GB2312" w:cs="宋体"/>
          <w:snapToGrid w:val="0"/>
          <w:kern w:val="0"/>
          <w:szCs w:val="32"/>
        </w:rPr>
      </w:pPr>
      <w:r>
        <w:rPr>
          <w:rFonts w:hint="eastAsia" w:ascii="仿宋_GB2312" w:hAnsi="宋体" w:eastAsia="仿宋_GB2312" w:cs="宋体"/>
          <w:snapToGrid w:val="0"/>
          <w:kern w:val="0"/>
          <w:szCs w:val="32"/>
        </w:rPr>
        <w:t>施工单位使用特种设备，应当制定并严格执行特种设备操作规程，进行经常性维护保养和定期自行检查</w:t>
      </w:r>
      <w:bookmarkEnd w:id="11"/>
      <w:bookmarkStart w:id="13" w:name="_Hlk207184567"/>
      <w:r>
        <w:rPr>
          <w:rFonts w:hint="eastAsia" w:ascii="仿宋_GB2312" w:hAnsi="宋体" w:eastAsia="仿宋_GB2312" w:cs="宋体"/>
          <w:snapToGrid w:val="0"/>
          <w:kern w:val="0"/>
          <w:szCs w:val="32"/>
        </w:rPr>
        <w:t>；建立特种设备安全技术档案，将特种设备的进出场、使用、维修保养记录、操作人员证书等列入安全技术档案。</w:t>
      </w:r>
    </w:p>
    <w:p w14:paraId="425F73DD">
      <w:pPr>
        <w:tabs>
          <w:tab w:val="left" w:pos="312"/>
        </w:tabs>
        <w:overflowPunct w:val="0"/>
        <w:adjustRightInd w:val="0"/>
        <w:snapToGrid w:val="0"/>
        <w:spacing w:line="560" w:lineRule="exact"/>
        <w:ind w:firstLine="624" w:firstLineChars="200"/>
        <w:rPr>
          <w:rFonts w:ascii="仿宋_GB2312" w:hAnsi="宋体" w:eastAsia="仿宋_GB2312" w:cs="宋体"/>
          <w:snapToGrid w:val="0"/>
          <w:kern w:val="0"/>
          <w:szCs w:val="32"/>
        </w:rPr>
      </w:pPr>
      <w:r>
        <w:rPr>
          <w:rFonts w:hint="eastAsia" w:ascii="黑体" w:hAnsi="黑体" w:eastAsia="黑体" w:cs="黑体"/>
          <w:snapToGrid w:val="0"/>
          <w:kern w:val="0"/>
          <w:szCs w:val="32"/>
        </w:rPr>
        <w:t xml:space="preserve">第三十条  </w:t>
      </w:r>
      <w:r>
        <w:rPr>
          <w:rFonts w:hint="eastAsia" w:ascii="仿宋_GB2312" w:hAnsi="宋体" w:eastAsia="仿宋_GB2312" w:cs="宋体"/>
          <w:snapToGrid w:val="0"/>
          <w:kern w:val="0"/>
          <w:szCs w:val="32"/>
        </w:rPr>
        <w:t>施工单位进行爆破、吊装、悬挂、挖掘、动火、临时用电、有限空间、有毒有害、建筑物和构筑物拆除，以及临近油气管道、高压输电线路等危险作业的，应当遵守下列规定：</w:t>
      </w:r>
    </w:p>
    <w:p w14:paraId="3D124538">
      <w:pPr>
        <w:tabs>
          <w:tab w:val="left" w:pos="312"/>
        </w:tabs>
        <w:overflowPunct w:val="0"/>
        <w:adjustRightInd w:val="0"/>
        <w:snapToGrid w:val="0"/>
        <w:spacing w:line="560" w:lineRule="exact"/>
        <w:ind w:firstLine="624" w:firstLineChars="200"/>
        <w:rPr>
          <w:rFonts w:ascii="仿宋_GB2312" w:hAnsi="宋体" w:eastAsia="仿宋_GB2312" w:cs="宋体"/>
          <w:snapToGrid w:val="0"/>
          <w:kern w:val="0"/>
          <w:szCs w:val="32"/>
        </w:rPr>
      </w:pPr>
      <w:r>
        <w:rPr>
          <w:rFonts w:hint="eastAsia" w:ascii="仿宋_GB2312" w:hAnsi="宋体" w:eastAsia="仿宋_GB2312" w:cs="仿宋_GB2312"/>
          <w:kern w:val="0"/>
          <w:szCs w:val="32"/>
        </w:rPr>
        <w:t>（一）依法制定危险作业管理制度，明确票证审批、资格审</w:t>
      </w:r>
      <w:r>
        <w:rPr>
          <w:rFonts w:hint="eastAsia" w:ascii="仿宋_GB2312" w:hAnsi="宋体" w:eastAsia="仿宋_GB2312" w:cs="宋体"/>
          <w:snapToGrid w:val="0"/>
          <w:kern w:val="0"/>
          <w:szCs w:val="32"/>
        </w:rPr>
        <w:t>核、现场管理、作业报告等内容；</w:t>
      </w:r>
    </w:p>
    <w:p w14:paraId="67463570">
      <w:pPr>
        <w:tabs>
          <w:tab w:val="left" w:pos="312"/>
        </w:tabs>
        <w:overflowPunct w:val="0"/>
        <w:adjustRightInd w:val="0"/>
        <w:snapToGrid w:val="0"/>
        <w:spacing w:line="560" w:lineRule="exact"/>
        <w:ind w:firstLine="624" w:firstLineChars="200"/>
        <w:rPr>
          <w:rFonts w:ascii="仿宋_GB2312" w:hAnsi="宋体" w:eastAsia="仿宋_GB2312" w:cs="宋体"/>
          <w:snapToGrid w:val="0"/>
          <w:color w:val="auto"/>
          <w:kern w:val="0"/>
          <w:szCs w:val="32"/>
        </w:rPr>
      </w:pPr>
      <w:r>
        <w:rPr>
          <w:rFonts w:hint="eastAsia" w:ascii="仿宋_GB2312" w:hAnsi="宋体" w:eastAsia="仿宋_GB2312" w:cs="宋体"/>
          <w:snapToGrid w:val="0"/>
          <w:color w:val="auto"/>
          <w:kern w:val="0"/>
          <w:szCs w:val="32"/>
        </w:rPr>
        <w:t>（二）开展危险作业前</w:t>
      </w:r>
      <w:r>
        <w:rPr>
          <w:rFonts w:hint="eastAsia" w:ascii="仿宋_GB2312" w:hAnsi="宋体" w:eastAsia="仿宋_GB2312" w:cs="宋体"/>
          <w:snapToGrid w:val="0"/>
          <w:color w:val="auto"/>
          <w:kern w:val="0"/>
          <w:szCs w:val="32"/>
          <w:lang w:eastAsia="zh-CN"/>
        </w:rPr>
        <w:t>，</w:t>
      </w:r>
      <w:r>
        <w:rPr>
          <w:rFonts w:hint="eastAsia" w:ascii="仿宋_GB2312" w:hAnsi="宋体" w:eastAsia="仿宋_GB2312" w:cs="宋体"/>
          <w:snapToGrid w:val="0"/>
          <w:color w:val="auto"/>
          <w:kern w:val="0"/>
          <w:szCs w:val="32"/>
        </w:rPr>
        <w:t>组织对作业现场进行安全风险辨识；</w:t>
      </w:r>
    </w:p>
    <w:p w14:paraId="0E452295">
      <w:pPr>
        <w:tabs>
          <w:tab w:val="left" w:pos="312"/>
        </w:tabs>
        <w:overflowPunct w:val="0"/>
        <w:adjustRightInd w:val="0"/>
        <w:snapToGrid w:val="0"/>
        <w:spacing w:line="560" w:lineRule="exact"/>
        <w:ind w:firstLine="624" w:firstLineChars="200"/>
        <w:rPr>
          <w:rFonts w:ascii="仿宋_GB2312" w:hAnsi="宋体" w:eastAsia="仿宋_GB2312" w:cs="宋体"/>
          <w:snapToGrid w:val="0"/>
          <w:kern w:val="0"/>
          <w:szCs w:val="32"/>
        </w:rPr>
      </w:pPr>
      <w:r>
        <w:rPr>
          <w:rFonts w:hint="eastAsia" w:ascii="仿宋_GB2312" w:hAnsi="宋体" w:eastAsia="仿宋_GB2312" w:cs="宋体"/>
          <w:snapToGrid w:val="0"/>
          <w:kern w:val="0"/>
          <w:szCs w:val="32"/>
        </w:rPr>
        <w:t>（三）制定作业方案和安全防范措施；</w:t>
      </w:r>
    </w:p>
    <w:p w14:paraId="110C34EC">
      <w:pPr>
        <w:tabs>
          <w:tab w:val="left" w:pos="312"/>
        </w:tabs>
        <w:overflowPunct w:val="0"/>
        <w:adjustRightInd w:val="0"/>
        <w:snapToGrid w:val="0"/>
        <w:spacing w:line="560" w:lineRule="exact"/>
        <w:ind w:firstLine="624" w:firstLineChars="200"/>
        <w:rPr>
          <w:rFonts w:ascii="仿宋_GB2312" w:hAnsi="宋体" w:eastAsia="仿宋_GB2312" w:cs="宋体"/>
          <w:snapToGrid w:val="0"/>
          <w:kern w:val="0"/>
          <w:szCs w:val="32"/>
        </w:rPr>
      </w:pPr>
      <w:r>
        <w:rPr>
          <w:rFonts w:hint="eastAsia" w:ascii="仿宋_GB2312" w:hAnsi="宋体" w:eastAsia="仿宋_GB2312" w:cs="宋体"/>
          <w:snapToGrid w:val="0"/>
          <w:kern w:val="0"/>
          <w:szCs w:val="32"/>
        </w:rPr>
        <w:t>（四）按照规定开具危险作业票证，并对危险作业票证进行现场查验；</w:t>
      </w:r>
    </w:p>
    <w:p w14:paraId="594100AE">
      <w:pPr>
        <w:tabs>
          <w:tab w:val="left" w:pos="312"/>
        </w:tabs>
        <w:overflowPunct w:val="0"/>
        <w:adjustRightInd w:val="0"/>
        <w:snapToGrid w:val="0"/>
        <w:spacing w:line="560" w:lineRule="exact"/>
        <w:ind w:firstLine="624" w:firstLineChars="200"/>
        <w:rPr>
          <w:rFonts w:ascii="仿宋_GB2312" w:hAnsi="宋体" w:eastAsia="仿宋_GB2312" w:cs="宋体"/>
          <w:snapToGrid w:val="0"/>
          <w:kern w:val="0"/>
          <w:szCs w:val="32"/>
        </w:rPr>
      </w:pPr>
      <w:r>
        <w:rPr>
          <w:rFonts w:hint="eastAsia" w:ascii="仿宋_GB2312" w:hAnsi="宋体" w:eastAsia="仿宋_GB2312" w:cs="宋体"/>
          <w:snapToGrid w:val="0"/>
          <w:kern w:val="0"/>
          <w:szCs w:val="32"/>
        </w:rPr>
        <w:t>（五）确认作业人员的上岗资格、身体状况以及配备的劳动防护用品符合安全作业要求；</w:t>
      </w:r>
    </w:p>
    <w:p w14:paraId="46967EA5">
      <w:pPr>
        <w:tabs>
          <w:tab w:val="left" w:pos="312"/>
        </w:tabs>
        <w:overflowPunct w:val="0"/>
        <w:adjustRightInd w:val="0"/>
        <w:snapToGrid w:val="0"/>
        <w:spacing w:line="560" w:lineRule="exact"/>
        <w:ind w:firstLine="624" w:firstLineChars="200"/>
        <w:rPr>
          <w:rFonts w:ascii="仿宋_GB2312" w:hAnsi="宋体" w:eastAsia="仿宋_GB2312" w:cs="宋体"/>
          <w:snapToGrid w:val="0"/>
          <w:kern w:val="0"/>
          <w:szCs w:val="32"/>
        </w:rPr>
      </w:pPr>
      <w:r>
        <w:rPr>
          <w:rFonts w:hint="eastAsia" w:ascii="仿宋_GB2312" w:hAnsi="宋体" w:eastAsia="仿宋_GB2312" w:cs="宋体"/>
          <w:snapToGrid w:val="0"/>
          <w:kern w:val="0"/>
          <w:szCs w:val="32"/>
        </w:rPr>
        <w:t>（六）确定专人进行现场作业的统一指挥；</w:t>
      </w:r>
    </w:p>
    <w:p w14:paraId="0A4BC923">
      <w:pPr>
        <w:tabs>
          <w:tab w:val="left" w:pos="312"/>
        </w:tabs>
        <w:overflowPunct w:val="0"/>
        <w:adjustRightInd w:val="0"/>
        <w:snapToGrid w:val="0"/>
        <w:spacing w:line="560" w:lineRule="exact"/>
        <w:ind w:firstLine="624" w:firstLineChars="200"/>
        <w:rPr>
          <w:rFonts w:ascii="仿宋_GB2312" w:hAnsi="宋体" w:eastAsia="仿宋_GB2312" w:cs="宋体"/>
          <w:snapToGrid w:val="0"/>
          <w:kern w:val="0"/>
          <w:szCs w:val="32"/>
        </w:rPr>
      </w:pPr>
      <w:r>
        <w:rPr>
          <w:rFonts w:hint="eastAsia" w:ascii="仿宋_GB2312" w:hAnsi="宋体" w:eastAsia="仿宋_GB2312" w:cs="宋体"/>
          <w:snapToGrid w:val="0"/>
          <w:kern w:val="0"/>
          <w:szCs w:val="32"/>
        </w:rPr>
        <w:t>（七）指定安全生产管理人员进行现场安全检查和监督，确认安全防范措施落实情况；</w:t>
      </w:r>
    </w:p>
    <w:p w14:paraId="54F5CDC2">
      <w:pPr>
        <w:tabs>
          <w:tab w:val="left" w:pos="312"/>
        </w:tabs>
        <w:overflowPunct w:val="0"/>
        <w:adjustRightInd w:val="0"/>
        <w:snapToGrid w:val="0"/>
        <w:spacing w:line="560" w:lineRule="exact"/>
        <w:ind w:firstLine="624" w:firstLineChars="200"/>
        <w:rPr>
          <w:rFonts w:ascii="仿宋_GB2312" w:hAnsi="宋体" w:eastAsia="仿宋_GB2312" w:cs="宋体"/>
          <w:snapToGrid w:val="0"/>
          <w:kern w:val="0"/>
          <w:szCs w:val="32"/>
        </w:rPr>
      </w:pPr>
      <w:r>
        <w:rPr>
          <w:rFonts w:hint="eastAsia" w:ascii="仿宋_GB2312" w:hAnsi="宋体" w:eastAsia="仿宋_GB2312" w:cs="宋体"/>
          <w:snapToGrid w:val="0"/>
          <w:kern w:val="0"/>
          <w:szCs w:val="32"/>
        </w:rPr>
        <w:t>（八）按照规定配备安全防护设备、应急救援装备，设置安全警示标志；</w:t>
      </w:r>
    </w:p>
    <w:p w14:paraId="360C4FCD">
      <w:pPr>
        <w:tabs>
          <w:tab w:val="left" w:pos="312"/>
        </w:tabs>
        <w:overflowPunct w:val="0"/>
        <w:adjustRightInd w:val="0"/>
        <w:snapToGrid w:val="0"/>
        <w:spacing w:line="560" w:lineRule="exact"/>
        <w:ind w:firstLine="624" w:firstLineChars="200"/>
        <w:rPr>
          <w:rFonts w:hint="eastAsia" w:ascii="仿宋_GB2312" w:hAnsi="宋体" w:eastAsia="仿宋_GB2312" w:cs="宋体"/>
          <w:snapToGrid w:val="0"/>
          <w:kern w:val="0"/>
          <w:szCs w:val="32"/>
          <w:lang w:eastAsia="zh-CN"/>
        </w:rPr>
      </w:pPr>
      <w:r>
        <w:rPr>
          <w:rFonts w:hint="eastAsia" w:ascii="仿宋_GB2312" w:hAnsi="宋体" w:eastAsia="仿宋_GB2312" w:cs="宋体"/>
          <w:snapToGrid w:val="0"/>
          <w:kern w:val="0"/>
          <w:szCs w:val="32"/>
        </w:rPr>
        <w:t>（九）发现直接危及人身安全的紧急情况时，采取应急措施，停止作业并组织人员撤离</w:t>
      </w:r>
      <w:r>
        <w:rPr>
          <w:rFonts w:hint="eastAsia" w:ascii="仿宋_GB2312" w:hAnsi="宋体" w:eastAsia="仿宋_GB2312" w:cs="宋体"/>
          <w:snapToGrid w:val="0"/>
          <w:kern w:val="0"/>
          <w:szCs w:val="32"/>
          <w:lang w:eastAsia="zh-CN"/>
        </w:rPr>
        <w:t>；</w:t>
      </w:r>
    </w:p>
    <w:p w14:paraId="1497E61C">
      <w:pPr>
        <w:tabs>
          <w:tab w:val="left" w:pos="312"/>
        </w:tabs>
        <w:overflowPunct w:val="0"/>
        <w:adjustRightInd w:val="0"/>
        <w:snapToGrid w:val="0"/>
        <w:spacing w:line="560" w:lineRule="exact"/>
        <w:ind w:firstLine="624" w:firstLineChars="200"/>
        <w:rPr>
          <w:rFonts w:ascii="仿宋_GB2312" w:hAnsi="宋体" w:eastAsia="仿宋_GB2312" w:cs="宋体"/>
          <w:snapToGrid w:val="0"/>
          <w:kern w:val="0"/>
          <w:szCs w:val="32"/>
        </w:rPr>
      </w:pPr>
      <w:r>
        <w:rPr>
          <w:rFonts w:hint="eastAsia" w:ascii="仿宋_GB2312" w:hAnsi="宋体" w:eastAsia="仿宋_GB2312" w:cs="宋体"/>
          <w:snapToGrid w:val="0"/>
          <w:kern w:val="0"/>
          <w:szCs w:val="32"/>
        </w:rPr>
        <w:t>（十）建立危险作业档案，采取文字、图表、音像等形式将危险作业方案、应急措施等资料归档备查；</w:t>
      </w:r>
    </w:p>
    <w:p w14:paraId="6BD6B3B2">
      <w:pPr>
        <w:tabs>
          <w:tab w:val="left" w:pos="312"/>
        </w:tabs>
        <w:overflowPunct w:val="0"/>
        <w:adjustRightInd w:val="0"/>
        <w:snapToGrid w:val="0"/>
        <w:spacing w:line="560" w:lineRule="exact"/>
        <w:ind w:firstLine="624" w:firstLineChars="200"/>
        <w:rPr>
          <w:rFonts w:ascii="仿宋_GB2312" w:hAnsi="宋体" w:eastAsia="仿宋_GB2312" w:cs="宋体"/>
          <w:snapToGrid w:val="0"/>
          <w:kern w:val="0"/>
          <w:szCs w:val="32"/>
        </w:rPr>
      </w:pPr>
      <w:r>
        <w:rPr>
          <w:rFonts w:hint="eastAsia" w:ascii="仿宋_GB2312" w:hAnsi="宋体" w:eastAsia="仿宋_GB2312" w:cs="宋体"/>
          <w:snapToGrid w:val="0"/>
          <w:kern w:val="0"/>
          <w:szCs w:val="32"/>
        </w:rPr>
        <w:t>（十一）法律法规规章和工程建设强制性标准的其他规定。</w:t>
      </w:r>
    </w:p>
    <w:bookmarkEnd w:id="13"/>
    <w:p w14:paraId="345EF5A7">
      <w:pPr>
        <w:overflowPunct w:val="0"/>
        <w:adjustRightInd w:val="0"/>
        <w:snapToGrid w:val="0"/>
        <w:spacing w:line="560" w:lineRule="exact"/>
        <w:jc w:val="center"/>
        <w:rPr>
          <w:rFonts w:ascii="黑体" w:hAnsi="黑体" w:eastAsia="黑体" w:cs="黑体"/>
          <w:snapToGrid w:val="0"/>
          <w:kern w:val="0"/>
          <w:szCs w:val="32"/>
        </w:rPr>
      </w:pPr>
    </w:p>
    <w:p w14:paraId="5B018070">
      <w:pPr>
        <w:overflowPunct w:val="0"/>
        <w:adjustRightInd w:val="0"/>
        <w:snapToGrid w:val="0"/>
        <w:spacing w:line="560" w:lineRule="exact"/>
        <w:jc w:val="center"/>
        <w:rPr>
          <w:rFonts w:ascii="黑体" w:hAnsi="黑体" w:eastAsia="黑体" w:cs="黑体"/>
          <w:snapToGrid w:val="0"/>
          <w:kern w:val="0"/>
          <w:szCs w:val="32"/>
        </w:rPr>
      </w:pPr>
      <w:r>
        <w:rPr>
          <w:rFonts w:hint="eastAsia" w:ascii="黑体" w:hAnsi="黑体" w:eastAsia="黑体" w:cs="黑体"/>
          <w:snapToGrid w:val="0"/>
          <w:kern w:val="0"/>
          <w:szCs w:val="32"/>
        </w:rPr>
        <w:t>第五章  监督管理</w:t>
      </w:r>
    </w:p>
    <w:p w14:paraId="70054BCF">
      <w:pPr>
        <w:tabs>
          <w:tab w:val="left" w:pos="312"/>
        </w:tabs>
        <w:overflowPunct w:val="0"/>
        <w:adjustRightInd w:val="0"/>
        <w:snapToGrid w:val="0"/>
        <w:spacing w:line="560" w:lineRule="exact"/>
        <w:jc w:val="center"/>
        <w:rPr>
          <w:rFonts w:ascii="黑体" w:hAnsi="黑体" w:eastAsia="黑体" w:cs="黑体"/>
          <w:bCs/>
          <w:snapToGrid w:val="0"/>
          <w:kern w:val="0"/>
          <w:szCs w:val="32"/>
        </w:rPr>
      </w:pPr>
    </w:p>
    <w:p w14:paraId="24133EF0">
      <w:pPr>
        <w:tabs>
          <w:tab w:val="left" w:pos="312"/>
        </w:tabs>
        <w:overflowPunct w:val="0"/>
        <w:adjustRightInd w:val="0"/>
        <w:snapToGrid w:val="0"/>
        <w:spacing w:line="560" w:lineRule="exact"/>
        <w:ind w:firstLine="624" w:firstLineChars="200"/>
        <w:rPr>
          <w:rFonts w:ascii="仿宋_GB2312" w:hAnsi="宋体" w:eastAsia="仿宋_GB2312" w:cs="宋体"/>
          <w:snapToGrid w:val="0"/>
          <w:kern w:val="0"/>
          <w:szCs w:val="32"/>
        </w:rPr>
      </w:pPr>
      <w:r>
        <w:rPr>
          <w:rFonts w:ascii="黑体" w:hAnsi="黑体" w:eastAsia="黑体" w:cs="黑体"/>
          <w:bCs/>
          <w:snapToGrid w:val="0"/>
          <w:kern w:val="0"/>
          <w:szCs w:val="32"/>
        </w:rPr>
        <w:t>第</w:t>
      </w:r>
      <w:r>
        <w:rPr>
          <w:rFonts w:hint="eastAsia" w:ascii="黑体" w:hAnsi="黑体" w:eastAsia="黑体" w:cs="黑体"/>
          <w:bCs/>
          <w:snapToGrid w:val="0"/>
          <w:kern w:val="0"/>
          <w:szCs w:val="32"/>
        </w:rPr>
        <w:t>三十一</w:t>
      </w:r>
      <w:r>
        <w:rPr>
          <w:rFonts w:ascii="黑体" w:hAnsi="黑体" w:eastAsia="黑体" w:cs="黑体"/>
          <w:bCs/>
          <w:snapToGrid w:val="0"/>
          <w:kern w:val="0"/>
          <w:szCs w:val="32"/>
        </w:rPr>
        <w:t>条</w:t>
      </w:r>
      <w:bookmarkStart w:id="14" w:name="tiao_29_kuan_1"/>
      <w:bookmarkEnd w:id="14"/>
      <w:r>
        <w:rPr>
          <w:rFonts w:hint="eastAsia" w:ascii="黑体" w:hAnsi="黑体" w:eastAsia="黑体" w:cs="黑体"/>
          <w:bCs/>
          <w:snapToGrid w:val="0"/>
          <w:kern w:val="0"/>
          <w:szCs w:val="32"/>
        </w:rPr>
        <w:t xml:space="preserve">  </w:t>
      </w:r>
      <w:r>
        <w:rPr>
          <w:rFonts w:hint="eastAsia" w:ascii="仿宋_GB2312" w:hAnsi="仿宋_GB2312" w:eastAsia="仿宋_GB2312" w:cs="仿宋_GB2312"/>
          <w:bCs/>
          <w:snapToGrid w:val="0"/>
          <w:kern w:val="0"/>
          <w:szCs w:val="32"/>
        </w:rPr>
        <w:t>交通运输主管部门应当加强对从业单位遵守有关法律法规规章和工程建设强制性标准情况的监督检查，</w:t>
      </w:r>
      <w:r>
        <w:rPr>
          <w:rFonts w:hint="eastAsia" w:ascii="仿宋_GB2312" w:hAnsi="宋体" w:eastAsia="仿宋_GB2312" w:cs="宋体"/>
          <w:snapToGrid w:val="0"/>
          <w:kern w:val="0"/>
          <w:szCs w:val="32"/>
        </w:rPr>
        <w:t>根据职责制定年度监督检查计划，确定检查内容、方式、频次以及有关要求。监督检查可以采取随机抽查、备案核查、专项检查等方式。</w:t>
      </w:r>
    </w:p>
    <w:p w14:paraId="1ABE1E41">
      <w:pPr>
        <w:tabs>
          <w:tab w:val="left" w:pos="312"/>
        </w:tabs>
        <w:overflowPunct w:val="0"/>
        <w:adjustRightInd w:val="0"/>
        <w:snapToGrid w:val="0"/>
        <w:spacing w:line="560" w:lineRule="exact"/>
        <w:ind w:firstLine="624" w:firstLineChars="200"/>
        <w:rPr>
          <w:rFonts w:ascii="仿宋_GB2312" w:hAnsi="宋体" w:eastAsia="仿宋_GB2312" w:cs="宋体"/>
          <w:snapToGrid w:val="0"/>
          <w:kern w:val="0"/>
          <w:szCs w:val="32"/>
        </w:rPr>
      </w:pPr>
      <w:r>
        <w:rPr>
          <w:rFonts w:hint="eastAsia" w:ascii="仿宋_GB2312" w:hAnsi="宋体" w:eastAsia="仿宋_GB2312" w:cs="宋体"/>
          <w:snapToGrid w:val="0"/>
          <w:kern w:val="0"/>
          <w:szCs w:val="32"/>
        </w:rPr>
        <w:t>从业单位应当接受和配合交通运输主管部门依法实施的监督检查，不得阻碍或者拒绝。</w:t>
      </w:r>
    </w:p>
    <w:p w14:paraId="085F6A3D">
      <w:pPr>
        <w:overflowPunct w:val="0"/>
        <w:adjustRightInd w:val="0"/>
        <w:snapToGrid w:val="0"/>
        <w:spacing w:line="560" w:lineRule="exact"/>
        <w:ind w:firstLine="624" w:firstLineChars="200"/>
        <w:rPr>
          <w:rFonts w:ascii="仿宋_GB2312" w:hAnsi="宋体" w:eastAsia="仿宋_GB2312" w:cs="宋体"/>
          <w:snapToGrid w:val="0"/>
          <w:kern w:val="0"/>
          <w:szCs w:val="32"/>
        </w:rPr>
      </w:pPr>
      <w:r>
        <w:rPr>
          <w:rFonts w:hint="eastAsia" w:ascii="黑体" w:hAnsi="黑体" w:eastAsia="黑体" w:cs="黑体"/>
          <w:snapToGrid w:val="0"/>
          <w:kern w:val="0"/>
          <w:szCs w:val="32"/>
        </w:rPr>
        <w:t xml:space="preserve">第三十二条  </w:t>
      </w:r>
      <w:r>
        <w:rPr>
          <w:rFonts w:hint="eastAsia" w:ascii="仿宋_GB2312" w:eastAsia="仿宋_GB2312"/>
          <w:kern w:val="0"/>
          <w:szCs w:val="32"/>
        </w:rPr>
        <w:t>建设单位在开工前，应当按照规定办理工程质量安全监督手续。</w:t>
      </w:r>
    </w:p>
    <w:p w14:paraId="44A518D1">
      <w:pPr>
        <w:overflowPunct w:val="0"/>
        <w:adjustRightInd w:val="0"/>
        <w:snapToGrid w:val="0"/>
        <w:spacing w:line="560" w:lineRule="exact"/>
        <w:ind w:firstLine="624" w:firstLineChars="200"/>
        <w:rPr>
          <w:rFonts w:ascii="仿宋_GB2312" w:hAnsi="仿宋_GB2312" w:eastAsia="仿宋_GB2312" w:cs="仿宋_GB2312"/>
          <w:snapToGrid w:val="0"/>
          <w:kern w:val="0"/>
          <w:szCs w:val="32"/>
        </w:rPr>
      </w:pPr>
      <w:r>
        <w:rPr>
          <w:rFonts w:hint="eastAsia" w:ascii="仿宋_GB2312" w:hAnsi="仿宋_GB2312" w:eastAsia="仿宋_GB2312" w:cs="仿宋_GB2312"/>
          <w:snapToGrid w:val="0"/>
          <w:kern w:val="0"/>
          <w:szCs w:val="32"/>
        </w:rPr>
        <w:t>建设单位在申请领取施工许可证时，应当提供工程有关安全施工措施的资料。</w:t>
      </w:r>
    </w:p>
    <w:p w14:paraId="2ACB9E21">
      <w:pPr>
        <w:tabs>
          <w:tab w:val="left" w:pos="312"/>
        </w:tabs>
        <w:overflowPunct w:val="0"/>
        <w:adjustRightInd w:val="0"/>
        <w:snapToGrid w:val="0"/>
        <w:spacing w:line="560" w:lineRule="exact"/>
        <w:ind w:firstLine="624" w:firstLineChars="200"/>
        <w:rPr>
          <w:rFonts w:ascii="仿宋_GB2312" w:hAnsi="宋体" w:eastAsia="仿宋_GB2312" w:cs="宋体"/>
          <w:snapToGrid w:val="0"/>
          <w:kern w:val="0"/>
          <w:szCs w:val="32"/>
        </w:rPr>
      </w:pPr>
      <w:r>
        <w:rPr>
          <w:rFonts w:hint="eastAsia" w:ascii="黑体" w:hAnsi="黑体" w:eastAsia="黑体" w:cs="黑体"/>
          <w:bCs/>
          <w:snapToGrid w:val="0"/>
          <w:kern w:val="0"/>
          <w:szCs w:val="32"/>
        </w:rPr>
        <w:t>第三十三条</w:t>
      </w:r>
      <w:bookmarkStart w:id="15" w:name="OLE_LINK17"/>
      <w:r>
        <w:rPr>
          <w:rFonts w:hint="eastAsia" w:ascii="黑体" w:hAnsi="黑体" w:eastAsia="黑体" w:cs="黑体"/>
          <w:bCs/>
          <w:snapToGrid w:val="0"/>
          <w:kern w:val="0"/>
          <w:szCs w:val="32"/>
        </w:rPr>
        <w:t xml:space="preserve">  </w:t>
      </w:r>
      <w:r>
        <w:rPr>
          <w:rFonts w:hint="eastAsia" w:ascii="仿宋_GB2312" w:hAnsi="宋体" w:eastAsia="仿宋_GB2312" w:cs="宋体"/>
          <w:snapToGrid w:val="0"/>
          <w:kern w:val="0"/>
          <w:szCs w:val="32"/>
        </w:rPr>
        <w:t>交通运输主管部门应当自建设单位办理完成施工许可或者开工备案手续之日起，至交通工程交工验收合格之日止，依法对交通工程质量和安全生产进行监督管理；自交通工程交工验收合格之日起，至交通工程竣工验收完成之日止，依法对交通工程质量进行监督管理。</w:t>
      </w:r>
      <w:bookmarkEnd w:id="15"/>
    </w:p>
    <w:p w14:paraId="5752AAAD">
      <w:pPr>
        <w:tabs>
          <w:tab w:val="left" w:pos="312"/>
        </w:tabs>
        <w:overflowPunct w:val="0"/>
        <w:adjustRightInd w:val="0"/>
        <w:snapToGrid w:val="0"/>
        <w:spacing w:line="560" w:lineRule="exact"/>
        <w:ind w:firstLine="624" w:firstLineChars="200"/>
        <w:rPr>
          <w:rFonts w:ascii="仿宋_GB2312" w:hAnsi="宋体" w:eastAsia="仿宋_GB2312" w:cs="宋体"/>
          <w:snapToGrid w:val="0"/>
          <w:kern w:val="0"/>
          <w:szCs w:val="32"/>
        </w:rPr>
      </w:pPr>
      <w:r>
        <w:rPr>
          <w:rFonts w:hint="eastAsia" w:ascii="黑体" w:hAnsi="黑体" w:eastAsia="黑体" w:cs="黑体"/>
          <w:snapToGrid w:val="0"/>
          <w:kern w:val="0"/>
          <w:szCs w:val="32"/>
        </w:rPr>
        <w:t xml:space="preserve">第三十四条  </w:t>
      </w:r>
      <w:r>
        <w:rPr>
          <w:rFonts w:hint="eastAsia" w:ascii="仿宋_GB2312" w:hAnsi="宋体" w:eastAsia="仿宋_GB2312" w:cs="宋体"/>
          <w:snapToGrid w:val="0"/>
          <w:kern w:val="0"/>
          <w:szCs w:val="32"/>
        </w:rPr>
        <w:t>交通工程交工验收前，建设单位应当组织对交通工程质量进行检测，出具交工验收质量检测报告，连同设计单位出具的工程设计符合性评价意见、监理单位提交的工程质量评定或者评估报告一并提交交通运输主管部门。</w:t>
      </w:r>
    </w:p>
    <w:p w14:paraId="2B7C05E6">
      <w:pPr>
        <w:tabs>
          <w:tab w:val="left" w:pos="312"/>
        </w:tabs>
        <w:overflowPunct w:val="0"/>
        <w:adjustRightInd w:val="0"/>
        <w:snapToGrid w:val="0"/>
        <w:spacing w:line="560" w:lineRule="exact"/>
        <w:ind w:firstLine="624" w:firstLineChars="200"/>
        <w:rPr>
          <w:rFonts w:ascii="仿宋_GB2312" w:hAnsi="宋体" w:eastAsia="仿宋_GB2312" w:cs="宋体"/>
          <w:snapToGrid w:val="0"/>
          <w:kern w:val="0"/>
          <w:szCs w:val="32"/>
        </w:rPr>
      </w:pPr>
      <w:r>
        <w:rPr>
          <w:rFonts w:hint="eastAsia" w:ascii="仿宋_GB2312" w:hAnsi="宋体" w:eastAsia="仿宋_GB2312" w:cs="宋体"/>
          <w:snapToGrid w:val="0"/>
          <w:kern w:val="0"/>
          <w:szCs w:val="32"/>
        </w:rPr>
        <w:t>交通运输主管部门应当对建设单位提交的相关材料进行审核，并组织对交通工程质量进行验证性检测，出具工程交工质量核验意见。</w:t>
      </w:r>
    </w:p>
    <w:p w14:paraId="2D70D5F5">
      <w:pPr>
        <w:tabs>
          <w:tab w:val="left" w:pos="312"/>
        </w:tabs>
        <w:overflowPunct w:val="0"/>
        <w:adjustRightInd w:val="0"/>
        <w:snapToGrid w:val="0"/>
        <w:spacing w:line="560" w:lineRule="exact"/>
        <w:ind w:firstLine="624" w:firstLineChars="200"/>
        <w:rPr>
          <w:rFonts w:ascii="仿宋_GB2312" w:hAnsi="宋体" w:eastAsia="仿宋_GB2312" w:cs="宋体"/>
          <w:snapToGrid w:val="0"/>
          <w:kern w:val="0"/>
          <w:szCs w:val="32"/>
        </w:rPr>
      </w:pPr>
      <w:r>
        <w:rPr>
          <w:rFonts w:hint="eastAsia" w:ascii="仿宋_GB2312" w:hAnsi="宋体" w:eastAsia="仿宋_GB2312" w:cs="宋体"/>
          <w:snapToGrid w:val="0"/>
          <w:kern w:val="0"/>
          <w:szCs w:val="32"/>
        </w:rPr>
        <w:t>具备独立使用功能的交通工程完工后，交通运输主管部门可以分批受理建设单位提交的相关材料。</w:t>
      </w:r>
    </w:p>
    <w:p w14:paraId="64EEF552">
      <w:pPr>
        <w:tabs>
          <w:tab w:val="left" w:pos="312"/>
        </w:tabs>
        <w:overflowPunct w:val="0"/>
        <w:adjustRightInd w:val="0"/>
        <w:snapToGrid w:val="0"/>
        <w:spacing w:line="560" w:lineRule="exact"/>
        <w:ind w:firstLine="624" w:firstLineChars="200"/>
        <w:rPr>
          <w:rFonts w:ascii="仿宋_GB2312" w:hAnsi="宋体" w:eastAsia="仿宋_GB2312" w:cs="宋体"/>
          <w:snapToGrid w:val="0"/>
          <w:kern w:val="0"/>
          <w:szCs w:val="32"/>
        </w:rPr>
      </w:pPr>
      <w:r>
        <w:rPr>
          <w:rFonts w:hint="eastAsia" w:ascii="黑体" w:hAnsi="黑体" w:eastAsia="黑体" w:cs="黑体"/>
          <w:snapToGrid w:val="0"/>
          <w:kern w:val="0"/>
          <w:szCs w:val="32"/>
        </w:rPr>
        <w:t xml:space="preserve">第三十五条  </w:t>
      </w:r>
      <w:r>
        <w:rPr>
          <w:rFonts w:hint="eastAsia" w:ascii="仿宋_GB2312" w:hAnsi="宋体" w:eastAsia="仿宋_GB2312" w:cs="宋体"/>
          <w:snapToGrid w:val="0"/>
          <w:kern w:val="0"/>
          <w:szCs w:val="32"/>
        </w:rPr>
        <w:t>交通工程竣工验收前，交通运输主管部门应当根据验收工作计划，组织对交通工程质量进行复测，出具工程质量鉴定报告，同时出具工程质量监督管理工作报告。</w:t>
      </w:r>
    </w:p>
    <w:p w14:paraId="4081BF0D">
      <w:pPr>
        <w:tabs>
          <w:tab w:val="left" w:pos="312"/>
        </w:tabs>
        <w:overflowPunct w:val="0"/>
        <w:adjustRightInd w:val="0"/>
        <w:snapToGrid w:val="0"/>
        <w:spacing w:line="560" w:lineRule="exact"/>
        <w:ind w:firstLine="624" w:firstLineChars="200"/>
        <w:rPr>
          <w:rFonts w:ascii="仿宋_GB2312" w:hAnsi="宋体" w:eastAsia="仿宋_GB2312" w:cs="宋体"/>
          <w:snapToGrid w:val="0"/>
          <w:kern w:val="0"/>
          <w:szCs w:val="32"/>
        </w:rPr>
      </w:pPr>
      <w:r>
        <w:rPr>
          <w:rFonts w:hint="eastAsia" w:ascii="黑体" w:hAnsi="黑体" w:eastAsia="黑体" w:cs="黑体"/>
          <w:snapToGrid w:val="0"/>
          <w:kern w:val="0"/>
          <w:szCs w:val="32"/>
        </w:rPr>
        <w:t xml:space="preserve">第三十六条  </w:t>
      </w:r>
      <w:r>
        <w:rPr>
          <w:rFonts w:hint="eastAsia" w:ascii="仿宋_GB2312" w:hAnsi="宋体" w:eastAsia="仿宋_GB2312" w:cs="宋体"/>
          <w:snapToGrid w:val="0"/>
          <w:kern w:val="0"/>
          <w:szCs w:val="32"/>
        </w:rPr>
        <w:t>交通运输主管部门应当建立健全投诉举报处理机制，接到相关投诉举报后，应当依法快速组织处理。</w:t>
      </w:r>
    </w:p>
    <w:p w14:paraId="0F213790">
      <w:pPr>
        <w:tabs>
          <w:tab w:val="left" w:pos="312"/>
        </w:tabs>
        <w:overflowPunct w:val="0"/>
        <w:adjustRightInd w:val="0"/>
        <w:snapToGrid w:val="0"/>
        <w:spacing w:line="560" w:lineRule="exact"/>
        <w:ind w:firstLine="624" w:firstLineChars="200"/>
        <w:rPr>
          <w:rFonts w:ascii="仿宋_GB2312" w:hAnsi="宋体" w:eastAsia="仿宋_GB2312" w:cs="宋体"/>
          <w:snapToGrid w:val="0"/>
          <w:kern w:val="0"/>
          <w:szCs w:val="32"/>
        </w:rPr>
      </w:pPr>
      <w:r>
        <w:rPr>
          <w:rFonts w:hint="eastAsia" w:ascii="仿宋_GB2312" w:hAnsi="宋体" w:eastAsia="仿宋_GB2312" w:cs="宋体"/>
          <w:snapToGrid w:val="0"/>
          <w:kern w:val="0"/>
          <w:szCs w:val="32"/>
        </w:rPr>
        <w:t>交通工程施工过程中发生质量和生产安全事故的，交通运输主管部门应当按照规定上报事故情况，并及时组织事故抢救，组织或者参与事故调查。</w:t>
      </w:r>
    </w:p>
    <w:p w14:paraId="49C30D84">
      <w:pPr>
        <w:tabs>
          <w:tab w:val="left" w:pos="312"/>
        </w:tabs>
        <w:overflowPunct w:val="0"/>
        <w:adjustRightInd w:val="0"/>
        <w:snapToGrid w:val="0"/>
        <w:spacing w:line="560" w:lineRule="exact"/>
        <w:jc w:val="center"/>
        <w:rPr>
          <w:rFonts w:ascii="黑体" w:hAnsi="Verdana,??" w:eastAsia="黑体" w:cs="宋体"/>
          <w:snapToGrid w:val="0"/>
          <w:kern w:val="0"/>
          <w:szCs w:val="32"/>
        </w:rPr>
      </w:pPr>
    </w:p>
    <w:p w14:paraId="201B0FEC">
      <w:pPr>
        <w:tabs>
          <w:tab w:val="left" w:pos="312"/>
        </w:tabs>
        <w:overflowPunct w:val="0"/>
        <w:adjustRightInd w:val="0"/>
        <w:snapToGrid w:val="0"/>
        <w:spacing w:line="560" w:lineRule="exact"/>
        <w:jc w:val="center"/>
        <w:rPr>
          <w:rFonts w:ascii="黑体" w:hAnsi="Verdana,??" w:eastAsia="黑体" w:cs="宋体"/>
          <w:snapToGrid w:val="0"/>
          <w:kern w:val="0"/>
          <w:szCs w:val="32"/>
        </w:rPr>
      </w:pPr>
      <w:r>
        <w:rPr>
          <w:rFonts w:hint="eastAsia" w:ascii="黑体" w:hAnsi="Verdana,??" w:eastAsia="黑体" w:cs="宋体"/>
          <w:snapToGrid w:val="0"/>
          <w:kern w:val="0"/>
          <w:szCs w:val="32"/>
        </w:rPr>
        <w:t>第六章  法律责任</w:t>
      </w:r>
    </w:p>
    <w:p w14:paraId="5B3F2BB4">
      <w:pPr>
        <w:tabs>
          <w:tab w:val="left" w:pos="312"/>
        </w:tabs>
        <w:overflowPunct w:val="0"/>
        <w:adjustRightInd w:val="0"/>
        <w:snapToGrid w:val="0"/>
        <w:spacing w:line="560" w:lineRule="exact"/>
        <w:jc w:val="center"/>
        <w:rPr>
          <w:rFonts w:ascii="黑体" w:hAnsi="黑体" w:eastAsia="黑体" w:cs="黑体"/>
          <w:snapToGrid w:val="0"/>
          <w:kern w:val="0"/>
          <w:szCs w:val="32"/>
        </w:rPr>
      </w:pPr>
    </w:p>
    <w:p w14:paraId="62B416EC">
      <w:pPr>
        <w:tabs>
          <w:tab w:val="left" w:pos="312"/>
        </w:tabs>
        <w:overflowPunct w:val="0"/>
        <w:adjustRightInd w:val="0"/>
        <w:snapToGrid w:val="0"/>
        <w:spacing w:line="560" w:lineRule="exact"/>
        <w:ind w:firstLine="624" w:firstLineChars="200"/>
        <w:rPr>
          <w:rFonts w:ascii="仿宋_GB2312" w:hAnsi="宋体" w:eastAsia="仿宋_GB2312" w:cs="宋体"/>
          <w:snapToGrid w:val="0"/>
          <w:kern w:val="0"/>
          <w:szCs w:val="32"/>
        </w:rPr>
      </w:pPr>
      <w:r>
        <w:rPr>
          <w:rFonts w:hint="eastAsia" w:ascii="黑体" w:hAnsi="黑体" w:eastAsia="黑体" w:cs="黑体"/>
          <w:snapToGrid w:val="0"/>
          <w:kern w:val="0"/>
          <w:szCs w:val="32"/>
        </w:rPr>
        <w:t xml:space="preserve">第三十七条  </w:t>
      </w:r>
      <w:r>
        <w:rPr>
          <w:rFonts w:hint="eastAsia" w:ascii="仿宋_GB2312" w:hAnsi="黑体" w:eastAsia="仿宋_GB2312" w:cs="黑体"/>
          <w:snapToGrid w:val="0"/>
          <w:kern w:val="0"/>
          <w:szCs w:val="32"/>
        </w:rPr>
        <w:t>对</w:t>
      </w:r>
      <w:r>
        <w:rPr>
          <w:rFonts w:hint="eastAsia" w:ascii="仿宋_GB2312" w:hAnsi="宋体" w:eastAsia="仿宋_GB2312" w:cs="宋体"/>
          <w:snapToGrid w:val="0"/>
          <w:kern w:val="0"/>
          <w:szCs w:val="32"/>
        </w:rPr>
        <w:t>从业单位、从业人员违反本办法规定的行为，法律法规规章已经规定法律责任的，适用其规定。</w:t>
      </w:r>
    </w:p>
    <w:p w14:paraId="798E2169">
      <w:pPr>
        <w:overflowPunct w:val="0"/>
        <w:adjustRightInd w:val="0"/>
        <w:snapToGrid w:val="0"/>
        <w:spacing w:line="560" w:lineRule="exact"/>
        <w:ind w:firstLine="624" w:firstLineChars="200"/>
        <w:rPr>
          <w:rFonts w:ascii="仿宋_GB2312" w:hAnsi="宋体" w:eastAsia="仿宋_GB2312" w:cs="宋体"/>
          <w:snapToGrid w:val="0"/>
          <w:kern w:val="0"/>
          <w:szCs w:val="32"/>
        </w:rPr>
      </w:pPr>
      <w:r>
        <w:rPr>
          <w:rFonts w:hint="eastAsia" w:ascii="黑体" w:hAnsi="黑体" w:eastAsia="黑体" w:cs="黑体"/>
          <w:snapToGrid w:val="0"/>
          <w:kern w:val="0"/>
          <w:szCs w:val="32"/>
        </w:rPr>
        <w:t xml:space="preserve">第三十八条  </w:t>
      </w:r>
      <w:r>
        <w:rPr>
          <w:rFonts w:hint="eastAsia" w:ascii="仿宋_GB2312" w:hAnsi="宋体" w:eastAsia="仿宋_GB2312" w:cs="宋体"/>
          <w:snapToGrid w:val="0"/>
          <w:kern w:val="0"/>
          <w:szCs w:val="32"/>
        </w:rPr>
        <w:t>交通运输主管部门及其工作人员在交通工程质量和安全生产监督管理工作中滥用职权、玩忽职守、徇私舞弊的，对直接负责的主管人员和其他直接责任人员依法给予处分；构成犯罪的，依法追究刑事责任。</w:t>
      </w:r>
    </w:p>
    <w:p w14:paraId="155BC4C5">
      <w:pPr>
        <w:tabs>
          <w:tab w:val="left" w:pos="312"/>
        </w:tabs>
        <w:overflowPunct w:val="0"/>
        <w:adjustRightInd w:val="0"/>
        <w:snapToGrid w:val="0"/>
        <w:spacing w:line="560" w:lineRule="exact"/>
        <w:jc w:val="center"/>
        <w:rPr>
          <w:rFonts w:ascii="仿宋_GB2312" w:hAnsi="仿宋" w:eastAsia="仿宋_GB2312" w:cs="仿宋"/>
          <w:kern w:val="0"/>
          <w:szCs w:val="32"/>
        </w:rPr>
      </w:pPr>
    </w:p>
    <w:p w14:paraId="1F30DA2E">
      <w:pPr>
        <w:tabs>
          <w:tab w:val="left" w:pos="312"/>
        </w:tabs>
        <w:overflowPunct w:val="0"/>
        <w:adjustRightInd w:val="0"/>
        <w:snapToGrid w:val="0"/>
        <w:spacing w:line="560" w:lineRule="exact"/>
        <w:jc w:val="center"/>
        <w:rPr>
          <w:rFonts w:ascii="黑体" w:hAnsi="Verdana,??" w:eastAsia="黑体" w:cs="宋体"/>
          <w:snapToGrid w:val="0"/>
          <w:kern w:val="0"/>
          <w:szCs w:val="32"/>
        </w:rPr>
      </w:pPr>
      <w:r>
        <w:rPr>
          <w:rFonts w:hint="eastAsia" w:ascii="黑体" w:hAnsi="Verdana,??" w:eastAsia="黑体" w:cs="宋体"/>
          <w:snapToGrid w:val="0"/>
          <w:kern w:val="0"/>
          <w:szCs w:val="32"/>
        </w:rPr>
        <w:t>第七章  附  则</w:t>
      </w:r>
    </w:p>
    <w:p w14:paraId="123F03C4">
      <w:pPr>
        <w:tabs>
          <w:tab w:val="left" w:pos="312"/>
        </w:tabs>
        <w:overflowPunct w:val="0"/>
        <w:adjustRightInd w:val="0"/>
        <w:snapToGrid w:val="0"/>
        <w:spacing w:line="560" w:lineRule="exact"/>
        <w:jc w:val="center"/>
        <w:rPr>
          <w:rFonts w:ascii="黑体" w:hAnsi="Verdana,??" w:eastAsia="黑体" w:cs="宋体"/>
          <w:snapToGrid w:val="0"/>
          <w:kern w:val="0"/>
          <w:szCs w:val="32"/>
        </w:rPr>
      </w:pPr>
    </w:p>
    <w:p w14:paraId="104EFB61">
      <w:pPr>
        <w:tabs>
          <w:tab w:val="left" w:pos="312"/>
        </w:tabs>
        <w:overflowPunct w:val="0"/>
        <w:adjustRightInd w:val="0"/>
        <w:snapToGrid w:val="0"/>
        <w:spacing w:line="560" w:lineRule="exact"/>
        <w:ind w:firstLine="624" w:firstLineChars="200"/>
        <w:rPr>
          <w:rFonts w:ascii="仿宋_GB2312" w:hAnsi="宋体" w:eastAsia="仿宋_GB2312" w:cs="宋体"/>
          <w:snapToGrid w:val="0"/>
          <w:kern w:val="0"/>
          <w:szCs w:val="32"/>
        </w:rPr>
      </w:pPr>
      <w:r>
        <w:rPr>
          <w:rFonts w:hint="eastAsia" w:ascii="黑体" w:hAnsi="黑体" w:eastAsia="黑体" w:cs="黑体"/>
          <w:bCs/>
          <w:snapToGrid w:val="0"/>
          <w:kern w:val="0"/>
          <w:szCs w:val="32"/>
        </w:rPr>
        <w:t xml:space="preserve">第三十九条  </w:t>
      </w:r>
      <w:r>
        <w:rPr>
          <w:rFonts w:hint="eastAsia" w:ascii="仿宋_GB2312" w:hAnsi="宋体" w:eastAsia="仿宋_GB2312" w:cs="宋体"/>
          <w:snapToGrid w:val="0"/>
          <w:kern w:val="0"/>
          <w:szCs w:val="32"/>
        </w:rPr>
        <w:t>普通国省道、农村公路</w:t>
      </w:r>
      <w:r>
        <w:rPr>
          <w:rFonts w:hint="eastAsia" w:ascii="仿宋_GB2312" w:hAnsi="黑体" w:eastAsia="仿宋_GB2312" w:cs="黑体"/>
          <w:snapToGrid w:val="0"/>
          <w:kern w:val="0"/>
          <w:szCs w:val="32"/>
        </w:rPr>
        <w:t>修复养护工程中的大修和中修</w:t>
      </w:r>
      <w:r>
        <w:rPr>
          <w:rFonts w:hint="eastAsia" w:ascii="仿宋_GB2312" w:hAnsi="黑体" w:eastAsia="仿宋_GB2312" w:cs="黑体"/>
          <w:strike w:val="0"/>
          <w:dstrike w:val="0"/>
          <w:snapToGrid w:val="0"/>
          <w:color w:val="auto"/>
          <w:kern w:val="0"/>
          <w:szCs w:val="32"/>
        </w:rPr>
        <w:t>项目</w:t>
      </w:r>
      <w:r>
        <w:rPr>
          <w:rFonts w:hint="eastAsia" w:ascii="仿宋_GB2312" w:hAnsi="宋体" w:eastAsia="仿宋_GB2312" w:cs="宋体"/>
          <w:snapToGrid w:val="0"/>
          <w:kern w:val="0"/>
          <w:szCs w:val="32"/>
        </w:rPr>
        <w:t>的质量和安全生产，以及对其实施的监督管理，参照本办法执行。</w:t>
      </w:r>
    </w:p>
    <w:p w14:paraId="0FB005CB">
      <w:pPr>
        <w:tabs>
          <w:tab w:val="left" w:pos="312"/>
        </w:tabs>
        <w:overflowPunct w:val="0"/>
        <w:adjustRightInd w:val="0"/>
        <w:snapToGrid w:val="0"/>
        <w:spacing w:line="560" w:lineRule="exact"/>
        <w:ind w:firstLine="624" w:firstLineChars="200"/>
        <w:rPr>
          <w:rFonts w:hint="eastAsia" w:ascii="方正小标宋_GBK" w:eastAsia="方正小标宋_GBK"/>
          <w:kern w:val="0"/>
          <w:szCs w:val="32"/>
        </w:rPr>
      </w:pPr>
      <w:r>
        <w:rPr>
          <w:rFonts w:hint="eastAsia" w:ascii="黑体" w:hAnsi="黑体" w:eastAsia="黑体" w:cs="黑体"/>
          <w:bCs/>
          <w:snapToGrid w:val="0"/>
          <w:kern w:val="0"/>
          <w:szCs w:val="32"/>
        </w:rPr>
        <w:t xml:space="preserve">第四十条  </w:t>
      </w:r>
      <w:r>
        <w:rPr>
          <w:rFonts w:hint="eastAsia" w:ascii="仿宋_GB2312" w:hAnsi="宋体" w:eastAsia="仿宋_GB2312" w:cs="宋体"/>
          <w:snapToGrid w:val="0"/>
          <w:kern w:val="0"/>
          <w:szCs w:val="32"/>
        </w:rPr>
        <w:t>本办法自202</w:t>
      </w:r>
      <w:r>
        <w:rPr>
          <w:rFonts w:hint="eastAsia" w:ascii="仿宋_GB2312" w:hAnsi="宋体" w:eastAsia="仿宋_GB2312" w:cs="宋体"/>
          <w:snapToGrid w:val="0"/>
          <w:kern w:val="0"/>
          <w:szCs w:val="32"/>
          <w:lang w:val="en-US" w:eastAsia="zh-CN"/>
        </w:rPr>
        <w:t>6</w:t>
      </w:r>
      <w:r>
        <w:rPr>
          <w:rFonts w:hint="eastAsia" w:ascii="仿宋_GB2312" w:hAnsi="宋体" w:eastAsia="仿宋_GB2312" w:cs="宋体"/>
          <w:snapToGrid w:val="0"/>
          <w:kern w:val="0"/>
          <w:szCs w:val="32"/>
        </w:rPr>
        <w:t>年</w:t>
      </w:r>
      <w:r>
        <w:rPr>
          <w:rFonts w:hint="eastAsia" w:ascii="仿宋_GB2312" w:hAnsi="宋体" w:eastAsia="仿宋_GB2312" w:cs="宋体"/>
          <w:snapToGrid w:val="0"/>
          <w:kern w:val="0"/>
          <w:szCs w:val="32"/>
          <w:lang w:val="en-US" w:eastAsia="zh-CN"/>
        </w:rPr>
        <w:t>5</w:t>
      </w:r>
      <w:r>
        <w:rPr>
          <w:rFonts w:hint="eastAsia" w:ascii="仿宋_GB2312" w:hAnsi="宋体" w:eastAsia="仿宋_GB2312" w:cs="宋体"/>
          <w:snapToGrid w:val="0"/>
          <w:kern w:val="0"/>
          <w:szCs w:val="32"/>
        </w:rPr>
        <w:t>月</w:t>
      </w:r>
      <w:r>
        <w:rPr>
          <w:rFonts w:hint="eastAsia" w:ascii="仿宋_GB2312" w:hAnsi="宋体" w:eastAsia="仿宋_GB2312" w:cs="宋体"/>
          <w:snapToGrid w:val="0"/>
          <w:kern w:val="0"/>
          <w:szCs w:val="32"/>
          <w:lang w:val="en-US" w:eastAsia="zh-CN"/>
        </w:rPr>
        <w:t>1</w:t>
      </w:r>
      <w:r>
        <w:rPr>
          <w:rFonts w:hint="eastAsia" w:ascii="仿宋_GB2312" w:hAnsi="宋体" w:eastAsia="仿宋_GB2312" w:cs="宋体"/>
          <w:snapToGrid w:val="0"/>
          <w:kern w:val="0"/>
          <w:szCs w:val="32"/>
        </w:rPr>
        <w:t>日起施行。</w:t>
      </w:r>
    </w:p>
    <w:p w14:paraId="0824CA46">
      <w:pPr>
        <w:pStyle w:val="15"/>
        <w:ind w:left="624" w:firstLine="624"/>
        <w:rPr>
          <w:rFonts w:hint="eastAsia"/>
        </w:rPr>
      </w:pPr>
    </w:p>
    <w:p w14:paraId="19F9BCB6">
      <w:pPr>
        <w:overflowPunct w:val="0"/>
        <w:adjustRightInd w:val="0"/>
        <w:snapToGrid w:val="0"/>
        <w:spacing w:line="560" w:lineRule="exact"/>
        <w:rPr>
          <w:kern w:val="0"/>
        </w:rPr>
      </w:pPr>
    </w:p>
    <w:sectPr>
      <w:footerReference r:id="rId3" w:type="default"/>
      <w:footerReference r:id="rId4" w:type="even"/>
      <w:pgSz w:w="11906" w:h="16838"/>
      <w:pgMar w:top="2098" w:right="1474" w:bottom="1985" w:left="1588" w:header="851" w:footer="992" w:gutter="0"/>
      <w:cols w:space="425" w:num="1"/>
      <w:docGrid w:type="linesAndChars" w:linePitch="621"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Calibri Light">
    <w:altName w:val="DejaVu Sans"/>
    <w:panose1 w:val="020F0302020204030204"/>
    <w:charset w:val="00"/>
    <w:family w:val="swiss"/>
    <w:pitch w:val="default"/>
    <w:sig w:usb0="00000000" w:usb1="00000000" w:usb2="00000009" w:usb3="00000000" w:csb0="200001FF"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script"/>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Verdana">
    <w:altName w:val="Ubuntu"/>
    <w:panose1 w:val="020B0604030504040204"/>
    <w:charset w:val="00"/>
    <w:family w:val="swiss"/>
    <w:pitch w:val="default"/>
    <w:sig w:usb0="00000000" w:usb1="00000000" w:usb2="00000010" w:usb3="00000000" w:csb0="2000019F" w:csb1="00000000"/>
  </w:font>
  <w:font w:name="Ubuntu">
    <w:panose1 w:val="020B0504030602030204"/>
    <w:charset w:val="00"/>
    <w:family w:val="auto"/>
    <w:pitch w:val="default"/>
    <w:sig w:usb0="E00002FF" w:usb1="5000205B" w:usb2="00000000" w:usb3="00000000" w:csb0="2000009F" w:csb1="56010000"/>
  </w:font>
  <w:font w:name="等线">
    <w:altName w:val="微软雅黑"/>
    <w:panose1 w:val="02010600030101010101"/>
    <w:charset w:val="86"/>
    <w:family w:val="auto"/>
    <w:pitch w:val="default"/>
    <w:sig w:usb0="00000000" w:usb1="00000000"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Verdana,??">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B2089">
    <w:pPr>
      <w:pStyle w:val="9"/>
      <w:framePr w:wrap="around" w:vAnchor="text" w:hAnchor="margin" w:xAlign="outside" w:y="1"/>
      <w:rPr>
        <w:rStyle w:val="19"/>
        <w:rFonts w:ascii="宋体" w:hAnsi="宋体"/>
        <w:sz w:val="28"/>
        <w:szCs w:val="28"/>
      </w:rPr>
    </w:pPr>
    <w:r>
      <w:rPr>
        <w:rStyle w:val="19"/>
        <w:rFonts w:hint="eastAsia" w:ascii="宋体" w:hAnsi="宋体"/>
        <w:sz w:val="28"/>
        <w:szCs w:val="28"/>
      </w:rPr>
      <w:t xml:space="preserve">— </w:t>
    </w:r>
    <w:r>
      <w:rPr>
        <w:rStyle w:val="19"/>
        <w:rFonts w:ascii="宋体" w:hAnsi="宋体"/>
        <w:sz w:val="28"/>
        <w:szCs w:val="28"/>
      </w:rPr>
      <w:fldChar w:fldCharType="begin"/>
    </w:r>
    <w:r>
      <w:rPr>
        <w:rStyle w:val="19"/>
        <w:rFonts w:ascii="宋体" w:hAnsi="宋体"/>
        <w:sz w:val="28"/>
        <w:szCs w:val="28"/>
      </w:rPr>
      <w:instrText xml:space="preserve">PAGE  </w:instrText>
    </w:r>
    <w:r>
      <w:rPr>
        <w:rStyle w:val="19"/>
        <w:rFonts w:ascii="宋体" w:hAnsi="宋体"/>
        <w:sz w:val="28"/>
        <w:szCs w:val="28"/>
      </w:rPr>
      <w:fldChar w:fldCharType="separate"/>
    </w:r>
    <w:r>
      <w:rPr>
        <w:rStyle w:val="19"/>
        <w:rFonts w:ascii="宋体" w:hAnsi="宋体"/>
        <w:sz w:val="28"/>
        <w:szCs w:val="28"/>
      </w:rPr>
      <w:t>4</w:t>
    </w:r>
    <w:r>
      <w:rPr>
        <w:rStyle w:val="19"/>
        <w:rFonts w:ascii="宋体" w:hAnsi="宋体"/>
        <w:sz w:val="28"/>
        <w:szCs w:val="28"/>
      </w:rPr>
      <w:fldChar w:fldCharType="end"/>
    </w:r>
    <w:r>
      <w:rPr>
        <w:rStyle w:val="19"/>
        <w:rFonts w:hint="eastAsia" w:ascii="宋体" w:hAnsi="宋体"/>
        <w:sz w:val="28"/>
        <w:szCs w:val="28"/>
      </w:rPr>
      <w:t xml:space="preserve"> —</w:t>
    </w:r>
  </w:p>
  <w:p w14:paraId="6EE51C85">
    <w:pPr>
      <w:pStyle w:val="9"/>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50F38">
    <w:pPr>
      <w:pStyle w:val="9"/>
      <w:framePr w:wrap="around" w:vAnchor="text" w:hAnchor="margin" w:xAlign="outside" w:y="1"/>
      <w:rPr>
        <w:rStyle w:val="19"/>
      </w:rPr>
    </w:pPr>
    <w:r>
      <w:rPr>
        <w:rStyle w:val="19"/>
      </w:rPr>
      <w:fldChar w:fldCharType="begin"/>
    </w:r>
    <w:r>
      <w:rPr>
        <w:rStyle w:val="19"/>
      </w:rPr>
      <w:instrText xml:space="preserve">PAGE  </w:instrText>
    </w:r>
    <w:r>
      <w:rPr>
        <w:rStyle w:val="19"/>
      </w:rPr>
      <w:fldChar w:fldCharType="end"/>
    </w:r>
  </w:p>
  <w:p w14:paraId="57BBB4FB">
    <w:pPr>
      <w:pStyle w:val="9"/>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156"/>
  <w:drawingGridVerticalSpacing w:val="62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kMWIwOWY1ZGYyMzM5NGNmM2I4MWVmNzY2NjFiOTEifQ=="/>
  </w:docVars>
  <w:rsids>
    <w:rsidRoot w:val="00604F07"/>
    <w:rsid w:val="00011616"/>
    <w:rsid w:val="00011785"/>
    <w:rsid w:val="00013497"/>
    <w:rsid w:val="00016482"/>
    <w:rsid w:val="00023B8A"/>
    <w:rsid w:val="00033D0C"/>
    <w:rsid w:val="00033FED"/>
    <w:rsid w:val="00034A9B"/>
    <w:rsid w:val="00035650"/>
    <w:rsid w:val="00041999"/>
    <w:rsid w:val="000465AB"/>
    <w:rsid w:val="000469F3"/>
    <w:rsid w:val="0005437E"/>
    <w:rsid w:val="00057A74"/>
    <w:rsid w:val="00064C0F"/>
    <w:rsid w:val="00067AC3"/>
    <w:rsid w:val="00071E28"/>
    <w:rsid w:val="0008101F"/>
    <w:rsid w:val="00087FE0"/>
    <w:rsid w:val="000923F7"/>
    <w:rsid w:val="00093125"/>
    <w:rsid w:val="00096A18"/>
    <w:rsid w:val="00096DFE"/>
    <w:rsid w:val="000A38D2"/>
    <w:rsid w:val="000A4A51"/>
    <w:rsid w:val="000A710B"/>
    <w:rsid w:val="000B69C0"/>
    <w:rsid w:val="000C1EA5"/>
    <w:rsid w:val="000C44A9"/>
    <w:rsid w:val="000D3FF2"/>
    <w:rsid w:val="000E05B4"/>
    <w:rsid w:val="000E53E3"/>
    <w:rsid w:val="000E6AB6"/>
    <w:rsid w:val="000E7AB7"/>
    <w:rsid w:val="000F0BB1"/>
    <w:rsid w:val="000F12BA"/>
    <w:rsid w:val="000F185C"/>
    <w:rsid w:val="000F1AC2"/>
    <w:rsid w:val="001002E8"/>
    <w:rsid w:val="0010095F"/>
    <w:rsid w:val="0010213E"/>
    <w:rsid w:val="00110C04"/>
    <w:rsid w:val="00117CBB"/>
    <w:rsid w:val="00122EA9"/>
    <w:rsid w:val="001255F9"/>
    <w:rsid w:val="001267B7"/>
    <w:rsid w:val="00127543"/>
    <w:rsid w:val="00130DF1"/>
    <w:rsid w:val="001373D5"/>
    <w:rsid w:val="001376EC"/>
    <w:rsid w:val="00137B5D"/>
    <w:rsid w:val="00141099"/>
    <w:rsid w:val="0014302B"/>
    <w:rsid w:val="00162A0E"/>
    <w:rsid w:val="001655F4"/>
    <w:rsid w:val="001664B8"/>
    <w:rsid w:val="0016734F"/>
    <w:rsid w:val="001673FC"/>
    <w:rsid w:val="00170235"/>
    <w:rsid w:val="00172BD1"/>
    <w:rsid w:val="001769DC"/>
    <w:rsid w:val="00176A0E"/>
    <w:rsid w:val="0019775E"/>
    <w:rsid w:val="001B042A"/>
    <w:rsid w:val="001B1F03"/>
    <w:rsid w:val="001B2B48"/>
    <w:rsid w:val="001B336D"/>
    <w:rsid w:val="001B588E"/>
    <w:rsid w:val="001C5392"/>
    <w:rsid w:val="001C65C7"/>
    <w:rsid w:val="001D10CB"/>
    <w:rsid w:val="001D63CA"/>
    <w:rsid w:val="001E3550"/>
    <w:rsid w:val="001E3570"/>
    <w:rsid w:val="001E54AE"/>
    <w:rsid w:val="002005C5"/>
    <w:rsid w:val="002012B3"/>
    <w:rsid w:val="00203ABB"/>
    <w:rsid w:val="00207CC7"/>
    <w:rsid w:val="002103C1"/>
    <w:rsid w:val="002152CB"/>
    <w:rsid w:val="002210E9"/>
    <w:rsid w:val="00223329"/>
    <w:rsid w:val="00226022"/>
    <w:rsid w:val="00233552"/>
    <w:rsid w:val="0023387B"/>
    <w:rsid w:val="0023531D"/>
    <w:rsid w:val="00243340"/>
    <w:rsid w:val="00244DA9"/>
    <w:rsid w:val="0024536F"/>
    <w:rsid w:val="00251AD1"/>
    <w:rsid w:val="00254EEC"/>
    <w:rsid w:val="002602ED"/>
    <w:rsid w:val="00263A16"/>
    <w:rsid w:val="0028323F"/>
    <w:rsid w:val="002837D8"/>
    <w:rsid w:val="00283E6B"/>
    <w:rsid w:val="00294966"/>
    <w:rsid w:val="00296077"/>
    <w:rsid w:val="002A0380"/>
    <w:rsid w:val="002A07FB"/>
    <w:rsid w:val="002A0986"/>
    <w:rsid w:val="002B5FE0"/>
    <w:rsid w:val="002C0E59"/>
    <w:rsid w:val="002C7B46"/>
    <w:rsid w:val="002C7B4E"/>
    <w:rsid w:val="002D24A7"/>
    <w:rsid w:val="002D3EE0"/>
    <w:rsid w:val="002D75F2"/>
    <w:rsid w:val="002E1187"/>
    <w:rsid w:val="002F4393"/>
    <w:rsid w:val="00303FF3"/>
    <w:rsid w:val="00311D68"/>
    <w:rsid w:val="003266A9"/>
    <w:rsid w:val="00330AAA"/>
    <w:rsid w:val="00330B10"/>
    <w:rsid w:val="00341780"/>
    <w:rsid w:val="003517BD"/>
    <w:rsid w:val="003518F7"/>
    <w:rsid w:val="003529F9"/>
    <w:rsid w:val="00356396"/>
    <w:rsid w:val="003573E9"/>
    <w:rsid w:val="003577CE"/>
    <w:rsid w:val="0036445C"/>
    <w:rsid w:val="00367261"/>
    <w:rsid w:val="003701CF"/>
    <w:rsid w:val="003745D5"/>
    <w:rsid w:val="00374F9E"/>
    <w:rsid w:val="00376ED9"/>
    <w:rsid w:val="003853E1"/>
    <w:rsid w:val="00393402"/>
    <w:rsid w:val="0039380E"/>
    <w:rsid w:val="003976C6"/>
    <w:rsid w:val="003A1E48"/>
    <w:rsid w:val="003B6444"/>
    <w:rsid w:val="003C1C97"/>
    <w:rsid w:val="003C28AF"/>
    <w:rsid w:val="003C3CEE"/>
    <w:rsid w:val="003C3D91"/>
    <w:rsid w:val="003C49CD"/>
    <w:rsid w:val="003C50FD"/>
    <w:rsid w:val="003C5599"/>
    <w:rsid w:val="003C722B"/>
    <w:rsid w:val="003D07D2"/>
    <w:rsid w:val="003D1966"/>
    <w:rsid w:val="003D3F36"/>
    <w:rsid w:val="003E005E"/>
    <w:rsid w:val="003E1491"/>
    <w:rsid w:val="003F1288"/>
    <w:rsid w:val="003F2ED1"/>
    <w:rsid w:val="003F743C"/>
    <w:rsid w:val="003F754E"/>
    <w:rsid w:val="004057DF"/>
    <w:rsid w:val="00406627"/>
    <w:rsid w:val="00410881"/>
    <w:rsid w:val="004268BA"/>
    <w:rsid w:val="004318D5"/>
    <w:rsid w:val="00432284"/>
    <w:rsid w:val="004328F2"/>
    <w:rsid w:val="00433672"/>
    <w:rsid w:val="00435119"/>
    <w:rsid w:val="00437342"/>
    <w:rsid w:val="0044124F"/>
    <w:rsid w:val="00443CCC"/>
    <w:rsid w:val="004518B0"/>
    <w:rsid w:val="004537E2"/>
    <w:rsid w:val="004546B1"/>
    <w:rsid w:val="00460732"/>
    <w:rsid w:val="00465050"/>
    <w:rsid w:val="00481909"/>
    <w:rsid w:val="00481E31"/>
    <w:rsid w:val="00483D26"/>
    <w:rsid w:val="0048459F"/>
    <w:rsid w:val="00486793"/>
    <w:rsid w:val="00486FC8"/>
    <w:rsid w:val="00487AE2"/>
    <w:rsid w:val="004A0BB4"/>
    <w:rsid w:val="004A6709"/>
    <w:rsid w:val="004B009D"/>
    <w:rsid w:val="004B00C1"/>
    <w:rsid w:val="004D082A"/>
    <w:rsid w:val="004D0D95"/>
    <w:rsid w:val="004D44C2"/>
    <w:rsid w:val="004D5FDA"/>
    <w:rsid w:val="004E1CD0"/>
    <w:rsid w:val="004E35C9"/>
    <w:rsid w:val="004F3DD5"/>
    <w:rsid w:val="004F5F5F"/>
    <w:rsid w:val="004F77B3"/>
    <w:rsid w:val="00506D78"/>
    <w:rsid w:val="00513AFF"/>
    <w:rsid w:val="00516B42"/>
    <w:rsid w:val="005224D2"/>
    <w:rsid w:val="00525610"/>
    <w:rsid w:val="00527ED7"/>
    <w:rsid w:val="00530766"/>
    <w:rsid w:val="0053346C"/>
    <w:rsid w:val="00533767"/>
    <w:rsid w:val="00534976"/>
    <w:rsid w:val="0053524D"/>
    <w:rsid w:val="00540A9F"/>
    <w:rsid w:val="005424F1"/>
    <w:rsid w:val="005470EB"/>
    <w:rsid w:val="00552B3D"/>
    <w:rsid w:val="00555A87"/>
    <w:rsid w:val="00556E09"/>
    <w:rsid w:val="00563952"/>
    <w:rsid w:val="00564343"/>
    <w:rsid w:val="0056683F"/>
    <w:rsid w:val="005732A0"/>
    <w:rsid w:val="00590DDD"/>
    <w:rsid w:val="00592E5B"/>
    <w:rsid w:val="0059378E"/>
    <w:rsid w:val="00594B91"/>
    <w:rsid w:val="00596A24"/>
    <w:rsid w:val="005B0535"/>
    <w:rsid w:val="005D035F"/>
    <w:rsid w:val="005D2CA6"/>
    <w:rsid w:val="005D5DDC"/>
    <w:rsid w:val="005D6002"/>
    <w:rsid w:val="005E30BE"/>
    <w:rsid w:val="005E7003"/>
    <w:rsid w:val="005F05C1"/>
    <w:rsid w:val="005F2701"/>
    <w:rsid w:val="005F50C1"/>
    <w:rsid w:val="005F61EB"/>
    <w:rsid w:val="005F760F"/>
    <w:rsid w:val="00604F07"/>
    <w:rsid w:val="00606A11"/>
    <w:rsid w:val="00614105"/>
    <w:rsid w:val="0062462B"/>
    <w:rsid w:val="00632CD3"/>
    <w:rsid w:val="00632EE8"/>
    <w:rsid w:val="0063384D"/>
    <w:rsid w:val="00640FCC"/>
    <w:rsid w:val="00662096"/>
    <w:rsid w:val="00665888"/>
    <w:rsid w:val="0067198C"/>
    <w:rsid w:val="006744C1"/>
    <w:rsid w:val="0068101D"/>
    <w:rsid w:val="0068769D"/>
    <w:rsid w:val="006A78DF"/>
    <w:rsid w:val="006B0FB6"/>
    <w:rsid w:val="006B3160"/>
    <w:rsid w:val="006C3BD4"/>
    <w:rsid w:val="006D65E6"/>
    <w:rsid w:val="006E7486"/>
    <w:rsid w:val="006F02A6"/>
    <w:rsid w:val="006F1386"/>
    <w:rsid w:val="006F3162"/>
    <w:rsid w:val="006F46BD"/>
    <w:rsid w:val="006F57B8"/>
    <w:rsid w:val="007022A2"/>
    <w:rsid w:val="00704642"/>
    <w:rsid w:val="00710F37"/>
    <w:rsid w:val="007148A0"/>
    <w:rsid w:val="00722D1C"/>
    <w:rsid w:val="00723054"/>
    <w:rsid w:val="007238D7"/>
    <w:rsid w:val="00725203"/>
    <w:rsid w:val="00732A27"/>
    <w:rsid w:val="00735CC7"/>
    <w:rsid w:val="00736C25"/>
    <w:rsid w:val="00736EBB"/>
    <w:rsid w:val="00740756"/>
    <w:rsid w:val="00744EFB"/>
    <w:rsid w:val="00753ECA"/>
    <w:rsid w:val="00754158"/>
    <w:rsid w:val="00767602"/>
    <w:rsid w:val="00790ED5"/>
    <w:rsid w:val="00791608"/>
    <w:rsid w:val="007950E0"/>
    <w:rsid w:val="007A089D"/>
    <w:rsid w:val="007A74B7"/>
    <w:rsid w:val="007B0FF2"/>
    <w:rsid w:val="007B1C90"/>
    <w:rsid w:val="007B38EE"/>
    <w:rsid w:val="007B6E7B"/>
    <w:rsid w:val="007C3625"/>
    <w:rsid w:val="007D0C6C"/>
    <w:rsid w:val="007D6C75"/>
    <w:rsid w:val="007E15E7"/>
    <w:rsid w:val="008025F2"/>
    <w:rsid w:val="00803C50"/>
    <w:rsid w:val="00803D4E"/>
    <w:rsid w:val="008054E9"/>
    <w:rsid w:val="00805EFA"/>
    <w:rsid w:val="00806BF2"/>
    <w:rsid w:val="0080770F"/>
    <w:rsid w:val="00821FDF"/>
    <w:rsid w:val="00831A04"/>
    <w:rsid w:val="008448E0"/>
    <w:rsid w:val="00846EC2"/>
    <w:rsid w:val="0085402F"/>
    <w:rsid w:val="008540F4"/>
    <w:rsid w:val="008549B6"/>
    <w:rsid w:val="00854CFE"/>
    <w:rsid w:val="008608E9"/>
    <w:rsid w:val="00861153"/>
    <w:rsid w:val="00863014"/>
    <w:rsid w:val="008669AE"/>
    <w:rsid w:val="00871B1B"/>
    <w:rsid w:val="00872F62"/>
    <w:rsid w:val="00880CE1"/>
    <w:rsid w:val="008853C3"/>
    <w:rsid w:val="008934C8"/>
    <w:rsid w:val="00897433"/>
    <w:rsid w:val="008A027F"/>
    <w:rsid w:val="008A0696"/>
    <w:rsid w:val="008A10DA"/>
    <w:rsid w:val="008A4F30"/>
    <w:rsid w:val="008C3BFD"/>
    <w:rsid w:val="008D0704"/>
    <w:rsid w:val="008D51BD"/>
    <w:rsid w:val="008E0260"/>
    <w:rsid w:val="008E21FE"/>
    <w:rsid w:val="008F0F56"/>
    <w:rsid w:val="00900D1A"/>
    <w:rsid w:val="00900E3B"/>
    <w:rsid w:val="009011E2"/>
    <w:rsid w:val="0090247D"/>
    <w:rsid w:val="00906DB7"/>
    <w:rsid w:val="00910CA4"/>
    <w:rsid w:val="009131D2"/>
    <w:rsid w:val="00920F67"/>
    <w:rsid w:val="00922550"/>
    <w:rsid w:val="00924F64"/>
    <w:rsid w:val="009278B1"/>
    <w:rsid w:val="0093293B"/>
    <w:rsid w:val="009358E4"/>
    <w:rsid w:val="00936218"/>
    <w:rsid w:val="00940C6F"/>
    <w:rsid w:val="00945746"/>
    <w:rsid w:val="00946122"/>
    <w:rsid w:val="00955968"/>
    <w:rsid w:val="0095694F"/>
    <w:rsid w:val="00957834"/>
    <w:rsid w:val="00960D7A"/>
    <w:rsid w:val="009627BA"/>
    <w:rsid w:val="00963E09"/>
    <w:rsid w:val="00980F88"/>
    <w:rsid w:val="00981C31"/>
    <w:rsid w:val="009910AF"/>
    <w:rsid w:val="009B53E9"/>
    <w:rsid w:val="009B7EEC"/>
    <w:rsid w:val="009C4BA0"/>
    <w:rsid w:val="009D20B6"/>
    <w:rsid w:val="009D3779"/>
    <w:rsid w:val="009D6A11"/>
    <w:rsid w:val="009D6F94"/>
    <w:rsid w:val="009E60A9"/>
    <w:rsid w:val="009E6E48"/>
    <w:rsid w:val="009F2464"/>
    <w:rsid w:val="009F577E"/>
    <w:rsid w:val="009F6588"/>
    <w:rsid w:val="00A01543"/>
    <w:rsid w:val="00A03F77"/>
    <w:rsid w:val="00A04E9C"/>
    <w:rsid w:val="00A106AF"/>
    <w:rsid w:val="00A114F5"/>
    <w:rsid w:val="00A21800"/>
    <w:rsid w:val="00A247C5"/>
    <w:rsid w:val="00A341E6"/>
    <w:rsid w:val="00A35522"/>
    <w:rsid w:val="00A40525"/>
    <w:rsid w:val="00A406C8"/>
    <w:rsid w:val="00A41459"/>
    <w:rsid w:val="00A44D20"/>
    <w:rsid w:val="00A4629B"/>
    <w:rsid w:val="00A47BF5"/>
    <w:rsid w:val="00A509C8"/>
    <w:rsid w:val="00A55383"/>
    <w:rsid w:val="00A56CEF"/>
    <w:rsid w:val="00A62F27"/>
    <w:rsid w:val="00A66836"/>
    <w:rsid w:val="00A77069"/>
    <w:rsid w:val="00A8580B"/>
    <w:rsid w:val="00A87D44"/>
    <w:rsid w:val="00A915C0"/>
    <w:rsid w:val="00A921EF"/>
    <w:rsid w:val="00A9482B"/>
    <w:rsid w:val="00AA013D"/>
    <w:rsid w:val="00AA4E9F"/>
    <w:rsid w:val="00AA6DAB"/>
    <w:rsid w:val="00AB57DD"/>
    <w:rsid w:val="00AB5B96"/>
    <w:rsid w:val="00AC0745"/>
    <w:rsid w:val="00AC1260"/>
    <w:rsid w:val="00AC4650"/>
    <w:rsid w:val="00AC5B85"/>
    <w:rsid w:val="00AD2AB1"/>
    <w:rsid w:val="00AE74B3"/>
    <w:rsid w:val="00AF1D9B"/>
    <w:rsid w:val="00B01D13"/>
    <w:rsid w:val="00B12025"/>
    <w:rsid w:val="00B127FC"/>
    <w:rsid w:val="00B13D33"/>
    <w:rsid w:val="00B15883"/>
    <w:rsid w:val="00B20843"/>
    <w:rsid w:val="00B2340C"/>
    <w:rsid w:val="00B3208B"/>
    <w:rsid w:val="00B33D84"/>
    <w:rsid w:val="00B4450C"/>
    <w:rsid w:val="00B57017"/>
    <w:rsid w:val="00B57276"/>
    <w:rsid w:val="00B640CF"/>
    <w:rsid w:val="00B722DB"/>
    <w:rsid w:val="00B7478F"/>
    <w:rsid w:val="00B758D7"/>
    <w:rsid w:val="00B805DD"/>
    <w:rsid w:val="00B83409"/>
    <w:rsid w:val="00B84912"/>
    <w:rsid w:val="00BB057C"/>
    <w:rsid w:val="00BB5C6B"/>
    <w:rsid w:val="00BC5ADC"/>
    <w:rsid w:val="00BD0EC4"/>
    <w:rsid w:val="00BD3543"/>
    <w:rsid w:val="00BD7E28"/>
    <w:rsid w:val="00BE3234"/>
    <w:rsid w:val="00BE39DF"/>
    <w:rsid w:val="00BE481E"/>
    <w:rsid w:val="00C035B1"/>
    <w:rsid w:val="00C10C6D"/>
    <w:rsid w:val="00C14370"/>
    <w:rsid w:val="00C146BB"/>
    <w:rsid w:val="00C16843"/>
    <w:rsid w:val="00C17756"/>
    <w:rsid w:val="00C17C86"/>
    <w:rsid w:val="00C21A41"/>
    <w:rsid w:val="00C2345D"/>
    <w:rsid w:val="00C25E45"/>
    <w:rsid w:val="00C27D47"/>
    <w:rsid w:val="00C34FE0"/>
    <w:rsid w:val="00C40B04"/>
    <w:rsid w:val="00C479EB"/>
    <w:rsid w:val="00C51351"/>
    <w:rsid w:val="00C63236"/>
    <w:rsid w:val="00C64334"/>
    <w:rsid w:val="00C6487C"/>
    <w:rsid w:val="00C70708"/>
    <w:rsid w:val="00C757F0"/>
    <w:rsid w:val="00C87AA9"/>
    <w:rsid w:val="00CA6ED6"/>
    <w:rsid w:val="00CB3A29"/>
    <w:rsid w:val="00CB63F3"/>
    <w:rsid w:val="00CC653E"/>
    <w:rsid w:val="00CD3838"/>
    <w:rsid w:val="00CD5BCC"/>
    <w:rsid w:val="00CE21BA"/>
    <w:rsid w:val="00CE4B1B"/>
    <w:rsid w:val="00CE5810"/>
    <w:rsid w:val="00CF068E"/>
    <w:rsid w:val="00CF0ABB"/>
    <w:rsid w:val="00D02AE8"/>
    <w:rsid w:val="00D3259F"/>
    <w:rsid w:val="00D3501B"/>
    <w:rsid w:val="00D40922"/>
    <w:rsid w:val="00D43A66"/>
    <w:rsid w:val="00D447A3"/>
    <w:rsid w:val="00D45E6F"/>
    <w:rsid w:val="00D502EE"/>
    <w:rsid w:val="00D50580"/>
    <w:rsid w:val="00D50D84"/>
    <w:rsid w:val="00D52897"/>
    <w:rsid w:val="00D56721"/>
    <w:rsid w:val="00D72CBA"/>
    <w:rsid w:val="00D8203B"/>
    <w:rsid w:val="00D8252D"/>
    <w:rsid w:val="00D912D3"/>
    <w:rsid w:val="00D9155D"/>
    <w:rsid w:val="00D918AA"/>
    <w:rsid w:val="00D93BA6"/>
    <w:rsid w:val="00D94AD6"/>
    <w:rsid w:val="00D96A8B"/>
    <w:rsid w:val="00DA4434"/>
    <w:rsid w:val="00DA56FD"/>
    <w:rsid w:val="00DA6A4F"/>
    <w:rsid w:val="00DB3D4A"/>
    <w:rsid w:val="00DB4251"/>
    <w:rsid w:val="00DB570E"/>
    <w:rsid w:val="00DB716A"/>
    <w:rsid w:val="00DB76B2"/>
    <w:rsid w:val="00DC0AA7"/>
    <w:rsid w:val="00DC3554"/>
    <w:rsid w:val="00DC52AD"/>
    <w:rsid w:val="00DC5B91"/>
    <w:rsid w:val="00DC682C"/>
    <w:rsid w:val="00DD0B36"/>
    <w:rsid w:val="00DD22F7"/>
    <w:rsid w:val="00DD390B"/>
    <w:rsid w:val="00DE1605"/>
    <w:rsid w:val="00DE4A2F"/>
    <w:rsid w:val="00DF242E"/>
    <w:rsid w:val="00DF76DB"/>
    <w:rsid w:val="00E00842"/>
    <w:rsid w:val="00E01A8C"/>
    <w:rsid w:val="00E07490"/>
    <w:rsid w:val="00E219E1"/>
    <w:rsid w:val="00E332AC"/>
    <w:rsid w:val="00E4313F"/>
    <w:rsid w:val="00E43951"/>
    <w:rsid w:val="00E54778"/>
    <w:rsid w:val="00E55C20"/>
    <w:rsid w:val="00E6372D"/>
    <w:rsid w:val="00E65589"/>
    <w:rsid w:val="00E66D03"/>
    <w:rsid w:val="00E774A6"/>
    <w:rsid w:val="00E817DB"/>
    <w:rsid w:val="00E92507"/>
    <w:rsid w:val="00E94B38"/>
    <w:rsid w:val="00EA2E36"/>
    <w:rsid w:val="00EB12A3"/>
    <w:rsid w:val="00EB5EB7"/>
    <w:rsid w:val="00EB77A0"/>
    <w:rsid w:val="00EC0D7C"/>
    <w:rsid w:val="00EC1CA1"/>
    <w:rsid w:val="00EC303B"/>
    <w:rsid w:val="00EC6401"/>
    <w:rsid w:val="00EC74A4"/>
    <w:rsid w:val="00ED1231"/>
    <w:rsid w:val="00ED3CA1"/>
    <w:rsid w:val="00EE168B"/>
    <w:rsid w:val="00F047E0"/>
    <w:rsid w:val="00F063F5"/>
    <w:rsid w:val="00F100A7"/>
    <w:rsid w:val="00F127AC"/>
    <w:rsid w:val="00F1342A"/>
    <w:rsid w:val="00F143D4"/>
    <w:rsid w:val="00F24B85"/>
    <w:rsid w:val="00F34064"/>
    <w:rsid w:val="00F37311"/>
    <w:rsid w:val="00F42604"/>
    <w:rsid w:val="00F45755"/>
    <w:rsid w:val="00F46F80"/>
    <w:rsid w:val="00F47AE1"/>
    <w:rsid w:val="00F5066D"/>
    <w:rsid w:val="00F5772D"/>
    <w:rsid w:val="00F61706"/>
    <w:rsid w:val="00F64718"/>
    <w:rsid w:val="00F7302C"/>
    <w:rsid w:val="00F73667"/>
    <w:rsid w:val="00F73AFB"/>
    <w:rsid w:val="00F76F96"/>
    <w:rsid w:val="00F800EA"/>
    <w:rsid w:val="00F83B23"/>
    <w:rsid w:val="00F93D79"/>
    <w:rsid w:val="00FA752B"/>
    <w:rsid w:val="00FB34FB"/>
    <w:rsid w:val="00FB4FB4"/>
    <w:rsid w:val="00FB5E5D"/>
    <w:rsid w:val="00FB6CF3"/>
    <w:rsid w:val="00FC11DB"/>
    <w:rsid w:val="00FC1456"/>
    <w:rsid w:val="00FC205B"/>
    <w:rsid w:val="00FD16BC"/>
    <w:rsid w:val="00FD3D0D"/>
    <w:rsid w:val="00FD42A0"/>
    <w:rsid w:val="00FE0E4A"/>
    <w:rsid w:val="00FE49AD"/>
    <w:rsid w:val="00FF0223"/>
    <w:rsid w:val="00FF0606"/>
    <w:rsid w:val="00FF089C"/>
    <w:rsid w:val="00FF6572"/>
    <w:rsid w:val="00FF67F2"/>
    <w:rsid w:val="00FF6EC6"/>
    <w:rsid w:val="00FF7C29"/>
    <w:rsid w:val="01372215"/>
    <w:rsid w:val="0157294D"/>
    <w:rsid w:val="01810306"/>
    <w:rsid w:val="01CF1530"/>
    <w:rsid w:val="04071455"/>
    <w:rsid w:val="047C774D"/>
    <w:rsid w:val="04885428"/>
    <w:rsid w:val="05F436DD"/>
    <w:rsid w:val="092B5F96"/>
    <w:rsid w:val="09C55CB4"/>
    <w:rsid w:val="0E794CFD"/>
    <w:rsid w:val="0F18170A"/>
    <w:rsid w:val="1394545B"/>
    <w:rsid w:val="148B12E6"/>
    <w:rsid w:val="15594652"/>
    <w:rsid w:val="15B624A2"/>
    <w:rsid w:val="16561D64"/>
    <w:rsid w:val="1AD6560B"/>
    <w:rsid w:val="1C7B7E93"/>
    <w:rsid w:val="1F1557FF"/>
    <w:rsid w:val="1F49071C"/>
    <w:rsid w:val="1F7302A9"/>
    <w:rsid w:val="202A22FB"/>
    <w:rsid w:val="20D13BBF"/>
    <w:rsid w:val="23827050"/>
    <w:rsid w:val="23902475"/>
    <w:rsid w:val="256D0290"/>
    <w:rsid w:val="26025181"/>
    <w:rsid w:val="27940A29"/>
    <w:rsid w:val="29CD4488"/>
    <w:rsid w:val="2AB54EB7"/>
    <w:rsid w:val="2AD56A21"/>
    <w:rsid w:val="2AD96DF8"/>
    <w:rsid w:val="2B6A5B87"/>
    <w:rsid w:val="2B9E5727"/>
    <w:rsid w:val="2CB27900"/>
    <w:rsid w:val="2DA03BFD"/>
    <w:rsid w:val="2F3921A4"/>
    <w:rsid w:val="3004034E"/>
    <w:rsid w:val="300B4EF7"/>
    <w:rsid w:val="300F5CEA"/>
    <w:rsid w:val="302B38E1"/>
    <w:rsid w:val="309423B5"/>
    <w:rsid w:val="314F3970"/>
    <w:rsid w:val="31AF7D85"/>
    <w:rsid w:val="32D3237F"/>
    <w:rsid w:val="33995376"/>
    <w:rsid w:val="33AC2F08"/>
    <w:rsid w:val="34237336"/>
    <w:rsid w:val="357B6339"/>
    <w:rsid w:val="37FC4126"/>
    <w:rsid w:val="39720087"/>
    <w:rsid w:val="39DD2056"/>
    <w:rsid w:val="3A782821"/>
    <w:rsid w:val="3C213393"/>
    <w:rsid w:val="3CA11A68"/>
    <w:rsid w:val="3F19380F"/>
    <w:rsid w:val="3F4E170B"/>
    <w:rsid w:val="3FB471C3"/>
    <w:rsid w:val="40ED0AAF"/>
    <w:rsid w:val="41441021"/>
    <w:rsid w:val="42C837EF"/>
    <w:rsid w:val="42ED2DEC"/>
    <w:rsid w:val="43574CFA"/>
    <w:rsid w:val="45337C05"/>
    <w:rsid w:val="45C90E68"/>
    <w:rsid w:val="471747E6"/>
    <w:rsid w:val="47486A40"/>
    <w:rsid w:val="4779309D"/>
    <w:rsid w:val="477F61D9"/>
    <w:rsid w:val="494E68AF"/>
    <w:rsid w:val="49F14158"/>
    <w:rsid w:val="4A692C6D"/>
    <w:rsid w:val="4B490B0C"/>
    <w:rsid w:val="4BE82927"/>
    <w:rsid w:val="4DA35082"/>
    <w:rsid w:val="508D626C"/>
    <w:rsid w:val="509B4084"/>
    <w:rsid w:val="51CD2963"/>
    <w:rsid w:val="53206AC2"/>
    <w:rsid w:val="538B7060"/>
    <w:rsid w:val="53BB5690"/>
    <w:rsid w:val="56593E5C"/>
    <w:rsid w:val="5682716F"/>
    <w:rsid w:val="591A3FB4"/>
    <w:rsid w:val="59D8165C"/>
    <w:rsid w:val="59F20A86"/>
    <w:rsid w:val="5BFDB473"/>
    <w:rsid w:val="5CEA6009"/>
    <w:rsid w:val="5D234847"/>
    <w:rsid w:val="5F241C7D"/>
    <w:rsid w:val="5F6B5B8F"/>
    <w:rsid w:val="5F85487D"/>
    <w:rsid w:val="5FB45287"/>
    <w:rsid w:val="62CC57E5"/>
    <w:rsid w:val="65566374"/>
    <w:rsid w:val="65973AF9"/>
    <w:rsid w:val="662A072E"/>
    <w:rsid w:val="66AA61BD"/>
    <w:rsid w:val="6B4B0C6D"/>
    <w:rsid w:val="6C204CE7"/>
    <w:rsid w:val="6C305B70"/>
    <w:rsid w:val="6F4E0B8F"/>
    <w:rsid w:val="6FCF38F2"/>
    <w:rsid w:val="72111FA0"/>
    <w:rsid w:val="740D6D4E"/>
    <w:rsid w:val="753A6E5F"/>
    <w:rsid w:val="754C50C8"/>
    <w:rsid w:val="768A04CE"/>
    <w:rsid w:val="77BE11B2"/>
    <w:rsid w:val="77BF7FDF"/>
    <w:rsid w:val="77E46676"/>
    <w:rsid w:val="77FC25C3"/>
    <w:rsid w:val="78CF5D55"/>
    <w:rsid w:val="7B52E0B2"/>
    <w:rsid w:val="7C00649C"/>
    <w:rsid w:val="7C88297F"/>
    <w:rsid w:val="7D363A0B"/>
    <w:rsid w:val="7EB52DD5"/>
    <w:rsid w:val="7FDD27CC"/>
    <w:rsid w:val="BDFEF6ED"/>
    <w:rsid w:val="E1A1A23A"/>
    <w:rsid w:val="E76490FC"/>
    <w:rsid w:val="E8FDA17A"/>
    <w:rsid w:val="ED7C592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paragraph" w:styleId="3">
    <w:name w:val="heading 2"/>
    <w:basedOn w:val="1"/>
    <w:next w:val="1"/>
    <w:link w:val="29"/>
    <w:qFormat/>
    <w:uiPriority w:val="99"/>
    <w:pPr>
      <w:spacing w:line="360" w:lineRule="auto"/>
      <w:ind w:firstLine="720"/>
      <w:textAlignment w:val="baseline"/>
      <w:outlineLvl w:val="1"/>
    </w:pPr>
    <w:rPr>
      <w:rFonts w:ascii="微软雅黑" w:hAnsi="微软雅黑" w:eastAsia="微软雅黑"/>
      <w:b/>
      <w:bCs/>
      <w:color w:val="000000"/>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1"/>
    <w:qFormat/>
    <w:uiPriority w:val="0"/>
    <w:pPr>
      <w:spacing w:after="120"/>
      <w:ind w:left="420" w:leftChars="200"/>
    </w:pPr>
  </w:style>
  <w:style w:type="paragraph" w:styleId="4">
    <w:name w:val="Document Map"/>
    <w:basedOn w:val="1"/>
    <w:semiHidden/>
    <w:qFormat/>
    <w:uiPriority w:val="0"/>
    <w:pPr>
      <w:shd w:val="clear" w:color="auto" w:fill="000080"/>
    </w:pPr>
  </w:style>
  <w:style w:type="paragraph" w:styleId="5">
    <w:name w:val="toa heading"/>
    <w:next w:val="1"/>
    <w:unhideWhenUsed/>
    <w:qFormat/>
    <w:uiPriority w:val="99"/>
    <w:pPr>
      <w:widowControl w:val="0"/>
      <w:spacing w:before="120"/>
      <w:jc w:val="both"/>
    </w:pPr>
    <w:rPr>
      <w:rFonts w:ascii="Calibri Light" w:hAnsi="Calibri Light" w:eastAsia="宋体" w:cs="Times New Roman"/>
      <w:kern w:val="2"/>
      <w:sz w:val="24"/>
      <w:szCs w:val="24"/>
      <w:lang w:val="en-US" w:eastAsia="zh-CN" w:bidi="ar-SA"/>
    </w:rPr>
  </w:style>
  <w:style w:type="paragraph" w:styleId="6">
    <w:name w:val="Body Text"/>
    <w:basedOn w:val="1"/>
    <w:qFormat/>
    <w:uiPriority w:val="0"/>
    <w:pPr>
      <w:spacing w:after="120"/>
    </w:pPr>
  </w:style>
  <w:style w:type="paragraph" w:styleId="7">
    <w:name w:val="Body Text Indent 2"/>
    <w:basedOn w:val="1"/>
    <w:qFormat/>
    <w:uiPriority w:val="99"/>
    <w:pPr>
      <w:overflowPunct w:val="0"/>
      <w:spacing w:line="360" w:lineRule="auto"/>
      <w:ind w:firstLine="600"/>
    </w:pPr>
    <w:rPr>
      <w:sz w:val="24"/>
    </w:rPr>
  </w:style>
  <w:style w:type="paragraph" w:styleId="8">
    <w:name w:val="Balloon Text"/>
    <w:basedOn w:val="1"/>
    <w:semiHidden/>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List"/>
    <w:unhideWhenUsed/>
    <w:qFormat/>
    <w:uiPriority w:val="99"/>
    <w:pPr>
      <w:widowControl w:val="0"/>
      <w:spacing w:line="365" w:lineRule="atLeast"/>
      <w:ind w:left="420" w:hanging="420" w:firstLineChars="200"/>
      <w:jc w:val="both"/>
      <w:textAlignment w:val="bottom"/>
    </w:pPr>
    <w:rPr>
      <w:rFonts w:ascii="Calibri" w:hAnsi="Calibri" w:eastAsia="方正仿宋_GBK" w:cs="Times New Roman"/>
      <w:lang w:val="en-US" w:eastAsia="zh-CN" w:bidi="ar-SA"/>
    </w:rPr>
  </w:style>
  <w:style w:type="paragraph" w:styleId="12">
    <w:name w:val="footnote text"/>
    <w:basedOn w:val="1"/>
    <w:qFormat/>
    <w:uiPriority w:val="0"/>
    <w:pPr>
      <w:overflowPunct w:val="0"/>
      <w:adjustRightInd w:val="0"/>
      <w:snapToGrid w:val="0"/>
    </w:pPr>
    <w:rPr>
      <w:rFonts w:ascii="楷体_GB2312" w:hAnsi="楷体_GB2312" w:eastAsia="楷体_GB2312" w:cs="楷体_GB2312"/>
      <w:snapToGrid w:val="0"/>
      <w:kern w:val="0"/>
      <w:sz w:val="28"/>
      <w:szCs w:val="28"/>
    </w:rPr>
  </w:style>
  <w:style w:type="paragraph" w:styleId="13">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paragraph" w:styleId="14">
    <w:name w:val="Body Text First Indent"/>
    <w:basedOn w:val="6"/>
    <w:qFormat/>
    <w:uiPriority w:val="0"/>
    <w:pPr>
      <w:autoSpaceDE w:val="0"/>
      <w:autoSpaceDN w:val="0"/>
      <w:adjustRightInd w:val="0"/>
      <w:snapToGrid w:val="0"/>
      <w:spacing w:after="0" w:line="600" w:lineRule="atLeast"/>
      <w:ind w:firstLine="641"/>
    </w:pPr>
    <w:rPr>
      <w:rFonts w:ascii="仿宋_GB2312" w:eastAsia="仿宋_GB2312"/>
      <w:kern w:val="0"/>
      <w:szCs w:val="20"/>
    </w:rPr>
  </w:style>
  <w:style w:type="paragraph" w:styleId="15">
    <w:name w:val="Body Text First Indent 2"/>
    <w:basedOn w:val="2"/>
    <w:qFormat/>
    <w:uiPriority w:val="0"/>
    <w:pPr>
      <w:ind w:firstLine="420" w:firstLineChars="200"/>
    </w:pPr>
  </w:style>
  <w:style w:type="character" w:styleId="18">
    <w:name w:val="Strong"/>
    <w:basedOn w:val="17"/>
    <w:qFormat/>
    <w:uiPriority w:val="0"/>
    <w:rPr>
      <w:b/>
    </w:rPr>
  </w:style>
  <w:style w:type="character" w:styleId="19">
    <w:name w:val="page number"/>
    <w:basedOn w:val="17"/>
    <w:qFormat/>
    <w:uiPriority w:val="0"/>
  </w:style>
  <w:style w:type="character" w:styleId="20">
    <w:name w:val="footnote reference"/>
    <w:basedOn w:val="17"/>
    <w:qFormat/>
    <w:uiPriority w:val="0"/>
    <w:rPr>
      <w:vertAlign w:val="superscript"/>
    </w:rPr>
  </w:style>
  <w:style w:type="paragraph" w:customStyle="1" w:styleId="21">
    <w:name w:val="段"/>
    <w:next w:val="1"/>
    <w:qFormat/>
    <w:uiPriority w:val="99"/>
    <w:pPr>
      <w:autoSpaceDE w:val="0"/>
      <w:autoSpaceDN w:val="0"/>
      <w:jc w:val="both"/>
    </w:pPr>
    <w:rPr>
      <w:rFonts w:ascii="宋体" w:hAnsi="Calibri" w:eastAsia="宋体" w:cs="宋体"/>
      <w:sz w:val="21"/>
      <w:szCs w:val="21"/>
      <w:lang w:val="en-US" w:eastAsia="zh-CN" w:bidi="ar-SA"/>
    </w:rPr>
  </w:style>
  <w:style w:type="paragraph" w:customStyle="1" w:styleId="22">
    <w:name w:val="默认段落字体 Para Char Char Char Char Char Char Char Char Char Char Char Char Char Char Char1 Char Char Char Char"/>
    <w:basedOn w:val="4"/>
    <w:qFormat/>
    <w:uiPriority w:val="0"/>
    <w:pPr>
      <w:adjustRightInd w:val="0"/>
      <w:spacing w:line="436" w:lineRule="exact"/>
      <w:ind w:left="357"/>
      <w:jc w:val="left"/>
      <w:outlineLvl w:val="3"/>
    </w:pPr>
    <w:rPr>
      <w:rFonts w:ascii="Tahoma" w:hAnsi="Tahoma"/>
      <w:b/>
      <w:sz w:val="24"/>
    </w:rPr>
  </w:style>
  <w:style w:type="character" w:customStyle="1" w:styleId="23">
    <w:name w:val="style61"/>
    <w:basedOn w:val="17"/>
    <w:qFormat/>
    <w:uiPriority w:val="0"/>
    <w:rPr>
      <w:sz w:val="18"/>
      <w:szCs w:val="18"/>
    </w:rPr>
  </w:style>
  <w:style w:type="paragraph" w:customStyle="1" w:styleId="24">
    <w:name w:val="contentarticle"/>
    <w:basedOn w:val="1"/>
    <w:qFormat/>
    <w:uiPriority w:val="0"/>
    <w:pPr>
      <w:widowControl/>
      <w:spacing w:before="100" w:beforeAutospacing="1" w:after="100" w:afterAutospacing="1"/>
      <w:jc w:val="left"/>
    </w:pPr>
    <w:rPr>
      <w:rFonts w:ascii="宋体" w:hAnsi="宋体" w:cs="宋体"/>
      <w:kern w:val="0"/>
      <w:szCs w:val="21"/>
    </w:rPr>
  </w:style>
  <w:style w:type="paragraph" w:customStyle="1" w:styleId="25">
    <w:name w:val="5 Char Char Char Char"/>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6">
    <w:name w:val="样式312"/>
    <w:link w:val="27"/>
    <w:qFormat/>
    <w:uiPriority w:val="0"/>
    <w:pPr>
      <w:spacing w:line="560" w:lineRule="exact"/>
      <w:ind w:firstLine="640" w:firstLineChars="200"/>
    </w:pPr>
    <w:rPr>
      <w:rFonts w:ascii="Times New Roman" w:hAnsi="Times New Roman" w:eastAsia="仿宋_GB2312" w:cs="Times New Roman"/>
      <w:sz w:val="32"/>
      <w:szCs w:val="24"/>
      <w:lang w:val="en-US" w:eastAsia="zh-CN" w:bidi="ar-SA"/>
    </w:rPr>
  </w:style>
  <w:style w:type="character" w:customStyle="1" w:styleId="27">
    <w:name w:val="样式312 Char"/>
    <w:link w:val="26"/>
    <w:qFormat/>
    <w:uiPriority w:val="0"/>
    <w:rPr>
      <w:rFonts w:eastAsia="仿宋_GB2312"/>
      <w:sz w:val="32"/>
      <w:szCs w:val="24"/>
    </w:rPr>
  </w:style>
  <w:style w:type="paragraph" w:customStyle="1" w:styleId="28">
    <w:name w:val="_Style 13"/>
    <w:qFormat/>
    <w:uiPriority w:val="0"/>
    <w:pPr>
      <w:spacing w:before="120" w:after="120" w:line="288" w:lineRule="auto"/>
    </w:pPr>
    <w:rPr>
      <w:rFonts w:ascii="Arial" w:hAnsi="Arial" w:eastAsia="等线" w:cs="Arial"/>
      <w:sz w:val="22"/>
      <w:szCs w:val="22"/>
      <w:lang w:val="en-US" w:eastAsia="zh-CN" w:bidi="ar-SA"/>
    </w:rPr>
  </w:style>
  <w:style w:type="character" w:customStyle="1" w:styleId="29">
    <w:name w:val="标题 2 Char"/>
    <w:basedOn w:val="17"/>
    <w:link w:val="3"/>
    <w:qFormat/>
    <w:uiPriority w:val="99"/>
    <w:rPr>
      <w:rFonts w:ascii="微软雅黑" w:hAnsi="微软雅黑" w:eastAsia="微软雅黑"/>
      <w:b/>
      <w:bCs/>
      <w:color w:val="000000"/>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12</Pages>
  <Words>899</Words>
  <Characters>916</Characters>
  <Lines>7</Lines>
  <Paragraphs>2</Paragraphs>
  <TotalTime>89</TotalTime>
  <ScaleCrop>false</ScaleCrop>
  <LinksUpToDate>false</LinksUpToDate>
  <CharactersWithSpaces>962</CharactersWithSpaces>
  <Application>WPS Office_12.8.2.19829_F1E327BC-269C-435d-A152-05C5408002CA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2025-07-02T01:33:00Z</dcterms:created>
  <dc:creator>pc</dc:creator>
  <cp:lastModifiedBy>孟</cp:lastModifiedBy>
  <cp:lastPrinted>2026-02-04T09:33:00Z</cp:lastPrinted>
  <dcterms:modified xsi:type="dcterms:W3CDTF">2026-02-24T14:01:54Z</dcterms:modified>
  <dc:title>关于《青岛市建筑废弃物资源化综合利用管理条例（草案）》的说明</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2052-12.8.2.19829</vt:lpwstr>
  </property>
  <property fmtid="{D5CDD505-2E9C-101B-9397-08002B2CF9AE}" pid="3" name="ICV">
    <vt:lpwstr>296D7358D504480B946D856D05148AED_13</vt:lpwstr>
  </property>
  <property fmtid="{D5CDD505-2E9C-101B-9397-08002B2CF9AE}" pid="4" name="KSOTemplateDocerSaveRecord">
    <vt:lpwstr>eyJoZGlkIjoiZmMzZjIwZjYzOWE2ODFkNGU3M2VhMDRlOTA5ZTJlZTQiLCJ1c2VySWQiOiIzMjE2NDQwNTkifQ==</vt:lpwstr>
  </property>
</Properties>
</file>