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306" w:rsidRDefault="00C05306">
      <w:pPr>
        <w:jc w:val="center"/>
        <w:rPr>
          <w:rFonts w:ascii="宋体" w:eastAsia="宋体" w:hAnsi="宋体" w:cs="宋体"/>
          <w:sz w:val="44"/>
          <w:szCs w:val="44"/>
        </w:rPr>
      </w:pPr>
    </w:p>
    <w:p w:rsidR="00C05306" w:rsidRDefault="00C05306">
      <w:pPr>
        <w:jc w:val="center"/>
        <w:rPr>
          <w:rFonts w:ascii="宋体" w:eastAsia="宋体" w:hAnsi="宋体" w:cs="宋体"/>
          <w:sz w:val="44"/>
          <w:szCs w:val="44"/>
        </w:rPr>
      </w:pPr>
    </w:p>
    <w:p w:rsidR="00C05306" w:rsidRDefault="002E5DCA">
      <w:pPr>
        <w:jc w:val="center"/>
        <w:rPr>
          <w:rFonts w:ascii="宋体" w:eastAsia="宋体" w:hAnsi="宋体" w:cs="宋体"/>
          <w:sz w:val="44"/>
          <w:szCs w:val="44"/>
        </w:rPr>
      </w:pPr>
      <w:r>
        <w:rPr>
          <w:rFonts w:ascii="宋体" w:eastAsia="宋体" w:hAnsi="宋体" w:cs="宋体" w:hint="eastAsia"/>
          <w:sz w:val="44"/>
          <w:szCs w:val="44"/>
        </w:rPr>
        <w:t>青岛市</w:t>
      </w:r>
      <w:r w:rsidRPr="002E5DCA">
        <w:rPr>
          <w:rFonts w:ascii="宋体" w:eastAsia="宋体" w:hAnsi="宋体" w:cs="宋体" w:hint="eastAsia"/>
          <w:sz w:val="44"/>
          <w:szCs w:val="44"/>
        </w:rPr>
        <w:t>交通工程质量和安全生产监督管理办法</w:t>
      </w:r>
      <w:r>
        <w:rPr>
          <w:rFonts w:ascii="宋体" w:eastAsia="宋体" w:hAnsi="宋体" w:cs="宋体" w:hint="eastAsia"/>
          <w:sz w:val="44"/>
          <w:szCs w:val="44"/>
        </w:rPr>
        <w:t xml:space="preserve"> </w:t>
      </w:r>
    </w:p>
    <w:p w:rsidR="00C05306" w:rsidRDefault="002E5DCA">
      <w:pPr>
        <w:ind w:firstLineChars="200" w:firstLine="640"/>
        <w:rPr>
          <w:rFonts w:ascii="楷体" w:eastAsia="楷体" w:hAnsi="楷体" w:cs="楷体"/>
          <w:sz w:val="32"/>
          <w:szCs w:val="32"/>
        </w:rPr>
      </w:pPr>
      <w:r>
        <w:rPr>
          <w:rFonts w:ascii="楷体" w:eastAsia="楷体" w:hAnsi="楷体" w:cs="楷体" w:hint="eastAsia"/>
          <w:sz w:val="32"/>
          <w:szCs w:val="32"/>
        </w:rPr>
        <w:t>（</w:t>
      </w:r>
      <w:r w:rsidRPr="002E5DCA">
        <w:rPr>
          <w:rFonts w:ascii="楷体" w:eastAsia="楷体" w:hAnsi="楷体" w:cs="楷体" w:hint="eastAsia"/>
          <w:sz w:val="32"/>
          <w:szCs w:val="32"/>
        </w:rPr>
        <w:t>2011年6月21日青岛市人民政府令第213号公布  根据2018年2月7日《青岛市人民政府关于修改&lt;青岛市平时使用人防工程管理和收费的实施办法&gt;等27件政府规章的决定》修订</w:t>
      </w:r>
      <w:r>
        <w:rPr>
          <w:rFonts w:ascii="楷体" w:eastAsia="楷体" w:hAnsi="楷体" w:cs="楷体" w:hint="eastAsia"/>
          <w:sz w:val="32"/>
          <w:szCs w:val="32"/>
        </w:rPr>
        <w:t>）</w:t>
      </w:r>
    </w:p>
    <w:p w:rsidR="00C05306" w:rsidRDefault="00C05306">
      <w:pPr>
        <w:ind w:firstLineChars="200" w:firstLine="640"/>
        <w:rPr>
          <w:rFonts w:ascii="仿宋" w:eastAsia="黑体" w:hAnsi="仿宋" w:cs="仿宋"/>
          <w:sz w:val="32"/>
          <w:szCs w:val="32"/>
        </w:rPr>
      </w:pPr>
    </w:p>
    <w:p w:rsidR="002E5DCA" w:rsidRDefault="002E5DCA" w:rsidP="002E5DCA">
      <w:pPr>
        <w:spacing w:line="560" w:lineRule="exact"/>
        <w:contextualSpacing/>
        <w:jc w:val="center"/>
        <w:rPr>
          <w:rFonts w:ascii="黑体" w:eastAsia="黑体" w:hAnsi="仿宋" w:cs="仿宋"/>
          <w:color w:val="000000"/>
          <w:sz w:val="32"/>
          <w:szCs w:val="32"/>
        </w:rPr>
      </w:pPr>
      <w:r>
        <w:rPr>
          <w:rFonts w:ascii="黑体" w:eastAsia="黑体" w:hAnsi="仿宋" w:cs="仿宋" w:hint="eastAsia"/>
          <w:color w:val="000000"/>
          <w:sz w:val="32"/>
          <w:szCs w:val="32"/>
        </w:rPr>
        <w:t>第一章　总则</w:t>
      </w:r>
    </w:p>
    <w:p w:rsidR="002E5DCA" w:rsidRDefault="002E5DCA" w:rsidP="002E5DCA">
      <w:pPr>
        <w:spacing w:line="560" w:lineRule="exact"/>
        <w:ind w:firstLine="645"/>
        <w:contextualSpacing/>
        <w:jc w:val="center"/>
        <w:rPr>
          <w:rFonts w:ascii="黑体" w:eastAsia="黑体" w:hAnsi="仿宋" w:cs="仿宋" w:hint="eastAsia"/>
          <w:color w:val="000000"/>
          <w:sz w:val="32"/>
          <w:szCs w:val="32"/>
        </w:rPr>
      </w:pP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第一条</w:t>
      </w:r>
      <w:r>
        <w:rPr>
          <w:rFonts w:ascii="仿宋_GB2312" w:eastAsia="仿宋_GB2312" w:hAnsi="仿宋" w:cs="仿宋" w:hint="eastAsia"/>
          <w:color w:val="000000"/>
          <w:sz w:val="32"/>
          <w:szCs w:val="32"/>
        </w:rPr>
        <w:t xml:space="preserve">　为加强交通工程质量和安全生产监督管理，保证交通工程质量，防止和减少生产安全事故，保护人民群众生命和财产安全，根据《</w:t>
      </w:r>
      <w:hyperlink r:id="rId8" w:tgtFrame="_blank" w:history="1">
        <w:r>
          <w:rPr>
            <w:rFonts w:ascii="仿宋_GB2312" w:eastAsia="仿宋_GB2312" w:hAnsi="仿宋" w:cs="仿宋" w:hint="eastAsia"/>
            <w:color w:val="000000"/>
            <w:sz w:val="32"/>
            <w:szCs w:val="32"/>
          </w:rPr>
          <w:t>中华人民共和国公路法</w:t>
        </w:r>
      </w:hyperlink>
      <w:r>
        <w:rPr>
          <w:rFonts w:ascii="仿宋_GB2312" w:eastAsia="仿宋_GB2312" w:hAnsi="仿宋" w:cs="仿宋" w:hint="eastAsia"/>
          <w:color w:val="000000"/>
          <w:sz w:val="32"/>
          <w:szCs w:val="32"/>
        </w:rPr>
        <w:t>》、《</w:t>
      </w:r>
      <w:hyperlink r:id="rId9" w:tgtFrame="_blank" w:history="1">
        <w:r>
          <w:rPr>
            <w:rFonts w:ascii="仿宋_GB2312" w:eastAsia="仿宋_GB2312" w:hAnsi="仿宋" w:cs="仿宋" w:hint="eastAsia"/>
            <w:color w:val="000000"/>
            <w:sz w:val="32"/>
            <w:szCs w:val="32"/>
          </w:rPr>
          <w:t>中华人民共和国安全生产法</w:t>
        </w:r>
      </w:hyperlink>
      <w:r>
        <w:rPr>
          <w:rFonts w:ascii="仿宋_GB2312" w:eastAsia="仿宋_GB2312" w:hAnsi="仿宋" w:cs="仿宋" w:hint="eastAsia"/>
          <w:color w:val="000000"/>
          <w:sz w:val="32"/>
          <w:szCs w:val="32"/>
        </w:rPr>
        <w:t>》和国务院《</w:t>
      </w:r>
      <w:hyperlink r:id="rId10" w:tgtFrame="_blank" w:history="1">
        <w:r>
          <w:rPr>
            <w:rFonts w:ascii="仿宋_GB2312" w:eastAsia="仿宋_GB2312" w:hAnsi="仿宋" w:cs="仿宋" w:hint="eastAsia"/>
            <w:color w:val="000000"/>
            <w:sz w:val="32"/>
            <w:szCs w:val="32"/>
          </w:rPr>
          <w:t>建设工程质量管理条例</w:t>
        </w:r>
      </w:hyperlink>
      <w:r>
        <w:rPr>
          <w:rFonts w:ascii="仿宋_GB2312" w:eastAsia="仿宋_GB2312" w:hAnsi="仿宋" w:cs="仿宋" w:hint="eastAsia"/>
          <w:color w:val="000000"/>
          <w:sz w:val="32"/>
          <w:szCs w:val="32"/>
        </w:rPr>
        <w:t>》、《</w:t>
      </w:r>
      <w:hyperlink r:id="rId11" w:tgtFrame="_blank" w:history="1">
        <w:r>
          <w:rPr>
            <w:rFonts w:ascii="仿宋_GB2312" w:eastAsia="仿宋_GB2312" w:hAnsi="仿宋" w:cs="仿宋" w:hint="eastAsia"/>
            <w:color w:val="000000"/>
            <w:sz w:val="32"/>
            <w:szCs w:val="32"/>
          </w:rPr>
          <w:t>建设工程安全生产管理条例</w:t>
        </w:r>
      </w:hyperlink>
      <w:r>
        <w:rPr>
          <w:rFonts w:ascii="仿宋_GB2312" w:eastAsia="仿宋_GB2312" w:hAnsi="仿宋" w:cs="仿宋" w:hint="eastAsia"/>
          <w:color w:val="000000"/>
          <w:sz w:val="32"/>
          <w:szCs w:val="32"/>
        </w:rPr>
        <w:t>》等有关法律法规的规定，结合本市实际，制定本办法。</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第二条</w:t>
      </w:r>
      <w:r>
        <w:rPr>
          <w:rFonts w:ascii="仿宋_GB2312" w:eastAsia="仿宋_GB2312" w:hAnsi="仿宋" w:cs="仿宋" w:hint="eastAsia"/>
          <w:color w:val="000000"/>
          <w:sz w:val="32"/>
          <w:szCs w:val="32"/>
        </w:rPr>
        <w:t xml:space="preserve">　本办法适用于本市行政区域内交通工程的建设质量和安全生产监督管理。</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第三条</w:t>
      </w:r>
      <w:r>
        <w:rPr>
          <w:rFonts w:ascii="仿宋_GB2312" w:eastAsia="仿宋_GB2312" w:hAnsi="仿宋" w:cs="仿宋" w:hint="eastAsia"/>
          <w:color w:val="000000"/>
          <w:sz w:val="32"/>
          <w:szCs w:val="32"/>
        </w:rPr>
        <w:t xml:space="preserve">　本办法所称交通工程，是指新建、改建、扩建、养护大中修、抢修的公路工程和水运工程及相应附属工程。</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本办法所称从业单位，是指从事交通工程建设、勘察、设计、施工、工程监理、设计文件咨询审查、试验检测、施工监控以及</w:t>
      </w:r>
      <w:r>
        <w:rPr>
          <w:rFonts w:ascii="仿宋_GB2312" w:eastAsia="仿宋_GB2312" w:hAnsi="仿宋" w:cs="仿宋" w:hint="eastAsia"/>
          <w:color w:val="000000"/>
          <w:sz w:val="32"/>
          <w:szCs w:val="32"/>
        </w:rPr>
        <w:lastRenderedPageBreak/>
        <w:t>交通工程相关设备、材料供应的单位。</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第四条</w:t>
      </w:r>
      <w:r>
        <w:rPr>
          <w:rFonts w:ascii="仿宋_GB2312" w:eastAsia="仿宋_GB2312" w:hAnsi="仿宋" w:cs="仿宋" w:hint="eastAsia"/>
          <w:color w:val="000000"/>
          <w:sz w:val="32"/>
          <w:szCs w:val="32"/>
        </w:rPr>
        <w:t xml:space="preserve">　市交通运输行政管理部门主管全市交通工程质量和安全生产监督管理工作。区（市）交通运输行政管理部门按照规定权限负责本辖区内交通工程质量和安全生产监督管理工作。</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交通工程质量安全监督机构（以下简称质监机构）受交通运输行政管理部门的委托，具体实施交通工程质量和安全生产监督管理工作。</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第五条</w:t>
      </w:r>
      <w:r>
        <w:rPr>
          <w:rFonts w:ascii="仿宋_GB2312" w:eastAsia="仿宋_GB2312" w:hAnsi="仿宋" w:cs="仿宋" w:hint="eastAsia"/>
          <w:color w:val="000000"/>
          <w:sz w:val="32"/>
          <w:szCs w:val="32"/>
        </w:rPr>
        <w:t xml:space="preserve">　交通运输行政管理部门应当建立健全交通工程质量和安全生产监督管理工作制度，建设交通工程质量和安全生产监督管理信息系统，提高交通工程质量和安全生产监督管理水平。</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第六条</w:t>
      </w:r>
      <w:r>
        <w:rPr>
          <w:rFonts w:ascii="仿宋_GB2312" w:eastAsia="仿宋_GB2312" w:hAnsi="仿宋" w:cs="仿宋" w:hint="eastAsia"/>
          <w:color w:val="000000"/>
          <w:sz w:val="32"/>
          <w:szCs w:val="32"/>
        </w:rPr>
        <w:t xml:space="preserve">　从业单位应当按照有关法律、法规、规章的规定，接受和配合交通运输行政管理部门和</w:t>
      </w:r>
      <w:proofErr w:type="gramStart"/>
      <w:r>
        <w:rPr>
          <w:rFonts w:ascii="仿宋_GB2312" w:eastAsia="仿宋_GB2312" w:hAnsi="仿宋" w:cs="仿宋" w:hint="eastAsia"/>
          <w:color w:val="000000"/>
          <w:sz w:val="32"/>
          <w:szCs w:val="32"/>
        </w:rPr>
        <w:t>质监</w:t>
      </w:r>
      <w:proofErr w:type="gramEnd"/>
      <w:r>
        <w:rPr>
          <w:rFonts w:ascii="仿宋_GB2312" w:eastAsia="仿宋_GB2312" w:hAnsi="仿宋" w:cs="仿宋" w:hint="eastAsia"/>
          <w:color w:val="000000"/>
          <w:sz w:val="32"/>
          <w:szCs w:val="32"/>
        </w:rPr>
        <w:t>机构依法实施的监督检查，不得阻碍或者拒绝。</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p>
    <w:p w:rsidR="002E5DCA" w:rsidRDefault="002E5DCA" w:rsidP="002E5DCA">
      <w:pPr>
        <w:numPr>
          <w:ilvl w:val="0"/>
          <w:numId w:val="1"/>
        </w:numPr>
        <w:spacing w:line="560" w:lineRule="exact"/>
        <w:contextualSpacing/>
        <w:jc w:val="center"/>
        <w:rPr>
          <w:rFonts w:ascii="黑体" w:eastAsia="黑体" w:hAnsi="仿宋" w:cs="仿宋" w:hint="eastAsia"/>
          <w:color w:val="000000"/>
          <w:sz w:val="32"/>
          <w:szCs w:val="32"/>
        </w:rPr>
      </w:pPr>
      <w:bookmarkStart w:id="0" w:name="2"/>
      <w:bookmarkStart w:id="1" w:name="sub7148018_2"/>
      <w:bookmarkStart w:id="2" w:name="第二章_质量管理"/>
      <w:bookmarkEnd w:id="0"/>
      <w:bookmarkEnd w:id="1"/>
      <w:bookmarkEnd w:id="2"/>
      <w:r>
        <w:rPr>
          <w:rFonts w:ascii="黑体" w:eastAsia="黑体" w:hAnsi="仿宋" w:cs="仿宋" w:hint="eastAsia"/>
          <w:color w:val="000000"/>
          <w:sz w:val="32"/>
          <w:szCs w:val="32"/>
        </w:rPr>
        <w:t>质量管理</w:t>
      </w:r>
    </w:p>
    <w:p w:rsidR="002E5DCA" w:rsidRDefault="002E5DCA" w:rsidP="002E5DCA">
      <w:pPr>
        <w:spacing w:line="560" w:lineRule="exact"/>
        <w:ind w:left="645"/>
        <w:contextualSpacing/>
        <w:jc w:val="center"/>
        <w:rPr>
          <w:rFonts w:ascii="仿宋_GB2312" w:eastAsia="仿宋_GB2312" w:hAnsi="仿宋" w:cs="仿宋" w:hint="eastAsia"/>
          <w:color w:val="000000"/>
          <w:sz w:val="32"/>
          <w:szCs w:val="32"/>
        </w:rPr>
      </w:pP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第七条</w:t>
      </w:r>
      <w:r>
        <w:rPr>
          <w:rFonts w:ascii="仿宋_GB2312" w:eastAsia="仿宋_GB2312" w:hAnsi="仿宋" w:cs="仿宋" w:hint="eastAsia"/>
          <w:color w:val="000000"/>
          <w:sz w:val="32"/>
          <w:szCs w:val="32"/>
        </w:rPr>
        <w:t xml:space="preserve">　建设单位应当按照基本建设程序将交通工程发包给具有相应资质等级的勘察、设计、施工、工程监理、试验检测、施工监控等单位。</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新建一级以上等级的公路工程，建设单位应当委托具有相应资质等级的单位咨询审查设计文件，取得设计文件咨询审查意</w:t>
      </w:r>
      <w:r>
        <w:rPr>
          <w:rFonts w:ascii="仿宋_GB2312" w:eastAsia="仿宋_GB2312" w:hAnsi="仿宋" w:cs="仿宋" w:hint="eastAsia"/>
          <w:color w:val="000000"/>
          <w:sz w:val="32"/>
          <w:szCs w:val="32"/>
        </w:rPr>
        <w:lastRenderedPageBreak/>
        <w:t>见。其他新建交通工程，建设单位可以根据需要委托设计文件咨询审查。</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第八条</w:t>
      </w:r>
      <w:r>
        <w:rPr>
          <w:rFonts w:ascii="仿宋_GB2312" w:eastAsia="仿宋_GB2312" w:hAnsi="仿宋" w:cs="仿宋" w:hint="eastAsia"/>
          <w:color w:val="000000"/>
          <w:sz w:val="32"/>
          <w:szCs w:val="32"/>
        </w:rPr>
        <w:t xml:space="preserve">　设计单位应当建立健全设计质量保证体系，加强对交通工程设计全过程的质量控制，根据用地环境、水文地质、施工条件等方面进行多方案比较，选择最佳设计方案。</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对于桥梁、隧道、港口工程以及采用新结构、新材料、新工艺、新技术或新设备的交通工程，设计单位应当在出具的设计文件中对施工组织和施工监控内容提出具体意见与要求。</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第九条</w:t>
      </w:r>
      <w:r>
        <w:rPr>
          <w:rFonts w:ascii="仿宋_GB2312" w:eastAsia="仿宋_GB2312" w:hAnsi="仿宋" w:cs="仿宋" w:hint="eastAsia"/>
          <w:color w:val="000000"/>
          <w:sz w:val="32"/>
          <w:szCs w:val="32"/>
        </w:rPr>
        <w:t xml:space="preserve">　设计文件咨询审查单位应当坚持节能减排、合理控制造价、确保安全的原则，按照有关规范和标准对设计单位的设计文件进行审查，并提出优化意见。</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第十条</w:t>
      </w:r>
      <w:r>
        <w:rPr>
          <w:rFonts w:ascii="仿宋_GB2312" w:eastAsia="仿宋_GB2312" w:hAnsi="仿宋" w:cs="仿宋" w:hint="eastAsia"/>
          <w:color w:val="000000"/>
          <w:sz w:val="32"/>
          <w:szCs w:val="32"/>
        </w:rPr>
        <w:t xml:space="preserve">　工程监理单位应当按照有关技术标准、设计文件和监理合同的要求，根据交通工程特点制定工程监理细则，选派具有相应专业知识和管理经验的监理人员实施现场监理。</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第十一条</w:t>
      </w:r>
      <w:r>
        <w:rPr>
          <w:rFonts w:ascii="仿宋_GB2312" w:eastAsia="仿宋_GB2312" w:hAnsi="仿宋" w:cs="仿宋" w:hint="eastAsia"/>
          <w:color w:val="000000"/>
          <w:sz w:val="32"/>
          <w:szCs w:val="32"/>
        </w:rPr>
        <w:t xml:space="preserve">　对结构复杂的桥梁、隧道、港口工程，建设单位可以选择具有相应资质等级的单位进行全过程施工监控。</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施工监控单位应当根据交通工程特点和合同约定，制定施工监控方案并组织实施。相关施工监控资料，应当按照合同约定移交建设单位。</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第十二条</w:t>
      </w:r>
      <w:r>
        <w:rPr>
          <w:rFonts w:ascii="仿宋_GB2312" w:eastAsia="仿宋_GB2312" w:hAnsi="仿宋" w:cs="仿宋" w:hint="eastAsia"/>
          <w:color w:val="000000"/>
          <w:sz w:val="32"/>
          <w:szCs w:val="32"/>
        </w:rPr>
        <w:t xml:space="preserve">　施工单位应当建立健全施工质量保证体系，推行标准化质量管理，制定施工方案。对新建一级以上等级的公路、大型以上桥梁、隧道、港口工程，施工单位应当组织专家对施工</w:t>
      </w:r>
      <w:r>
        <w:rPr>
          <w:rFonts w:ascii="仿宋_GB2312" w:eastAsia="仿宋_GB2312" w:hAnsi="仿宋" w:cs="仿宋" w:hint="eastAsia"/>
          <w:color w:val="000000"/>
          <w:sz w:val="32"/>
          <w:szCs w:val="32"/>
        </w:rPr>
        <w:lastRenderedPageBreak/>
        <w:t>方案进行评审。</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水泥、沥青、钢材、支座、锚具、伸缩缝、交通安全通信设施等建设用原材料和圆管涵管、预制构件、商品混凝土、商品沥青拌合料等成品半成品在使用前，施工单位应当向质监机构报告，经质监机构抽检合格后方可使用。检测费用由质监机构承担。</w:t>
      </w:r>
    </w:p>
    <w:p w:rsidR="002E5DCA" w:rsidRDefault="002E5DCA" w:rsidP="002E5DCA">
      <w:pPr>
        <w:widowControl/>
        <w:shd w:val="clear" w:color="auto" w:fill="FFFFFF"/>
        <w:spacing w:line="560" w:lineRule="exact"/>
        <w:ind w:firstLineChars="200" w:firstLine="640"/>
        <w:jc w:val="left"/>
        <w:rPr>
          <w:rFonts w:ascii="仿宋_GB2312" w:eastAsia="仿宋_GB2312" w:hAnsi="仿宋" w:cs="仿宋" w:hint="eastAsia"/>
          <w:color w:val="000000"/>
          <w:sz w:val="32"/>
          <w:szCs w:val="32"/>
        </w:rPr>
      </w:pPr>
      <w:r>
        <w:rPr>
          <w:rFonts w:ascii="黑体" w:eastAsia="黑体" w:hAnsi="仿宋" w:cs="仿宋" w:hint="eastAsia"/>
          <w:color w:val="000000"/>
          <w:sz w:val="32"/>
          <w:szCs w:val="32"/>
        </w:rPr>
        <w:t xml:space="preserve">第十三条 </w:t>
      </w:r>
      <w:r>
        <w:rPr>
          <w:rFonts w:ascii="仿宋_GB2312" w:eastAsia="仿宋_GB2312" w:hAnsi="仿宋" w:cs="仿宋" w:hint="eastAsia"/>
          <w:color w:val="000000"/>
          <w:sz w:val="32"/>
          <w:szCs w:val="32"/>
        </w:rPr>
        <w:t xml:space="preserve"> 试验检测单位应当将单位基本信息</w:t>
      </w:r>
      <w:proofErr w:type="gramStart"/>
      <w:r>
        <w:rPr>
          <w:rFonts w:ascii="仿宋_GB2312" w:eastAsia="仿宋_GB2312" w:hAnsi="仿宋" w:cs="仿宋" w:hint="eastAsia"/>
          <w:color w:val="000000"/>
          <w:sz w:val="32"/>
          <w:szCs w:val="32"/>
        </w:rPr>
        <w:t>抄告质监</w:t>
      </w:r>
      <w:proofErr w:type="gramEnd"/>
      <w:r>
        <w:rPr>
          <w:rFonts w:ascii="仿宋_GB2312" w:eastAsia="仿宋_GB2312" w:hAnsi="仿宋" w:cs="仿宋" w:hint="eastAsia"/>
          <w:color w:val="000000"/>
          <w:sz w:val="32"/>
          <w:szCs w:val="32"/>
        </w:rPr>
        <w:t>机构。</w:t>
      </w:r>
    </w:p>
    <w:p w:rsidR="002E5DCA" w:rsidRDefault="002E5DCA" w:rsidP="002E5DCA">
      <w:pPr>
        <w:spacing w:line="560" w:lineRule="exact"/>
        <w:ind w:firstLineChars="200" w:firstLine="640"/>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质监机构应当将试验检测单位的基本信息予以登记，并向社会公示。</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第十四条</w:t>
      </w:r>
      <w:r>
        <w:rPr>
          <w:rFonts w:ascii="仿宋_GB2312" w:eastAsia="仿宋_GB2312" w:hAnsi="仿宋" w:cs="仿宋" w:hint="eastAsia"/>
          <w:color w:val="000000"/>
          <w:sz w:val="32"/>
          <w:szCs w:val="32"/>
        </w:rPr>
        <w:t xml:space="preserve">　试验检测单位应当建立健全试验检测质量保证体系，设立检测</w:t>
      </w:r>
      <w:proofErr w:type="gramStart"/>
      <w:r>
        <w:rPr>
          <w:rFonts w:ascii="仿宋_GB2312" w:eastAsia="仿宋_GB2312" w:hAnsi="仿宋" w:cs="仿宋" w:hint="eastAsia"/>
          <w:color w:val="000000"/>
          <w:sz w:val="32"/>
          <w:szCs w:val="32"/>
        </w:rPr>
        <w:t>项目台</w:t>
      </w:r>
      <w:proofErr w:type="gramEnd"/>
      <w:r>
        <w:rPr>
          <w:rFonts w:ascii="仿宋_GB2312" w:eastAsia="仿宋_GB2312" w:hAnsi="仿宋" w:cs="仿宋" w:hint="eastAsia"/>
          <w:color w:val="000000"/>
          <w:sz w:val="32"/>
          <w:szCs w:val="32"/>
        </w:rPr>
        <w:t>账，按照有关技术标准和规范独立开展试验检测业务。</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试验检测单位对检测不合格的项目，应当在二十四小时内向质监机构报告，并留存不合格的试件。</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第十五条</w:t>
      </w:r>
      <w:r>
        <w:rPr>
          <w:rFonts w:ascii="仿宋_GB2312" w:eastAsia="仿宋_GB2312" w:hAnsi="仿宋" w:cs="仿宋" w:hint="eastAsia"/>
          <w:color w:val="000000"/>
          <w:sz w:val="32"/>
          <w:szCs w:val="32"/>
        </w:rPr>
        <w:t xml:space="preserve">　试验检测单位禁止从事下列行为：</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（一）超出资质等级许可的范围从事试验检测业务；</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（二）涂改、出租、出借资质等级证书；</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（三）使用无资格证的人员从事试验检测业务；</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（四）转包或违规分包试验检测业务；</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（五）对同一施工项目接受多方委托；</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（六）出具虚假试验检测结果；</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（七）法律、法规规定的其他行为。</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lastRenderedPageBreak/>
        <w:t>第十六条</w:t>
      </w:r>
      <w:r>
        <w:rPr>
          <w:rFonts w:ascii="仿宋_GB2312" w:eastAsia="仿宋_GB2312" w:hAnsi="仿宋" w:cs="仿宋" w:hint="eastAsia"/>
          <w:color w:val="000000"/>
          <w:sz w:val="32"/>
          <w:szCs w:val="32"/>
        </w:rPr>
        <w:t xml:space="preserve">　建设单位应当在办理施工许可手续前三十个工作日内，到质监机构办理交通工程质量监督手续，并提交下列资料：</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（一）质量监督申请书；</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（二）初步设计、施工图批复文件；</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（三）设计、施工、监理合同；</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（四）从业单位的资质证明；</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（五）法律、法规、规章规定的其他资料。</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第十七条</w:t>
      </w:r>
      <w:r>
        <w:rPr>
          <w:rFonts w:ascii="仿宋_GB2312" w:eastAsia="仿宋_GB2312" w:hAnsi="仿宋" w:cs="仿宋" w:hint="eastAsia"/>
          <w:color w:val="000000"/>
          <w:sz w:val="32"/>
          <w:szCs w:val="32"/>
        </w:rPr>
        <w:t xml:space="preserve">　对符合基本建设程序的交通工程，质监机构应当自收到质量监督申请之日起七个工作日内出具质量监督通知书。</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对不符合基本建设程序的交通工程，质监机构应当自收到质量监督申请之日起五个工作日内书面通知申请人不予受理并告知原因。交通工程符合基本建设程序后，建设单位应当重新办理交通工程质量监督手续。</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第十八条</w:t>
      </w:r>
      <w:r>
        <w:rPr>
          <w:rFonts w:ascii="仿宋_GB2312" w:eastAsia="仿宋_GB2312" w:hAnsi="仿宋" w:cs="仿宋" w:hint="eastAsia"/>
          <w:color w:val="000000"/>
          <w:sz w:val="32"/>
          <w:szCs w:val="32"/>
        </w:rPr>
        <w:t xml:space="preserve">　交通</w:t>
      </w:r>
      <w:proofErr w:type="gramStart"/>
      <w:r>
        <w:rPr>
          <w:rFonts w:ascii="仿宋_GB2312" w:eastAsia="仿宋_GB2312" w:hAnsi="仿宋" w:cs="仿宋" w:hint="eastAsia"/>
          <w:color w:val="000000"/>
          <w:sz w:val="32"/>
          <w:szCs w:val="32"/>
        </w:rPr>
        <w:t>工程自质监</w:t>
      </w:r>
      <w:proofErr w:type="gramEnd"/>
      <w:r>
        <w:rPr>
          <w:rFonts w:ascii="仿宋_GB2312" w:eastAsia="仿宋_GB2312" w:hAnsi="仿宋" w:cs="仿宋" w:hint="eastAsia"/>
          <w:color w:val="000000"/>
          <w:sz w:val="32"/>
          <w:szCs w:val="32"/>
        </w:rPr>
        <w:t>机构出具质量监督通知书之日至竣工验收合格之日，为工程质量监督期。</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第十九条</w:t>
      </w:r>
      <w:r>
        <w:rPr>
          <w:rFonts w:ascii="仿宋_GB2312" w:eastAsia="仿宋_GB2312" w:hAnsi="仿宋" w:cs="仿宋" w:hint="eastAsia"/>
          <w:color w:val="000000"/>
          <w:sz w:val="32"/>
          <w:szCs w:val="32"/>
        </w:rPr>
        <w:t xml:space="preserve">　新改建公路路基、桩基础、隧道初期支护、交通附属设施的主体结构等影响结构安全的隐蔽工程完工后，建设单位应当向质监机构申请中间交工质量检测。质监机构应当自收到书面申请之日起十个工作日内完成检测。经检测合格后，方能进行下一道工序。</w:t>
      </w:r>
    </w:p>
    <w:p w:rsidR="002E5DCA" w:rsidRDefault="002E5DCA" w:rsidP="002E5DCA">
      <w:pPr>
        <w:widowControl/>
        <w:shd w:val="clear" w:color="auto" w:fill="FFFFFF"/>
        <w:spacing w:line="560" w:lineRule="exact"/>
        <w:ind w:firstLineChars="200" w:firstLine="640"/>
        <w:jc w:val="left"/>
        <w:rPr>
          <w:rFonts w:ascii="仿宋_GB2312" w:eastAsia="仿宋_GB2312" w:hAnsi="仿宋" w:cs="仿宋"/>
          <w:color w:val="000000"/>
          <w:sz w:val="32"/>
          <w:szCs w:val="32"/>
        </w:rPr>
      </w:pPr>
      <w:r>
        <w:rPr>
          <w:rFonts w:ascii="黑体" w:eastAsia="黑体" w:hAnsi="仿宋" w:cs="仿宋" w:hint="eastAsia"/>
          <w:color w:val="000000"/>
          <w:sz w:val="32"/>
          <w:szCs w:val="32"/>
        </w:rPr>
        <w:lastRenderedPageBreak/>
        <w:t>第二十条</w:t>
      </w:r>
      <w:r>
        <w:rPr>
          <w:rFonts w:ascii="仿宋_GB2312" w:eastAsia="仿宋_GB2312" w:hAnsi="仿宋" w:cs="仿宋" w:hint="eastAsia"/>
          <w:color w:val="000000"/>
          <w:sz w:val="32"/>
          <w:szCs w:val="32"/>
        </w:rPr>
        <w:t xml:space="preserve">　</w:t>
      </w:r>
      <w:r>
        <w:rPr>
          <w:rFonts w:ascii="仿宋_GB2312" w:eastAsia="仿宋_GB2312" w:hAnsi="仿宋" w:cs="仿宋"/>
          <w:color w:val="000000"/>
          <w:sz w:val="32"/>
          <w:szCs w:val="32"/>
        </w:rPr>
        <w:t>质监机构</w:t>
      </w:r>
      <w:r>
        <w:rPr>
          <w:rFonts w:ascii="仿宋_GB2312" w:eastAsia="仿宋_GB2312" w:hAnsi="仿宋" w:cs="仿宋" w:hint="eastAsia"/>
          <w:color w:val="000000"/>
          <w:sz w:val="32"/>
          <w:szCs w:val="32"/>
        </w:rPr>
        <w:t>根据需要，可以要求建设</w:t>
      </w:r>
      <w:r>
        <w:rPr>
          <w:rFonts w:ascii="仿宋_GB2312" w:eastAsia="仿宋_GB2312" w:hAnsi="仿宋" w:cs="仿宋"/>
          <w:color w:val="000000"/>
          <w:sz w:val="32"/>
          <w:szCs w:val="32"/>
        </w:rPr>
        <w:t>单位</w:t>
      </w:r>
      <w:r>
        <w:rPr>
          <w:rFonts w:ascii="仿宋_GB2312" w:eastAsia="仿宋_GB2312" w:hAnsi="仿宋" w:cs="仿宋" w:hint="eastAsia"/>
          <w:color w:val="000000"/>
          <w:sz w:val="32"/>
          <w:szCs w:val="32"/>
        </w:rPr>
        <w:t>提供</w:t>
      </w:r>
      <w:r>
        <w:rPr>
          <w:rFonts w:ascii="仿宋_GB2312" w:eastAsia="仿宋_GB2312" w:hAnsi="仿宋" w:cs="仿宋"/>
          <w:color w:val="000000"/>
          <w:sz w:val="32"/>
          <w:szCs w:val="32"/>
        </w:rPr>
        <w:t>下列项目</w:t>
      </w:r>
      <w:r>
        <w:rPr>
          <w:rFonts w:ascii="仿宋_GB2312" w:eastAsia="仿宋_GB2312" w:hAnsi="仿宋" w:cs="仿宋" w:hint="eastAsia"/>
          <w:color w:val="000000"/>
          <w:sz w:val="32"/>
          <w:szCs w:val="32"/>
        </w:rPr>
        <w:t>的</w:t>
      </w:r>
      <w:r>
        <w:rPr>
          <w:rFonts w:ascii="仿宋_GB2312" w:eastAsia="仿宋_GB2312" w:hAnsi="仿宋" w:cs="仿宋"/>
          <w:color w:val="000000"/>
          <w:sz w:val="32"/>
          <w:szCs w:val="32"/>
        </w:rPr>
        <w:t>非常规质量检测</w:t>
      </w:r>
      <w:r>
        <w:rPr>
          <w:rFonts w:ascii="仿宋_GB2312" w:eastAsia="仿宋_GB2312" w:hAnsi="仿宋" w:cs="仿宋" w:hint="eastAsia"/>
          <w:color w:val="000000"/>
          <w:sz w:val="32"/>
          <w:szCs w:val="32"/>
        </w:rPr>
        <w:t>报告</w:t>
      </w:r>
      <w:r>
        <w:rPr>
          <w:rFonts w:ascii="仿宋_GB2312" w:eastAsia="仿宋_GB2312" w:hAnsi="仿宋" w:cs="仿宋"/>
          <w:color w:val="000000"/>
          <w:sz w:val="32"/>
          <w:szCs w:val="32"/>
        </w:rPr>
        <w:t>：</w:t>
      </w:r>
    </w:p>
    <w:p w:rsidR="002E5DCA" w:rsidRDefault="002E5DCA" w:rsidP="002E5DCA">
      <w:pPr>
        <w:widowControl/>
        <w:shd w:val="clear" w:color="auto" w:fill="FFFFFF"/>
        <w:spacing w:line="560" w:lineRule="exact"/>
        <w:ind w:firstLine="480"/>
        <w:jc w:val="left"/>
        <w:rPr>
          <w:rFonts w:ascii="仿宋_GB2312" w:eastAsia="仿宋_GB2312" w:hAnsi="仿宋" w:cs="仿宋"/>
          <w:color w:val="000000"/>
          <w:sz w:val="32"/>
          <w:szCs w:val="32"/>
        </w:rPr>
      </w:pPr>
      <w:r>
        <w:rPr>
          <w:rFonts w:ascii="仿宋_GB2312" w:eastAsia="仿宋_GB2312" w:hAnsi="仿宋" w:cs="仿宋"/>
          <w:color w:val="000000"/>
          <w:sz w:val="32"/>
          <w:szCs w:val="32"/>
        </w:rPr>
        <w:t>（一）路面结构、平整度、弯沉、抗滑等；</w:t>
      </w:r>
    </w:p>
    <w:p w:rsidR="002E5DCA" w:rsidRDefault="002E5DCA" w:rsidP="002E5DCA">
      <w:pPr>
        <w:widowControl/>
        <w:shd w:val="clear" w:color="auto" w:fill="FFFFFF"/>
        <w:spacing w:line="560" w:lineRule="exact"/>
        <w:ind w:firstLine="480"/>
        <w:jc w:val="left"/>
        <w:rPr>
          <w:rFonts w:ascii="仿宋_GB2312" w:eastAsia="仿宋_GB2312" w:hAnsi="仿宋" w:cs="仿宋"/>
          <w:color w:val="000000"/>
          <w:sz w:val="32"/>
          <w:szCs w:val="32"/>
        </w:rPr>
      </w:pPr>
      <w:r>
        <w:rPr>
          <w:rFonts w:ascii="仿宋_GB2312" w:eastAsia="仿宋_GB2312" w:hAnsi="仿宋" w:cs="仿宋"/>
          <w:color w:val="000000"/>
          <w:sz w:val="32"/>
          <w:szCs w:val="32"/>
        </w:rPr>
        <w:t>（二）桥梁荷载、基桩、构件、钢绞线、预应力锚具、橡胶支座等；</w:t>
      </w:r>
    </w:p>
    <w:p w:rsidR="002E5DCA" w:rsidRDefault="002E5DCA" w:rsidP="002E5DCA">
      <w:pPr>
        <w:widowControl/>
        <w:shd w:val="clear" w:color="auto" w:fill="FFFFFF"/>
        <w:spacing w:line="560" w:lineRule="exact"/>
        <w:ind w:firstLine="480"/>
        <w:jc w:val="left"/>
        <w:rPr>
          <w:rFonts w:ascii="仿宋_GB2312" w:eastAsia="仿宋_GB2312" w:hAnsi="仿宋" w:cs="仿宋"/>
          <w:color w:val="000000"/>
          <w:sz w:val="32"/>
          <w:szCs w:val="32"/>
        </w:rPr>
      </w:pPr>
      <w:r>
        <w:rPr>
          <w:rFonts w:ascii="仿宋_GB2312" w:eastAsia="仿宋_GB2312" w:hAnsi="仿宋" w:cs="仿宋"/>
          <w:color w:val="000000"/>
          <w:sz w:val="32"/>
          <w:szCs w:val="32"/>
        </w:rPr>
        <w:t>（三）国家、省规定的其他项目。</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color w:val="000000"/>
          <w:sz w:val="32"/>
          <w:szCs w:val="32"/>
        </w:rPr>
        <w:t>非常规质量检测</w:t>
      </w:r>
      <w:r>
        <w:rPr>
          <w:rFonts w:ascii="仿宋_GB2312" w:eastAsia="仿宋_GB2312" w:hAnsi="仿宋" w:cs="仿宋" w:hint="eastAsia"/>
          <w:color w:val="000000"/>
          <w:sz w:val="32"/>
          <w:szCs w:val="32"/>
        </w:rPr>
        <w:t>报告应当由具备相应资质的试验检测单位出具。</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第二十一条</w:t>
      </w:r>
      <w:r>
        <w:rPr>
          <w:rFonts w:ascii="仿宋_GB2312" w:eastAsia="仿宋_GB2312" w:hAnsi="仿宋" w:cs="仿宋" w:hint="eastAsia"/>
          <w:color w:val="000000"/>
          <w:sz w:val="32"/>
          <w:szCs w:val="32"/>
        </w:rPr>
        <w:t xml:space="preserve">　交通工程交工、竣工验收前，建设单位应当向质监机构提出交工质量检测、竣工质量鉴定书面申请。</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质监机构应当自收到申请之日起三十个工作日内，自行或委托具备相应资质等级的试验检测单位完成交工质量检测、竣工质量鉴定，并出具交工质量检测意见书、竣工质量鉴定报告。</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p>
    <w:p w:rsidR="002E5DCA" w:rsidRDefault="002E5DCA" w:rsidP="002E5DCA">
      <w:pPr>
        <w:spacing w:line="560" w:lineRule="exact"/>
        <w:ind w:firstLine="645"/>
        <w:contextualSpacing/>
        <w:jc w:val="center"/>
        <w:rPr>
          <w:rFonts w:ascii="黑体" w:eastAsia="黑体" w:hAnsi="仿宋" w:cs="仿宋" w:hint="eastAsia"/>
          <w:color w:val="000000"/>
          <w:sz w:val="32"/>
          <w:szCs w:val="32"/>
        </w:rPr>
      </w:pPr>
      <w:bookmarkStart w:id="3" w:name="3"/>
      <w:bookmarkStart w:id="4" w:name="sub7148018_3"/>
      <w:bookmarkStart w:id="5" w:name="第三章_安全生产管理"/>
      <w:bookmarkEnd w:id="3"/>
      <w:bookmarkEnd w:id="4"/>
      <w:bookmarkEnd w:id="5"/>
      <w:r>
        <w:rPr>
          <w:rFonts w:ascii="黑体" w:eastAsia="黑体" w:hAnsi="仿宋" w:cs="仿宋" w:hint="eastAsia"/>
          <w:color w:val="000000"/>
          <w:sz w:val="32"/>
          <w:szCs w:val="32"/>
        </w:rPr>
        <w:t>第三章　安全生产管理</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第二十二条</w:t>
      </w:r>
      <w:r>
        <w:rPr>
          <w:rFonts w:ascii="仿宋_GB2312" w:eastAsia="仿宋_GB2312" w:hAnsi="仿宋" w:cs="仿宋" w:hint="eastAsia"/>
          <w:color w:val="000000"/>
          <w:sz w:val="32"/>
          <w:szCs w:val="32"/>
        </w:rPr>
        <w:t xml:space="preserve">　从业单位应当建立健全相关安全生产管理制度，依法设置安全生产管理机构和配备安全生产管理人员，加强安全生产教育培训。</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第二十三条</w:t>
      </w:r>
      <w:r>
        <w:rPr>
          <w:rFonts w:ascii="仿宋_GB2312" w:eastAsia="仿宋_GB2312" w:hAnsi="仿宋" w:cs="仿宋" w:hint="eastAsia"/>
          <w:color w:val="000000"/>
          <w:sz w:val="32"/>
          <w:szCs w:val="32"/>
        </w:rPr>
        <w:t xml:space="preserve">　建设单位在施工招标文件中应当依法对施工单位的安全生产条件、信用、保障措施等提出明确要求，确定安全作业环境及安全施工措施所需的安全生产费用。</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lastRenderedPageBreak/>
        <w:t>安全生产费用由建设单位根据项目监理工程师签字确认进行支付。</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第二十四条</w:t>
      </w:r>
      <w:r>
        <w:rPr>
          <w:rFonts w:ascii="仿宋_GB2312" w:eastAsia="仿宋_GB2312" w:hAnsi="仿宋" w:cs="仿宋" w:hint="eastAsia"/>
          <w:color w:val="000000"/>
          <w:sz w:val="32"/>
          <w:szCs w:val="32"/>
        </w:rPr>
        <w:t xml:space="preserve">　勘察单位应当采取措施保证勘察作业安全，并根据勘察结果对存在地质灾害隐患的交通工程提出防治建议。</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设计单位应当做好技术交底工作，在交通工程项目实施过程中选派熟悉业务的技术人员作为设计单位代表进驻施工工地。</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设计单位代表应当与建设单位、施工单位、工程监理单位配合协作，帮助其准确、完整地理解设计意图，保证设计意图的正确实现。对施工中出现的地质、地形条件与原设计不符等新情况，应当根据交通工程项目建设实际和安全生产需要，及时完善设计方案。</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第二十五条</w:t>
      </w:r>
      <w:r>
        <w:rPr>
          <w:rFonts w:ascii="仿宋_GB2312" w:eastAsia="仿宋_GB2312" w:hAnsi="仿宋" w:cs="仿宋" w:hint="eastAsia"/>
          <w:color w:val="000000"/>
          <w:sz w:val="32"/>
          <w:szCs w:val="32"/>
        </w:rPr>
        <w:t xml:space="preserve">　工程监理单位应当编制安全生产监理计划，配备安全监理工程师，明确岗位职责，建立安全监理日志和月报制度。</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工程监理单位应当审查施工单位的安全生产条件和安全保障措施，对危险性较大的工程，应当审查安全专项施工方案和安全生产措施的落实情况。</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第二十六条</w:t>
      </w:r>
      <w:r>
        <w:rPr>
          <w:rFonts w:ascii="仿宋_GB2312" w:eastAsia="仿宋_GB2312" w:hAnsi="仿宋" w:cs="仿宋" w:hint="eastAsia"/>
          <w:color w:val="000000"/>
          <w:sz w:val="32"/>
          <w:szCs w:val="32"/>
        </w:rPr>
        <w:t xml:space="preserve">　施工监控单位应当对施工监控过程中发现的生产安全事故隐患，及时通报建设、设计、施工、工程监理等单位，并提出预防和整改建议。</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第二十七条</w:t>
      </w:r>
      <w:r>
        <w:rPr>
          <w:rFonts w:ascii="仿宋_GB2312" w:eastAsia="仿宋_GB2312" w:hAnsi="仿宋" w:cs="仿宋" w:hint="eastAsia"/>
          <w:color w:val="000000"/>
          <w:sz w:val="32"/>
          <w:szCs w:val="32"/>
        </w:rPr>
        <w:t xml:space="preserve">　施工单位对下列危险性较大的施工项目，应当编制安全专项施工方案，经技术负责人、项目监理负责人签字确</w:t>
      </w:r>
      <w:r>
        <w:rPr>
          <w:rFonts w:ascii="仿宋_GB2312" w:eastAsia="仿宋_GB2312" w:hAnsi="仿宋" w:cs="仿宋" w:hint="eastAsia"/>
          <w:color w:val="000000"/>
          <w:sz w:val="32"/>
          <w:szCs w:val="32"/>
        </w:rPr>
        <w:lastRenderedPageBreak/>
        <w:t>认后实施：</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（一）滑坡和高边坡处理；</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（二）桩基础、挡墙基础、深水基础及围堰施工；</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（三）桥梁工程中的梁、拱、柱等构件施工；</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（四）隧道施工；</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（五）施工船舶作业；</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（六）爆破、水下作业；</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（七）支架、模板、便桥的架设与拆除；</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（八）桥梁、码头的加固与拆除；</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（九）国家、省规定的其他施工项目。</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对前款所列施工项目中涉及深基坑、地下暗挖工程、高大模板工程等高度危险性工程的安全专项施工方案，施工单位应当组织专家进行评审。</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第二十八条</w:t>
      </w:r>
      <w:r>
        <w:rPr>
          <w:rFonts w:ascii="仿宋_GB2312" w:eastAsia="仿宋_GB2312" w:hAnsi="仿宋" w:cs="仿宋" w:hint="eastAsia"/>
          <w:color w:val="000000"/>
          <w:sz w:val="32"/>
          <w:szCs w:val="32"/>
        </w:rPr>
        <w:t xml:space="preserve">　施工单位应当依法建立安全生产费用提取和使用制度，详细记录安全生产各项费用的投入和使用情况，确保安全生产所需资金投入和有效使用。</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第二十九条</w:t>
      </w:r>
      <w:r>
        <w:rPr>
          <w:rFonts w:ascii="仿宋_GB2312" w:eastAsia="仿宋_GB2312" w:hAnsi="仿宋" w:cs="仿宋" w:hint="eastAsia"/>
          <w:color w:val="000000"/>
          <w:sz w:val="32"/>
          <w:szCs w:val="32"/>
        </w:rPr>
        <w:t xml:space="preserve">　建设单位、施工单位、工程监理单位应当制定生产安全事故应急预案，并定期组织演练。</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第三十条</w:t>
      </w:r>
      <w:r>
        <w:rPr>
          <w:rFonts w:ascii="仿宋_GB2312" w:eastAsia="仿宋_GB2312" w:hAnsi="仿宋" w:cs="仿宋" w:hint="eastAsia"/>
          <w:color w:val="000000"/>
          <w:sz w:val="32"/>
          <w:szCs w:val="32"/>
        </w:rPr>
        <w:t xml:space="preserve">　建设单位应当在办理施工许可手续前三十个工作日内，到质监机构办理交通工程安全监督手续，并提交下列资料：</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（一）安全监督申请书；</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lastRenderedPageBreak/>
        <w:t>（二）项目批复文件；</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（三）施工单位安全生产许可证；</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（四）施工、监理合同；</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（五）项目施工、监理单位安全生产管理人员名单及上岗资质证书；</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（六）法律、法规、规章规定的其他资料。</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第三十一条</w:t>
      </w:r>
      <w:r>
        <w:rPr>
          <w:rFonts w:ascii="仿宋_GB2312" w:eastAsia="仿宋_GB2312" w:hAnsi="仿宋" w:cs="仿宋" w:hint="eastAsia"/>
          <w:color w:val="000000"/>
          <w:sz w:val="32"/>
          <w:szCs w:val="32"/>
        </w:rPr>
        <w:t xml:space="preserve">　对符合基本建设程序的交通工程，质监机构应当自收到安全监督申请之日起七个工作日内出具安全监督通知书。</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对不符合基本建设程序的交通工程，质监机构应当自收到安全监督申请之日起五个工作日内书面通知申请人不予受理并告知原因。交通工程符合基本建设程序后，建设单位应当重新办理交通工程安全监督手续。</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第三十二条</w:t>
      </w:r>
      <w:r>
        <w:rPr>
          <w:rFonts w:ascii="仿宋_GB2312" w:eastAsia="仿宋_GB2312" w:hAnsi="仿宋" w:cs="仿宋" w:hint="eastAsia"/>
          <w:color w:val="000000"/>
          <w:sz w:val="32"/>
          <w:szCs w:val="32"/>
        </w:rPr>
        <w:t xml:space="preserve">　交通</w:t>
      </w:r>
      <w:proofErr w:type="gramStart"/>
      <w:r>
        <w:rPr>
          <w:rFonts w:ascii="仿宋_GB2312" w:eastAsia="仿宋_GB2312" w:hAnsi="仿宋" w:cs="仿宋" w:hint="eastAsia"/>
          <w:color w:val="000000"/>
          <w:sz w:val="32"/>
          <w:szCs w:val="32"/>
        </w:rPr>
        <w:t>工程自质监</w:t>
      </w:r>
      <w:proofErr w:type="gramEnd"/>
      <w:r>
        <w:rPr>
          <w:rFonts w:ascii="仿宋_GB2312" w:eastAsia="仿宋_GB2312" w:hAnsi="仿宋" w:cs="仿宋" w:hint="eastAsia"/>
          <w:color w:val="000000"/>
          <w:sz w:val="32"/>
          <w:szCs w:val="32"/>
        </w:rPr>
        <w:t>机构出具安全监督通知书之日至交工验收合格之日，为工程安全监督期。</w:t>
      </w:r>
    </w:p>
    <w:p w:rsidR="002E5DCA" w:rsidRDefault="002E5DCA" w:rsidP="002E5DCA">
      <w:pPr>
        <w:widowControl/>
        <w:shd w:val="clear" w:color="auto" w:fill="FFFFFF"/>
        <w:spacing w:line="560" w:lineRule="exact"/>
        <w:ind w:firstLineChars="200" w:firstLine="640"/>
        <w:jc w:val="left"/>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第三十三条</w:t>
      </w:r>
      <w:r>
        <w:rPr>
          <w:rFonts w:ascii="仿宋_GB2312" w:eastAsia="仿宋_GB2312" w:hAnsi="仿宋" w:cs="仿宋" w:hint="eastAsia"/>
          <w:color w:val="000000"/>
          <w:sz w:val="32"/>
          <w:szCs w:val="32"/>
        </w:rPr>
        <w:t xml:space="preserve">　交通工程交工验收前，建设单位可以自行或委托具备相应资质的安全评价单位对施工、监理单位的安全生产管理行为进行评估或评价。</w:t>
      </w:r>
    </w:p>
    <w:p w:rsidR="002E5DCA" w:rsidRDefault="002E5DCA" w:rsidP="002E5DCA">
      <w:pPr>
        <w:widowControl/>
        <w:shd w:val="clear" w:color="auto" w:fill="FFFFFF"/>
        <w:spacing w:line="560" w:lineRule="exact"/>
        <w:ind w:firstLineChars="200" w:firstLine="640"/>
        <w:jc w:val="left"/>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建设单位完成评估或评价后向质监机构提出安全生产评价验收书面申请，质监机构应当自收到申请之日起二十个工作日内，完成安全生产评估或评价，并出具交通建设工程从业单位安全生产验收证明。</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lastRenderedPageBreak/>
        <w:t>第三十四条</w:t>
      </w:r>
      <w:r>
        <w:rPr>
          <w:rFonts w:ascii="仿宋_GB2312" w:eastAsia="仿宋_GB2312" w:hAnsi="仿宋" w:cs="仿宋" w:hint="eastAsia"/>
          <w:color w:val="000000"/>
          <w:sz w:val="32"/>
          <w:szCs w:val="32"/>
        </w:rPr>
        <w:t xml:space="preserve">　交通工程施工过程中发生生产安全事故的，有关责任单位应当按照应急预案的要求，及时处置。</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p>
    <w:p w:rsidR="002E5DCA" w:rsidRDefault="002E5DCA" w:rsidP="002E5DCA">
      <w:pPr>
        <w:spacing w:line="560" w:lineRule="exact"/>
        <w:contextualSpacing/>
        <w:jc w:val="center"/>
        <w:rPr>
          <w:rFonts w:ascii="黑体" w:eastAsia="黑体" w:hAnsi="仿宋" w:cs="仿宋" w:hint="eastAsia"/>
          <w:color w:val="000000"/>
          <w:sz w:val="32"/>
          <w:szCs w:val="32"/>
        </w:rPr>
      </w:pPr>
      <w:bookmarkStart w:id="6" w:name="4"/>
      <w:bookmarkStart w:id="7" w:name="sub7148018_4"/>
      <w:bookmarkStart w:id="8" w:name="第四章法律责任"/>
      <w:bookmarkEnd w:id="6"/>
      <w:bookmarkEnd w:id="7"/>
      <w:bookmarkEnd w:id="8"/>
      <w:r>
        <w:rPr>
          <w:rFonts w:ascii="黑体" w:eastAsia="黑体" w:hAnsi="仿宋" w:cs="仿宋" w:hint="eastAsia"/>
          <w:color w:val="000000"/>
          <w:sz w:val="32"/>
          <w:szCs w:val="32"/>
        </w:rPr>
        <w:t>第四章 法律责任</w:t>
      </w:r>
    </w:p>
    <w:p w:rsidR="002E5DCA" w:rsidRDefault="002E5DCA" w:rsidP="002E5DCA">
      <w:pPr>
        <w:spacing w:line="560" w:lineRule="exact"/>
        <w:ind w:firstLine="645"/>
        <w:contextualSpacing/>
        <w:rPr>
          <w:rFonts w:ascii="黑体" w:eastAsia="黑体" w:hAnsi="仿宋" w:cs="仿宋" w:hint="eastAsia"/>
          <w:color w:val="000000"/>
          <w:sz w:val="32"/>
          <w:szCs w:val="32"/>
        </w:rPr>
      </w:pP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第三十五条</w:t>
      </w:r>
      <w:r>
        <w:rPr>
          <w:rFonts w:ascii="仿宋_GB2312" w:eastAsia="仿宋_GB2312" w:hAnsi="仿宋" w:cs="仿宋" w:hint="eastAsia"/>
          <w:color w:val="000000"/>
          <w:sz w:val="32"/>
          <w:szCs w:val="32"/>
        </w:rPr>
        <w:t xml:space="preserve">　从业单位违反本办法的行为，法律、法规、规章已有处罚规定的，从其规定。</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 xml:space="preserve">第三十六条　</w:t>
      </w:r>
      <w:r>
        <w:rPr>
          <w:rFonts w:ascii="仿宋_GB2312" w:eastAsia="仿宋_GB2312" w:hAnsi="仿宋" w:cs="仿宋" w:hint="eastAsia"/>
          <w:color w:val="000000"/>
          <w:sz w:val="32"/>
          <w:szCs w:val="32"/>
        </w:rPr>
        <w:t>施工单位违反本办法第十二条规定的，给予警告，并处以二万元以上三万元以下的罚款。</w:t>
      </w:r>
    </w:p>
    <w:p w:rsidR="002E5DCA" w:rsidRDefault="002E5DCA" w:rsidP="002E5DCA">
      <w:pPr>
        <w:spacing w:line="560" w:lineRule="exact"/>
        <w:ind w:firstLine="645"/>
        <w:contextualSpacing/>
        <w:rPr>
          <w:rFonts w:ascii="仿宋_GB2312" w:eastAsia="仿宋_GB2312" w:hAnsi="仿宋" w:cs="仿宋"/>
          <w:color w:val="000000"/>
          <w:sz w:val="32"/>
          <w:szCs w:val="32"/>
        </w:rPr>
      </w:pPr>
      <w:r>
        <w:rPr>
          <w:rFonts w:ascii="黑体" w:eastAsia="黑体" w:hAnsi="仿宋" w:cs="仿宋" w:hint="eastAsia"/>
          <w:color w:val="000000"/>
          <w:sz w:val="32"/>
          <w:szCs w:val="32"/>
        </w:rPr>
        <w:t>第三十七条</w:t>
      </w:r>
      <w:r>
        <w:rPr>
          <w:rFonts w:ascii="仿宋_GB2312" w:eastAsia="仿宋_GB2312" w:hAnsi="仿宋" w:cs="仿宋" w:hint="eastAsia"/>
          <w:color w:val="000000"/>
          <w:sz w:val="32"/>
          <w:szCs w:val="32"/>
        </w:rPr>
        <w:t xml:space="preserve">　</w:t>
      </w:r>
      <w:r>
        <w:rPr>
          <w:rFonts w:ascii="仿宋_GB2312" w:eastAsia="仿宋_GB2312" w:hAnsi="仿宋" w:cs="仿宋"/>
          <w:color w:val="000000"/>
          <w:sz w:val="32"/>
          <w:szCs w:val="32"/>
        </w:rPr>
        <w:t>试验检测单位违反本办法第十三条</w:t>
      </w:r>
      <w:r>
        <w:rPr>
          <w:rFonts w:ascii="仿宋_GB2312" w:eastAsia="仿宋_GB2312" w:hAnsi="仿宋" w:cs="仿宋" w:hint="eastAsia"/>
          <w:color w:val="000000"/>
          <w:sz w:val="32"/>
          <w:szCs w:val="32"/>
        </w:rPr>
        <w:t>第一款规定，给予警告，责令限期改正，并处以五千元的罚款。</w:t>
      </w:r>
    </w:p>
    <w:p w:rsidR="002E5DCA" w:rsidRDefault="002E5DCA" w:rsidP="002E5DCA">
      <w:pPr>
        <w:spacing w:line="560" w:lineRule="exact"/>
        <w:ind w:firstLine="645"/>
        <w:contextualSpacing/>
        <w:rPr>
          <w:rFonts w:ascii="黑体" w:eastAsia="黑体" w:hAnsi="仿宋" w:cs="仿宋" w:hint="eastAsia"/>
          <w:color w:val="000000"/>
          <w:sz w:val="32"/>
          <w:szCs w:val="32"/>
        </w:rPr>
      </w:pPr>
      <w:r>
        <w:rPr>
          <w:rFonts w:ascii="仿宋_GB2312" w:eastAsia="仿宋_GB2312" w:hAnsi="仿宋" w:cs="仿宋" w:hint="eastAsia"/>
          <w:color w:val="000000"/>
          <w:sz w:val="32"/>
          <w:szCs w:val="32"/>
        </w:rPr>
        <w:t>试验检测单位违反本办法</w:t>
      </w:r>
      <w:r>
        <w:rPr>
          <w:rFonts w:ascii="仿宋_GB2312" w:eastAsia="仿宋_GB2312" w:hAnsi="仿宋" w:cs="仿宋"/>
          <w:color w:val="000000"/>
          <w:sz w:val="32"/>
          <w:szCs w:val="32"/>
        </w:rPr>
        <w:t>第十四条第二款规定，给予警告，责令限期改正，并处以一万元以上三万元以下的罚款。</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 xml:space="preserve">第三十八条　</w:t>
      </w:r>
      <w:r>
        <w:rPr>
          <w:rFonts w:ascii="仿宋_GB2312" w:eastAsia="仿宋_GB2312" w:hAnsi="仿宋" w:cs="仿宋" w:hint="eastAsia"/>
          <w:color w:val="000000"/>
          <w:sz w:val="32"/>
          <w:szCs w:val="32"/>
        </w:rPr>
        <w:t>建设单位违反本办法第十九条规定的，责令该建设工程停止施工，限期改正，并处以二万元以上三万元以下的罚款。</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第三十九条</w:t>
      </w:r>
      <w:r>
        <w:rPr>
          <w:rFonts w:ascii="仿宋_GB2312" w:eastAsia="仿宋_GB2312" w:hAnsi="仿宋" w:cs="仿宋" w:hint="eastAsia"/>
          <w:color w:val="000000"/>
          <w:sz w:val="32"/>
          <w:szCs w:val="32"/>
        </w:rPr>
        <w:t xml:space="preserve">　设计单位违反本办法第八条第二款规定的，责令限期改正，并处以一万元以上三万元以下的罚款。</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第四十条</w:t>
      </w:r>
      <w:r>
        <w:rPr>
          <w:rFonts w:ascii="仿宋_GB2312" w:eastAsia="仿宋_GB2312" w:hAnsi="仿宋" w:cs="仿宋" w:hint="eastAsia"/>
          <w:color w:val="000000"/>
          <w:sz w:val="32"/>
          <w:szCs w:val="32"/>
        </w:rPr>
        <w:t xml:space="preserve">　设计单位违反本办法第二十四条第二款、第三款规定的，责令限期改正，并处以五千元以上一万元以下罚款。</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第四十一条</w:t>
      </w:r>
      <w:r>
        <w:rPr>
          <w:rFonts w:ascii="仿宋_GB2312" w:eastAsia="仿宋_GB2312" w:hAnsi="仿宋" w:cs="仿宋" w:hint="eastAsia"/>
          <w:color w:val="000000"/>
          <w:sz w:val="32"/>
          <w:szCs w:val="32"/>
        </w:rPr>
        <w:t xml:space="preserve">　监理单位违反本办法第二十五条第一款规定的，责令限期改正，并处以二千元以上五千元以下罚款。</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lastRenderedPageBreak/>
        <w:t>第四十二条</w:t>
      </w:r>
      <w:r>
        <w:rPr>
          <w:rFonts w:ascii="仿宋_GB2312" w:eastAsia="仿宋_GB2312" w:hAnsi="仿宋" w:cs="仿宋" w:hint="eastAsia"/>
          <w:color w:val="000000"/>
          <w:sz w:val="32"/>
          <w:szCs w:val="32"/>
        </w:rPr>
        <w:t xml:space="preserve">　施工监控单位违反本办法第二十六条规定的，责令限期改正，并处以二千元以上五千元以下罚款。</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第四十三条</w:t>
      </w:r>
      <w:r>
        <w:rPr>
          <w:rFonts w:ascii="仿宋_GB2312" w:eastAsia="仿宋_GB2312" w:hAnsi="仿宋" w:cs="仿宋" w:hint="eastAsia"/>
          <w:color w:val="000000"/>
          <w:sz w:val="32"/>
          <w:szCs w:val="32"/>
        </w:rPr>
        <w:t xml:space="preserve">　施工单位违反本办法第二十八条规定的，责令限期改正，并处以一万元以上二万元以下罚款。</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第四十四条</w:t>
      </w:r>
      <w:r>
        <w:rPr>
          <w:rFonts w:ascii="仿宋_GB2312" w:eastAsia="仿宋_GB2312" w:hAnsi="仿宋" w:cs="仿宋" w:hint="eastAsia"/>
          <w:color w:val="000000"/>
          <w:sz w:val="32"/>
          <w:szCs w:val="32"/>
        </w:rPr>
        <w:t xml:space="preserve">　建设单位违反本办法第三十条、第三十三条第一款规定的，责令限期改正，并处以二万元以上三万元以下罚款。</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第四十五条</w:t>
      </w:r>
      <w:r>
        <w:rPr>
          <w:rFonts w:ascii="仿宋_GB2312" w:eastAsia="仿宋_GB2312" w:hAnsi="仿宋" w:cs="仿宋" w:hint="eastAsia"/>
          <w:color w:val="000000"/>
          <w:sz w:val="32"/>
          <w:szCs w:val="32"/>
        </w:rPr>
        <w:t xml:space="preserve">　交通运输行政管理部门和市质监机构的工作人员在交通工程质量和安全生产监督管理工作中玩忽职守、滥用职权或者徇私舞弊的，由有权机关依法追究其行政责任。</w:t>
      </w: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第四十六条</w:t>
      </w:r>
      <w:r>
        <w:rPr>
          <w:rFonts w:ascii="仿宋_GB2312" w:eastAsia="仿宋_GB2312" w:hAnsi="仿宋" w:cs="仿宋" w:hint="eastAsia"/>
          <w:color w:val="000000"/>
          <w:sz w:val="32"/>
          <w:szCs w:val="32"/>
        </w:rPr>
        <w:t xml:space="preserve">　本办法规定的行政处罚由交通运输行政管理部门实施。交通运输行政管理部门可以委托质监机构实施行政处罚。</w:t>
      </w:r>
      <w:bookmarkStart w:id="9" w:name="_GoBack"/>
      <w:bookmarkEnd w:id="9"/>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p>
    <w:p w:rsidR="002E5DCA" w:rsidRDefault="002E5DCA" w:rsidP="002E5DCA">
      <w:pPr>
        <w:spacing w:line="560" w:lineRule="exact"/>
        <w:contextualSpacing/>
        <w:jc w:val="center"/>
        <w:rPr>
          <w:rFonts w:ascii="黑体" w:eastAsia="黑体" w:hAnsi="仿宋" w:cs="仿宋" w:hint="eastAsia"/>
          <w:color w:val="000000"/>
          <w:sz w:val="32"/>
          <w:szCs w:val="32"/>
        </w:rPr>
      </w:pPr>
      <w:bookmarkStart w:id="10" w:name="5"/>
      <w:bookmarkStart w:id="11" w:name="sub7148018_5"/>
      <w:bookmarkStart w:id="12" w:name="第五章_附则"/>
      <w:bookmarkEnd w:id="10"/>
      <w:bookmarkEnd w:id="11"/>
      <w:bookmarkEnd w:id="12"/>
      <w:r>
        <w:rPr>
          <w:rFonts w:ascii="黑体" w:eastAsia="黑体" w:hAnsi="仿宋" w:cs="仿宋" w:hint="eastAsia"/>
          <w:color w:val="000000"/>
          <w:sz w:val="32"/>
          <w:szCs w:val="32"/>
        </w:rPr>
        <w:t xml:space="preserve">第五章 </w:t>
      </w:r>
      <w:r>
        <w:rPr>
          <w:rFonts w:ascii="黑体" w:eastAsia="黑体" w:hAnsi="仿宋" w:cs="仿宋"/>
          <w:color w:val="000000"/>
          <w:sz w:val="32"/>
          <w:szCs w:val="32"/>
        </w:rPr>
        <w:t xml:space="preserve"> </w:t>
      </w:r>
      <w:r>
        <w:rPr>
          <w:rFonts w:ascii="黑体" w:eastAsia="黑体" w:hAnsi="仿宋" w:cs="仿宋" w:hint="eastAsia"/>
          <w:color w:val="000000"/>
          <w:sz w:val="32"/>
          <w:szCs w:val="32"/>
        </w:rPr>
        <w:t>附则</w:t>
      </w:r>
    </w:p>
    <w:p w:rsidR="002E5DCA" w:rsidRDefault="002E5DCA" w:rsidP="002E5DCA">
      <w:pPr>
        <w:spacing w:line="560" w:lineRule="exact"/>
        <w:contextualSpacing/>
        <w:jc w:val="center"/>
        <w:rPr>
          <w:rFonts w:ascii="黑体" w:eastAsia="黑体" w:hAnsi="仿宋" w:cs="仿宋" w:hint="eastAsia"/>
          <w:color w:val="000000"/>
          <w:sz w:val="32"/>
          <w:szCs w:val="32"/>
        </w:rPr>
      </w:pPr>
    </w:p>
    <w:p w:rsidR="002E5DCA" w:rsidRDefault="002E5DCA" w:rsidP="002E5DCA">
      <w:pPr>
        <w:spacing w:line="560" w:lineRule="exact"/>
        <w:ind w:firstLine="645"/>
        <w:contextualSpacing/>
        <w:rPr>
          <w:rFonts w:ascii="仿宋_GB2312" w:eastAsia="仿宋_GB2312" w:hAnsi="仿宋" w:cs="仿宋" w:hint="eastAsia"/>
          <w:color w:val="000000"/>
          <w:sz w:val="32"/>
          <w:szCs w:val="32"/>
        </w:rPr>
      </w:pPr>
      <w:r>
        <w:rPr>
          <w:rFonts w:ascii="黑体" w:eastAsia="黑体" w:hAnsi="仿宋" w:cs="仿宋" w:hint="eastAsia"/>
          <w:color w:val="000000"/>
          <w:sz w:val="32"/>
          <w:szCs w:val="32"/>
        </w:rPr>
        <w:t xml:space="preserve">第四十七条　</w:t>
      </w:r>
      <w:r>
        <w:rPr>
          <w:rFonts w:ascii="仿宋_GB2312" w:eastAsia="仿宋_GB2312" w:hAnsi="仿宋" w:cs="仿宋" w:hint="eastAsia"/>
          <w:color w:val="000000"/>
          <w:sz w:val="32"/>
          <w:szCs w:val="32"/>
        </w:rPr>
        <w:t>本办法自2011年6月21日起施行</w:t>
      </w:r>
      <w:r>
        <w:rPr>
          <w:rFonts w:ascii="黑体" w:eastAsia="黑体" w:hAnsi="仿宋" w:cs="仿宋" w:hint="eastAsia"/>
          <w:color w:val="000000"/>
          <w:sz w:val="32"/>
          <w:szCs w:val="32"/>
        </w:rPr>
        <w:t>。</w:t>
      </w:r>
    </w:p>
    <w:p w:rsidR="002E5DCA" w:rsidRDefault="002E5DCA" w:rsidP="002E5DCA">
      <w:pPr>
        <w:spacing w:line="560" w:lineRule="exact"/>
        <w:rPr>
          <w:color w:val="000000"/>
        </w:rPr>
      </w:pPr>
    </w:p>
    <w:p w:rsidR="00C05306" w:rsidRPr="002E5DCA" w:rsidRDefault="00C05306">
      <w:pPr>
        <w:pStyle w:val="a6"/>
        <w:widowControl/>
        <w:spacing w:beforeAutospacing="0" w:afterAutospacing="0" w:line="432" w:lineRule="atLeast"/>
        <w:rPr>
          <w:rFonts w:ascii="仿宋" w:eastAsia="仿宋" w:hAnsi="仿宋" w:cs="仿宋"/>
          <w:sz w:val="32"/>
          <w:szCs w:val="32"/>
        </w:rPr>
      </w:pPr>
    </w:p>
    <w:p w:rsidR="00C05306" w:rsidRDefault="00C05306">
      <w:pPr>
        <w:ind w:firstLineChars="200" w:firstLine="640"/>
        <w:rPr>
          <w:rFonts w:ascii="仿宋" w:eastAsia="仿宋" w:hAnsi="仿宋" w:cs="仿宋"/>
          <w:sz w:val="32"/>
          <w:szCs w:val="32"/>
        </w:rPr>
      </w:pPr>
    </w:p>
    <w:sectPr w:rsidR="00C05306">
      <w:headerReference w:type="default" r:id="rId12"/>
      <w:footerReference w:type="defaul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E5DCA">
      <w:r>
        <w:separator/>
      </w:r>
    </w:p>
  </w:endnote>
  <w:endnote w:type="continuationSeparator" w:id="0">
    <w:p w:rsidR="00000000" w:rsidRDefault="002E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306" w:rsidRDefault="002E5DC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5306" w:rsidRDefault="002E5DC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05306" w:rsidRDefault="002E5DC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05306" w:rsidRDefault="002E5DC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D75D2F"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青岛市人民政府发布</w:t>
    </w:r>
    <w:r>
      <w:rPr>
        <w:rFonts w:ascii="宋体" w:eastAsia="宋体" w:hAnsi="宋体" w:cs="宋体" w:hint="eastAsia"/>
        <w:b/>
        <w:bCs/>
        <w:color w:val="005192"/>
        <w:sz w:val="28"/>
        <w:szCs w:val="44"/>
      </w:rPr>
      <w:t xml:space="preserve">     </w:t>
    </w:r>
  </w:p>
  <w:p w:rsidR="00C05306" w:rsidRDefault="00C05306">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E5DCA">
      <w:r>
        <w:separator/>
      </w:r>
    </w:p>
  </w:footnote>
  <w:footnote w:type="continuationSeparator" w:id="0">
    <w:p w:rsidR="00000000" w:rsidRDefault="002E5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306" w:rsidRDefault="002E5DC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652F61"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05306" w:rsidRDefault="002E5DC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青岛</w:t>
    </w:r>
    <w:r>
      <w:rPr>
        <w:rFonts w:ascii="宋体" w:eastAsia="宋体" w:hAnsi="宋体" w:cs="宋体" w:hint="eastAsia"/>
        <w:b/>
        <w:bCs/>
        <w:color w:val="005192"/>
        <w:sz w:val="32"/>
      </w:rPr>
      <w:t>市人民政府</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5CFE"/>
    <w:multiLevelType w:val="multilevel"/>
    <w:tmpl w:val="03865CFE"/>
    <w:lvl w:ilvl="0">
      <w:start w:val="5"/>
      <w:numFmt w:val="japaneseCounting"/>
      <w:lvlText w:val="第%1章"/>
      <w:lvlJc w:val="left"/>
      <w:pPr>
        <w:tabs>
          <w:tab w:val="num" w:pos="1920"/>
        </w:tabs>
        <w:ind w:left="1920" w:hanging="1275"/>
      </w:pPr>
      <w:rPr>
        <w:rFonts w:hint="default"/>
      </w:rPr>
    </w:lvl>
    <w:lvl w:ilvl="1">
      <w:start w:val="1"/>
      <w:numFmt w:val="lowerLetter"/>
      <w:lvlText w:val="%2)"/>
      <w:lvlJc w:val="left"/>
      <w:pPr>
        <w:tabs>
          <w:tab w:val="num" w:pos="1485"/>
        </w:tabs>
        <w:ind w:left="1485" w:hanging="420"/>
      </w:pPr>
    </w:lvl>
    <w:lvl w:ilvl="2">
      <w:start w:val="1"/>
      <w:numFmt w:val="lowerRoman"/>
      <w:lvlText w:val="%3."/>
      <w:lvlJc w:val="right"/>
      <w:pPr>
        <w:tabs>
          <w:tab w:val="num" w:pos="1905"/>
        </w:tabs>
        <w:ind w:left="1905" w:hanging="420"/>
      </w:pPr>
    </w:lvl>
    <w:lvl w:ilvl="3">
      <w:start w:val="1"/>
      <w:numFmt w:val="decimal"/>
      <w:lvlText w:val="%4."/>
      <w:lvlJc w:val="left"/>
      <w:pPr>
        <w:tabs>
          <w:tab w:val="num" w:pos="2325"/>
        </w:tabs>
        <w:ind w:left="2325" w:hanging="420"/>
      </w:pPr>
    </w:lvl>
    <w:lvl w:ilvl="4">
      <w:start w:val="1"/>
      <w:numFmt w:val="lowerLetter"/>
      <w:lvlText w:val="%5)"/>
      <w:lvlJc w:val="left"/>
      <w:pPr>
        <w:tabs>
          <w:tab w:val="num" w:pos="2745"/>
        </w:tabs>
        <w:ind w:left="2745" w:hanging="420"/>
      </w:pPr>
    </w:lvl>
    <w:lvl w:ilvl="5">
      <w:start w:val="1"/>
      <w:numFmt w:val="lowerRoman"/>
      <w:lvlText w:val="%6."/>
      <w:lvlJc w:val="right"/>
      <w:pPr>
        <w:tabs>
          <w:tab w:val="num" w:pos="3165"/>
        </w:tabs>
        <w:ind w:left="3165" w:hanging="420"/>
      </w:pPr>
    </w:lvl>
    <w:lvl w:ilvl="6">
      <w:start w:val="1"/>
      <w:numFmt w:val="decimal"/>
      <w:lvlText w:val="%7."/>
      <w:lvlJc w:val="left"/>
      <w:pPr>
        <w:tabs>
          <w:tab w:val="num" w:pos="3585"/>
        </w:tabs>
        <w:ind w:left="3585" w:hanging="420"/>
      </w:pPr>
    </w:lvl>
    <w:lvl w:ilvl="7">
      <w:start w:val="1"/>
      <w:numFmt w:val="lowerLetter"/>
      <w:lvlText w:val="%8)"/>
      <w:lvlJc w:val="left"/>
      <w:pPr>
        <w:tabs>
          <w:tab w:val="num" w:pos="4005"/>
        </w:tabs>
        <w:ind w:left="4005" w:hanging="420"/>
      </w:pPr>
    </w:lvl>
    <w:lvl w:ilvl="8">
      <w:start w:val="1"/>
      <w:numFmt w:val="lowerRoman"/>
      <w:lvlText w:val="%9."/>
      <w:lvlJc w:val="right"/>
      <w:pPr>
        <w:tabs>
          <w:tab w:val="num" w:pos="4425"/>
        </w:tabs>
        <w:ind w:left="4425" w:hanging="420"/>
      </w:pPr>
    </w:lvl>
  </w:abstractNum>
  <w:abstractNum w:abstractNumId="1" w15:restartNumberingAfterBreak="0">
    <w:nsid w:val="78DD099C"/>
    <w:multiLevelType w:val="multilevel"/>
    <w:tmpl w:val="78DD099C"/>
    <w:lvl w:ilvl="0">
      <w:start w:val="2"/>
      <w:numFmt w:val="japaneseCounting"/>
      <w:lvlText w:val="第%1章"/>
      <w:lvlJc w:val="left"/>
      <w:pPr>
        <w:tabs>
          <w:tab w:val="num" w:pos="1920"/>
        </w:tabs>
        <w:ind w:left="1920" w:hanging="1275"/>
      </w:pPr>
      <w:rPr>
        <w:rFonts w:hint="default"/>
      </w:rPr>
    </w:lvl>
    <w:lvl w:ilvl="1">
      <w:start w:val="1"/>
      <w:numFmt w:val="lowerLetter"/>
      <w:lvlText w:val="%2)"/>
      <w:lvlJc w:val="left"/>
      <w:pPr>
        <w:tabs>
          <w:tab w:val="num" w:pos="1485"/>
        </w:tabs>
        <w:ind w:left="1485" w:hanging="420"/>
      </w:pPr>
    </w:lvl>
    <w:lvl w:ilvl="2">
      <w:start w:val="1"/>
      <w:numFmt w:val="lowerRoman"/>
      <w:lvlText w:val="%3."/>
      <w:lvlJc w:val="right"/>
      <w:pPr>
        <w:tabs>
          <w:tab w:val="num" w:pos="1905"/>
        </w:tabs>
        <w:ind w:left="1905" w:hanging="420"/>
      </w:pPr>
    </w:lvl>
    <w:lvl w:ilvl="3">
      <w:start w:val="1"/>
      <w:numFmt w:val="decimal"/>
      <w:lvlText w:val="%4."/>
      <w:lvlJc w:val="left"/>
      <w:pPr>
        <w:tabs>
          <w:tab w:val="num" w:pos="2325"/>
        </w:tabs>
        <w:ind w:left="2325" w:hanging="420"/>
      </w:pPr>
    </w:lvl>
    <w:lvl w:ilvl="4">
      <w:start w:val="1"/>
      <w:numFmt w:val="lowerLetter"/>
      <w:lvlText w:val="%5)"/>
      <w:lvlJc w:val="left"/>
      <w:pPr>
        <w:tabs>
          <w:tab w:val="num" w:pos="2745"/>
        </w:tabs>
        <w:ind w:left="2745" w:hanging="420"/>
      </w:pPr>
    </w:lvl>
    <w:lvl w:ilvl="5">
      <w:start w:val="1"/>
      <w:numFmt w:val="lowerRoman"/>
      <w:lvlText w:val="%6."/>
      <w:lvlJc w:val="right"/>
      <w:pPr>
        <w:tabs>
          <w:tab w:val="num" w:pos="3165"/>
        </w:tabs>
        <w:ind w:left="3165" w:hanging="420"/>
      </w:pPr>
    </w:lvl>
    <w:lvl w:ilvl="6">
      <w:start w:val="1"/>
      <w:numFmt w:val="decimal"/>
      <w:lvlText w:val="%7."/>
      <w:lvlJc w:val="left"/>
      <w:pPr>
        <w:tabs>
          <w:tab w:val="num" w:pos="3585"/>
        </w:tabs>
        <w:ind w:left="3585" w:hanging="420"/>
      </w:pPr>
    </w:lvl>
    <w:lvl w:ilvl="7">
      <w:start w:val="1"/>
      <w:numFmt w:val="lowerLetter"/>
      <w:lvlText w:val="%8)"/>
      <w:lvlJc w:val="left"/>
      <w:pPr>
        <w:tabs>
          <w:tab w:val="num" w:pos="4005"/>
        </w:tabs>
        <w:ind w:left="4005" w:hanging="420"/>
      </w:pPr>
    </w:lvl>
    <w:lvl w:ilvl="8">
      <w:start w:val="1"/>
      <w:numFmt w:val="lowerRoman"/>
      <w:lvlText w:val="%9."/>
      <w:lvlJc w:val="right"/>
      <w:pPr>
        <w:tabs>
          <w:tab w:val="num" w:pos="4425"/>
        </w:tabs>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E5DCA"/>
    <w:rsid w:val="00C05306"/>
    <w:rsid w:val="019E71BD"/>
    <w:rsid w:val="04B679C3"/>
    <w:rsid w:val="080F63D8"/>
    <w:rsid w:val="08536AF8"/>
    <w:rsid w:val="09341458"/>
    <w:rsid w:val="0A4A1EA4"/>
    <w:rsid w:val="0B0912D7"/>
    <w:rsid w:val="0CF238BD"/>
    <w:rsid w:val="0D3B63AF"/>
    <w:rsid w:val="0EAC3F99"/>
    <w:rsid w:val="108A70CC"/>
    <w:rsid w:val="11C40236"/>
    <w:rsid w:val="152D2DCA"/>
    <w:rsid w:val="15860794"/>
    <w:rsid w:val="17203FFF"/>
    <w:rsid w:val="1DEC284C"/>
    <w:rsid w:val="1E6523AC"/>
    <w:rsid w:val="1F4B5B70"/>
    <w:rsid w:val="20C75AE2"/>
    <w:rsid w:val="22440422"/>
    <w:rsid w:val="2FB74C6D"/>
    <w:rsid w:val="31A15F24"/>
    <w:rsid w:val="31A23602"/>
    <w:rsid w:val="33297E04"/>
    <w:rsid w:val="353B6503"/>
    <w:rsid w:val="395347B5"/>
    <w:rsid w:val="39A232A0"/>
    <w:rsid w:val="39E745AA"/>
    <w:rsid w:val="3B5A6BBB"/>
    <w:rsid w:val="3C3875E4"/>
    <w:rsid w:val="3EDA13A6"/>
    <w:rsid w:val="42F058B7"/>
    <w:rsid w:val="436109F6"/>
    <w:rsid w:val="441A38D4"/>
    <w:rsid w:val="44392FF0"/>
    <w:rsid w:val="46BF69A5"/>
    <w:rsid w:val="48875F9F"/>
    <w:rsid w:val="495159B9"/>
    <w:rsid w:val="4BC77339"/>
    <w:rsid w:val="4BCD7298"/>
    <w:rsid w:val="4C9236C5"/>
    <w:rsid w:val="4FFC165F"/>
    <w:rsid w:val="505C172E"/>
    <w:rsid w:val="52F46F0B"/>
    <w:rsid w:val="53D8014D"/>
    <w:rsid w:val="55E064E0"/>
    <w:rsid w:val="572C6D10"/>
    <w:rsid w:val="57E476E4"/>
    <w:rsid w:val="5AA62CEC"/>
    <w:rsid w:val="5DC34279"/>
    <w:rsid w:val="5E807D87"/>
    <w:rsid w:val="5F0B0627"/>
    <w:rsid w:val="608816D1"/>
    <w:rsid w:val="60EF4E7F"/>
    <w:rsid w:val="623406BD"/>
    <w:rsid w:val="6258311F"/>
    <w:rsid w:val="6457284A"/>
    <w:rsid w:val="64A15F39"/>
    <w:rsid w:val="665233C1"/>
    <w:rsid w:val="690A6D8E"/>
    <w:rsid w:val="691B293E"/>
    <w:rsid w:val="6A286272"/>
    <w:rsid w:val="6AD9688B"/>
    <w:rsid w:val="6D0E3F22"/>
    <w:rsid w:val="739576C1"/>
    <w:rsid w:val="75324844"/>
    <w:rsid w:val="77B45839"/>
    <w:rsid w:val="7B53648E"/>
    <w:rsid w:val="7C9011D9"/>
    <w:rsid w:val="7DC651C5"/>
    <w:rsid w:val="7DE07D1B"/>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325F57A-C4D3-4CF9-80D5-79C9ACD5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baike.baidu.com/item/%E4%B8%AD%E5%8D%8E%E4%BA%BA%E6%B0%91%E5%85%B1%E5%92%8C%E5%9B%BD%E5%85%AC%E8%B7%AF%E6%B3%9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item/%E5%BB%BA%E8%AE%BE%E5%B7%A5%E7%A8%8B%E5%AE%89%E5%85%A8%E7%94%9F%E4%BA%A7%E7%AE%A1%E7%90%86%E6%9D%A1%E4%BE%8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aike.baidu.com/item/%E5%BB%BA%E8%AE%BE%E5%B7%A5%E7%A8%8B%E8%B4%A8%E9%87%8F%E7%AE%A1%E7%90%86%E6%9D%A1%E4%BE%8B" TargetMode="External"/><Relationship Id="rId4" Type="http://schemas.openxmlformats.org/officeDocument/2006/relationships/settings" Target="settings.xml"/><Relationship Id="rId9" Type="http://schemas.openxmlformats.org/officeDocument/2006/relationships/hyperlink" Target="http://baike.baidu.com/item/%E4%B8%AD%E5%8D%8E%E4%BA%BA%E6%B0%91%E5%85%B1%E5%92%8C%E5%9B%BD%E5%AE%89%E5%85%A8%E7%94%9F%E4%BA%A7%E6%B3%9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809</Words>
  <Characters>4613</Characters>
  <Application>Microsoft Office Word</Application>
  <DocSecurity>0</DocSecurity>
  <Lines>38</Lines>
  <Paragraphs>10</Paragraphs>
  <ScaleCrop>false</ScaleCrop>
  <Company>神州网信技术有限公司</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DELL</cp:lastModifiedBy>
  <cp:revision>2</cp:revision>
  <cp:lastPrinted>2021-10-26T03:30:00Z</cp:lastPrinted>
  <dcterms:created xsi:type="dcterms:W3CDTF">2021-09-09T02:41:00Z</dcterms:created>
  <dcterms:modified xsi:type="dcterms:W3CDTF">2021-12-13T03:30:00Z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086CFB12F6D044FF802B8D896B79F1B9</vt:lpwstr>
  </property>
</Properties>
</file>