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keepNext w:val="0"/>
        <w:keepLines w:val="0"/>
        <w:pageBreakBefore w:val="0"/>
        <w:kinsoku/>
        <w:wordWrap/>
        <w:overflowPunct/>
        <w:topLinePunct w:val="0"/>
        <w:autoSpaceDE/>
        <w:autoSpaceDN/>
        <w:bidi w:val="0"/>
        <w:spacing w:line="560" w:lineRule="exact"/>
      </w:pPr>
    </w:p>
    <w:p>
      <w:pPr>
        <w:pStyle w:val="49"/>
        <w:keepNext w:val="0"/>
        <w:keepLines w:val="0"/>
        <w:pageBreakBefore w:val="0"/>
        <w:kinsoku/>
        <w:wordWrap/>
        <w:overflowPunct/>
        <w:topLinePunct w:val="0"/>
        <w:autoSpaceDE/>
        <w:autoSpaceDN/>
        <w:bidi w:val="0"/>
        <w:spacing w:line="560" w:lineRule="exact"/>
      </w:pPr>
    </w:p>
    <w:p>
      <w:pPr>
        <w:pStyle w:val="49"/>
        <w:keepNext w:val="0"/>
        <w:keepLines w:val="0"/>
        <w:pageBreakBefore w:val="0"/>
        <w:kinsoku/>
        <w:wordWrap/>
        <w:overflowPunct/>
        <w:topLinePunct w:val="0"/>
        <w:autoSpaceDE/>
        <w:autoSpaceDN/>
        <w:bidi w:val="0"/>
        <w:spacing w:line="560" w:lineRule="exact"/>
      </w:pPr>
    </w:p>
    <w:p>
      <w:pPr>
        <w:pStyle w:val="49"/>
        <w:keepNext w:val="0"/>
        <w:keepLines w:val="0"/>
        <w:pageBreakBefore w:val="0"/>
        <w:kinsoku/>
        <w:wordWrap/>
        <w:overflowPunct/>
        <w:topLinePunct w:val="0"/>
        <w:autoSpaceDE/>
        <w:autoSpaceDN/>
        <w:bidi w:val="0"/>
        <w:spacing w:line="560" w:lineRule="exact"/>
      </w:pPr>
    </w:p>
    <w:p>
      <w:pPr>
        <w:pStyle w:val="49"/>
        <w:keepNext w:val="0"/>
        <w:keepLines w:val="0"/>
        <w:pageBreakBefore w:val="0"/>
        <w:kinsoku/>
        <w:wordWrap/>
        <w:overflowPunct/>
        <w:topLinePunct w:val="0"/>
        <w:autoSpaceDE/>
        <w:autoSpaceDN/>
        <w:bidi w:val="0"/>
        <w:spacing w:line="560" w:lineRule="exact"/>
      </w:pPr>
    </w:p>
    <w:p>
      <w:pPr>
        <w:keepNext w:val="0"/>
        <w:keepLines w:val="0"/>
        <w:pageBreakBefore w:val="0"/>
        <w:widowControl/>
        <w:kinsoku/>
        <w:wordWrap/>
        <w:overflowPunct/>
        <w:topLinePunct w:val="0"/>
        <w:autoSpaceDE/>
        <w:autoSpaceDN/>
        <w:bidi w:val="0"/>
        <w:spacing w:line="560" w:lineRule="exact"/>
        <w:ind w:left="880" w:hanging="880"/>
        <w:jc w:val="center"/>
        <w:rPr>
          <w:rFonts w:ascii="方正小标宋_GBK" w:hAnsi="Times New Roman" w:eastAsia="方正小标宋_GBK" w:cs="Times New Roman"/>
          <w:kern w:val="0"/>
          <w:sz w:val="44"/>
          <w:szCs w:val="44"/>
        </w:rPr>
      </w:pPr>
      <w:r>
        <w:rPr>
          <w:rFonts w:ascii="方正小标宋_GBK" w:hAnsi="Times New Roman" w:eastAsia="方正小标宋_GBK" w:cs="Times New Roman"/>
          <w:kern w:val="0"/>
          <w:sz w:val="44"/>
          <w:szCs w:val="44"/>
        </w:rPr>
        <w:t>2020</w:t>
      </w:r>
      <w:r>
        <w:rPr>
          <w:rFonts w:hint="eastAsia" w:ascii="方正小标宋_GBK" w:hAnsi="Times New Roman" w:eastAsia="方正小标宋_GBK" w:cs="方正小标宋_GBK"/>
          <w:kern w:val="0"/>
          <w:sz w:val="44"/>
          <w:szCs w:val="44"/>
        </w:rPr>
        <w:t>年度青岛市市场监督管理局</w:t>
      </w:r>
    </w:p>
    <w:p>
      <w:pPr>
        <w:keepNext w:val="0"/>
        <w:keepLines w:val="0"/>
        <w:pageBreakBefore w:val="0"/>
        <w:widowControl/>
        <w:kinsoku/>
        <w:wordWrap/>
        <w:overflowPunct/>
        <w:topLinePunct w:val="0"/>
        <w:autoSpaceDE/>
        <w:autoSpaceDN/>
        <w:bidi w:val="0"/>
        <w:spacing w:line="560" w:lineRule="exact"/>
        <w:ind w:left="880" w:hanging="880"/>
        <w:jc w:val="center"/>
        <w:rPr>
          <w:rFonts w:ascii="方正小标宋_GBK" w:hAnsi="Times New Roman" w:eastAsia="方正小标宋_GBK" w:cs="方正小标宋_GBK"/>
          <w:kern w:val="0"/>
          <w:sz w:val="44"/>
          <w:szCs w:val="44"/>
        </w:rPr>
      </w:pPr>
      <w:r>
        <w:rPr>
          <w:rFonts w:hint="eastAsia" w:ascii="方正小标宋_GBK" w:hAnsi="Times New Roman" w:eastAsia="方正小标宋_GBK" w:cs="方正小标宋_GBK"/>
          <w:kern w:val="0"/>
          <w:sz w:val="44"/>
          <w:szCs w:val="44"/>
          <w:lang w:eastAsia="zh-CN"/>
        </w:rPr>
        <w:t>专项业务费</w:t>
      </w:r>
      <w:r>
        <w:rPr>
          <w:rFonts w:hint="eastAsia" w:ascii="方正小标宋_GBK" w:hAnsi="Times New Roman" w:eastAsia="方正小标宋_GBK" w:cs="方正小标宋_GBK"/>
          <w:kern w:val="0"/>
          <w:sz w:val="44"/>
          <w:szCs w:val="44"/>
        </w:rPr>
        <w:t>绩效评价报告</w:t>
      </w:r>
    </w:p>
    <w:p>
      <w:pPr>
        <w:keepNext w:val="0"/>
        <w:keepLines w:val="0"/>
        <w:pageBreakBefore w:val="0"/>
        <w:kinsoku/>
        <w:wordWrap/>
        <w:overflowPunct/>
        <w:topLinePunct w:val="0"/>
        <w:autoSpaceDE/>
        <w:autoSpaceDN/>
        <w:bidi w:val="0"/>
        <w:spacing w:line="560" w:lineRule="exact"/>
        <w:ind w:left="1040" w:hanging="1040"/>
        <w:jc w:val="center"/>
        <w:rPr>
          <w:rFonts w:hint="eastAsia" w:ascii="Times New Roman" w:hAnsi="Times New Roman" w:eastAsia="文星简黑体" w:cs="Times New Roman"/>
          <w:sz w:val="52"/>
          <w:szCs w:val="52"/>
          <w:lang w:eastAsia="zh-CN"/>
        </w:rPr>
      </w:pPr>
      <w:r>
        <w:rPr>
          <w:rFonts w:hint="eastAsia" w:ascii="方正小标宋_GBK" w:hAnsi="Times New Roman" w:eastAsia="方正小标宋_GBK" w:cs="方正小标宋_GBK"/>
          <w:kern w:val="0"/>
          <w:sz w:val="44"/>
          <w:szCs w:val="44"/>
          <w:lang w:val="en-US" w:eastAsia="zh-CN"/>
        </w:rPr>
        <w:t xml:space="preserve"> </w:t>
      </w:r>
    </w:p>
    <w:p>
      <w:pPr>
        <w:keepNext w:val="0"/>
        <w:keepLines w:val="0"/>
        <w:pageBreakBefore w:val="0"/>
        <w:kinsoku/>
        <w:wordWrap/>
        <w:overflowPunct/>
        <w:topLinePunct w:val="0"/>
        <w:autoSpaceDE/>
        <w:autoSpaceDN/>
        <w:bidi w:val="0"/>
        <w:spacing w:line="560" w:lineRule="exact"/>
        <w:ind w:left="1040" w:hanging="1040"/>
        <w:jc w:val="center"/>
        <w:rPr>
          <w:rFonts w:ascii="Times New Roman" w:hAnsi="Times New Roman" w:eastAsia="文星简黑体" w:cs="Times New Roman"/>
          <w:sz w:val="52"/>
          <w:szCs w:val="52"/>
        </w:rPr>
      </w:pPr>
    </w:p>
    <w:p>
      <w:pPr>
        <w:keepNext w:val="0"/>
        <w:keepLines w:val="0"/>
        <w:pageBreakBefore w:val="0"/>
        <w:kinsoku/>
        <w:wordWrap/>
        <w:overflowPunct/>
        <w:topLinePunct w:val="0"/>
        <w:autoSpaceDE/>
        <w:autoSpaceDN/>
        <w:bidi w:val="0"/>
        <w:spacing w:line="560" w:lineRule="exact"/>
        <w:ind w:left="1040" w:hanging="1040"/>
        <w:jc w:val="center"/>
        <w:rPr>
          <w:rFonts w:ascii="Times New Roman" w:hAnsi="Times New Roman" w:eastAsia="文星简黑体" w:cs="Times New Roman"/>
          <w:sz w:val="52"/>
          <w:szCs w:val="52"/>
        </w:rPr>
      </w:pPr>
    </w:p>
    <w:p>
      <w:pPr>
        <w:keepNext w:val="0"/>
        <w:keepLines w:val="0"/>
        <w:pageBreakBefore w:val="0"/>
        <w:kinsoku/>
        <w:wordWrap/>
        <w:overflowPunct/>
        <w:topLinePunct w:val="0"/>
        <w:autoSpaceDE/>
        <w:autoSpaceDN/>
        <w:bidi w:val="0"/>
        <w:spacing w:line="560" w:lineRule="exact"/>
        <w:ind w:left="1040" w:hanging="1040"/>
        <w:jc w:val="center"/>
        <w:rPr>
          <w:rFonts w:ascii="Times New Roman" w:hAnsi="Times New Roman" w:eastAsia="文星简黑体" w:cs="Times New Roman"/>
          <w:sz w:val="52"/>
          <w:szCs w:val="52"/>
        </w:rPr>
      </w:pPr>
    </w:p>
    <w:p>
      <w:pPr>
        <w:pStyle w:val="2"/>
        <w:keepNext w:val="0"/>
        <w:keepLines w:val="0"/>
        <w:pageBreakBefore w:val="0"/>
        <w:kinsoku/>
        <w:wordWrap/>
        <w:overflowPunct/>
        <w:topLinePunct w:val="0"/>
        <w:autoSpaceDE/>
        <w:autoSpaceDN/>
        <w:bidi w:val="0"/>
        <w:spacing w:line="560" w:lineRule="exact"/>
      </w:pPr>
    </w:p>
    <w:p>
      <w:pPr>
        <w:keepNext w:val="0"/>
        <w:keepLines w:val="0"/>
        <w:pageBreakBefore w:val="0"/>
        <w:kinsoku/>
        <w:wordWrap/>
        <w:overflowPunct/>
        <w:topLinePunct w:val="0"/>
        <w:autoSpaceDE/>
        <w:autoSpaceDN/>
        <w:bidi w:val="0"/>
        <w:spacing w:line="560" w:lineRule="exact"/>
        <w:ind w:left="1040" w:hanging="1040"/>
        <w:jc w:val="center"/>
        <w:rPr>
          <w:rFonts w:ascii="Times New Roman" w:hAnsi="Times New Roman" w:eastAsia="文星简黑体" w:cs="Times New Roman"/>
          <w:sz w:val="52"/>
          <w:szCs w:val="52"/>
        </w:rPr>
      </w:pPr>
    </w:p>
    <w:p>
      <w:pPr>
        <w:keepNext w:val="0"/>
        <w:keepLines w:val="0"/>
        <w:pageBreakBefore w:val="0"/>
        <w:kinsoku/>
        <w:wordWrap/>
        <w:overflowPunct/>
        <w:topLinePunct w:val="0"/>
        <w:autoSpaceDE/>
        <w:autoSpaceDN/>
        <w:bidi w:val="0"/>
        <w:spacing w:before="120" w:after="120" w:line="560" w:lineRule="exact"/>
        <w:ind w:left="640" w:hanging="640"/>
        <w:jc w:val="center"/>
        <w:rPr>
          <w:rStyle w:val="94"/>
          <w:rFonts w:hint="eastAsia" w:ascii="黑体" w:hAnsi="黑体" w:eastAsia="黑体" w:cs="黑体"/>
          <w:color w:val="000000"/>
          <w:sz w:val="32"/>
          <w:szCs w:val="32"/>
        </w:rPr>
      </w:pPr>
      <w:bookmarkStart w:id="0" w:name="_Toc24552"/>
      <w:r>
        <w:rPr>
          <w:rFonts w:hint="eastAsia" w:ascii="黑体" w:hAnsi="黑体" w:eastAsia="黑体" w:cs="黑体"/>
          <w:color w:val="000000"/>
          <w:sz w:val="32"/>
          <w:szCs w:val="32"/>
        </w:rPr>
        <w:t>评价单位（盖章）：</w:t>
      </w:r>
      <w:r>
        <w:rPr>
          <w:rStyle w:val="94"/>
          <w:rFonts w:hint="eastAsia" w:ascii="黑体" w:hAnsi="黑体" w:eastAsia="黑体" w:cs="黑体"/>
          <w:color w:val="000000"/>
          <w:sz w:val="32"/>
          <w:szCs w:val="32"/>
        </w:rPr>
        <w:t>青岛市市场监督管理局</w:t>
      </w:r>
    </w:p>
    <w:p>
      <w:pPr>
        <w:keepNext w:val="0"/>
        <w:keepLines w:val="0"/>
        <w:pageBreakBefore w:val="0"/>
        <w:kinsoku/>
        <w:wordWrap/>
        <w:overflowPunct/>
        <w:topLinePunct w:val="0"/>
        <w:autoSpaceDE/>
        <w:autoSpaceDN/>
        <w:bidi w:val="0"/>
        <w:spacing w:before="120" w:after="120" w:line="560" w:lineRule="exact"/>
        <w:jc w:val="center"/>
        <w:rPr>
          <w:rStyle w:val="94"/>
          <w:rFonts w:hint="eastAsia" w:ascii="楷体_GB2312" w:hAnsi="黑体" w:eastAsia="楷体_GB2312"/>
          <w:color w:val="000000"/>
          <w:sz w:val="32"/>
          <w:szCs w:val="32"/>
        </w:rPr>
      </w:pPr>
    </w:p>
    <w:p>
      <w:pPr>
        <w:keepNext w:val="0"/>
        <w:keepLines w:val="0"/>
        <w:pageBreakBefore w:val="0"/>
        <w:kinsoku/>
        <w:wordWrap/>
        <w:overflowPunct/>
        <w:topLinePunct w:val="0"/>
        <w:autoSpaceDE/>
        <w:autoSpaceDN/>
        <w:bidi w:val="0"/>
        <w:spacing w:before="120" w:after="120" w:line="560" w:lineRule="exact"/>
        <w:jc w:val="center"/>
        <w:rPr>
          <w:rStyle w:val="94"/>
          <w:rFonts w:hint="eastAsia" w:ascii="楷体_GB2312" w:hAnsi="黑体" w:eastAsia="楷体_GB2312"/>
          <w:color w:val="000000"/>
          <w:sz w:val="32"/>
          <w:szCs w:val="32"/>
        </w:rPr>
      </w:pPr>
    </w:p>
    <w:p>
      <w:pPr>
        <w:keepNext w:val="0"/>
        <w:keepLines w:val="0"/>
        <w:pageBreakBefore w:val="0"/>
        <w:kinsoku/>
        <w:wordWrap/>
        <w:overflowPunct/>
        <w:topLinePunct w:val="0"/>
        <w:autoSpaceDE/>
        <w:autoSpaceDN/>
        <w:bidi w:val="0"/>
        <w:spacing w:before="120" w:after="120" w:line="560" w:lineRule="exact"/>
        <w:jc w:val="center"/>
        <w:rPr>
          <w:rStyle w:val="94"/>
          <w:rFonts w:hint="eastAsia" w:ascii="黑体" w:hAnsi="黑体" w:eastAsia="黑体" w:cs="黑体"/>
          <w:color w:val="000000"/>
          <w:sz w:val="32"/>
          <w:szCs w:val="32"/>
        </w:rPr>
      </w:pPr>
      <w:r>
        <w:rPr>
          <w:rStyle w:val="94"/>
          <w:rFonts w:hint="eastAsia" w:ascii="黑体" w:hAnsi="黑体" w:eastAsia="黑体" w:cs="黑体"/>
          <w:color w:val="000000"/>
          <w:sz w:val="32"/>
          <w:szCs w:val="32"/>
        </w:rPr>
        <w:t>2021年05月</w:t>
      </w:r>
    </w:p>
    <w:p>
      <w:pPr>
        <w:pStyle w:val="4"/>
        <w:keepNext w:val="0"/>
        <w:keepLines w:val="0"/>
        <w:pageBreakBefore w:val="0"/>
        <w:numPr>
          <w:ilvl w:val="0"/>
          <w:numId w:val="0"/>
        </w:numPr>
        <w:kinsoku/>
        <w:wordWrap/>
        <w:overflowPunct/>
        <w:topLinePunct w:val="0"/>
        <w:autoSpaceDE/>
        <w:autoSpaceDN/>
        <w:bidi w:val="0"/>
        <w:spacing w:before="0" w:after="0" w:line="560" w:lineRule="exact"/>
        <w:ind w:firstLine="1100" w:firstLineChars="250"/>
        <w:jc w:val="center"/>
        <w:rPr>
          <w:rFonts w:hint="eastAsia" w:ascii="方正小标宋简体" w:hAnsi="方正小标宋简体" w:eastAsia="方正小标宋简体" w:cs="方正小标宋简体"/>
          <w:bCs/>
          <w:sz w:val="44"/>
          <w:szCs w:val="44"/>
          <w:lang w:val="en-US" w:eastAsia="zh-CN"/>
        </w:rPr>
      </w:pPr>
    </w:p>
    <w:p>
      <w:pPr>
        <w:pStyle w:val="4"/>
        <w:keepNext w:val="0"/>
        <w:keepLines w:val="0"/>
        <w:pageBreakBefore w:val="0"/>
        <w:numPr>
          <w:ilvl w:val="0"/>
          <w:numId w:val="0"/>
        </w:numPr>
        <w:kinsoku/>
        <w:wordWrap/>
        <w:overflowPunct/>
        <w:topLinePunct w:val="0"/>
        <w:autoSpaceDE/>
        <w:autoSpaceDN/>
        <w:bidi w:val="0"/>
        <w:spacing w:before="0" w:after="0" w:line="560" w:lineRule="exact"/>
        <w:ind w:firstLine="1100" w:firstLineChars="250"/>
        <w:jc w:val="center"/>
        <w:rPr>
          <w:rFonts w:hint="eastAsia" w:ascii="方正小标宋简体" w:hAnsi="方正小标宋简体" w:eastAsia="方正小标宋简体" w:cs="方正小标宋简体"/>
          <w:bCs/>
          <w:sz w:val="44"/>
          <w:szCs w:val="44"/>
          <w:lang w:val="en-US" w:eastAsia="zh-CN"/>
        </w:rPr>
      </w:pPr>
    </w:p>
    <w:p>
      <w:pPr>
        <w:pStyle w:val="4"/>
        <w:keepNext w:val="0"/>
        <w:keepLines w:val="0"/>
        <w:pageBreakBefore w:val="0"/>
        <w:numPr>
          <w:ilvl w:val="0"/>
          <w:numId w:val="0"/>
        </w:numPr>
        <w:kinsoku/>
        <w:wordWrap/>
        <w:overflowPunct/>
        <w:topLinePunct w:val="0"/>
        <w:autoSpaceDE/>
        <w:autoSpaceDN/>
        <w:bidi w:val="0"/>
        <w:spacing w:before="0" w:after="0" w:line="560" w:lineRule="exact"/>
        <w:jc w:val="both"/>
        <w:rPr>
          <w:rFonts w:hint="eastAsia" w:ascii="方正小标宋简体" w:hAnsi="方正小标宋简体" w:eastAsia="方正小标宋简体" w:cs="方正小标宋简体"/>
          <w:bCs/>
          <w:sz w:val="44"/>
          <w:szCs w:val="44"/>
          <w:lang w:val="en-US" w:eastAsia="zh-CN"/>
        </w:rPr>
      </w:pPr>
    </w:p>
    <w:p>
      <w:pPr>
        <w:pStyle w:val="4"/>
        <w:keepNext w:val="0"/>
        <w:keepLines w:val="0"/>
        <w:pageBreakBefore w:val="0"/>
        <w:numPr>
          <w:ilvl w:val="0"/>
          <w:numId w:val="0"/>
        </w:numPr>
        <w:kinsoku/>
        <w:wordWrap/>
        <w:overflowPunct/>
        <w:topLinePunct w:val="0"/>
        <w:autoSpaceDE/>
        <w:autoSpaceDN/>
        <w:bidi w:val="0"/>
        <w:spacing w:before="0" w:after="0" w:line="560" w:lineRule="exact"/>
        <w:jc w:val="center"/>
        <w:rPr>
          <w:rFonts w:hint="eastAsia" w:ascii="方正小标宋简体" w:hAnsi="方正小标宋简体" w:eastAsia="方正小标宋简体" w:cs="方正小标宋简体"/>
          <w:bCs/>
          <w:sz w:val="44"/>
          <w:szCs w:val="44"/>
          <w:lang w:val="en-US" w:eastAsia="zh-CN"/>
        </w:rPr>
      </w:pPr>
    </w:p>
    <w:p>
      <w:pPr>
        <w:pStyle w:val="4"/>
        <w:keepNext w:val="0"/>
        <w:keepLines w:val="0"/>
        <w:pageBreakBefore w:val="0"/>
        <w:numPr>
          <w:ilvl w:val="0"/>
          <w:numId w:val="0"/>
        </w:numPr>
        <w:kinsoku/>
        <w:wordWrap/>
        <w:overflowPunct/>
        <w:topLinePunct w:val="0"/>
        <w:autoSpaceDE/>
        <w:autoSpaceDN/>
        <w:bidi w:val="0"/>
        <w:spacing w:before="0" w:after="0"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2020年度青岛市市场监督管理局</w:t>
      </w:r>
    </w:p>
    <w:p>
      <w:pPr>
        <w:pStyle w:val="4"/>
        <w:keepNext w:val="0"/>
        <w:keepLines w:val="0"/>
        <w:pageBreakBefore w:val="0"/>
        <w:numPr>
          <w:ilvl w:val="0"/>
          <w:numId w:val="0"/>
        </w:numPr>
        <w:kinsoku/>
        <w:wordWrap/>
        <w:overflowPunct/>
        <w:topLinePunct w:val="0"/>
        <w:autoSpaceDE/>
        <w:autoSpaceDN/>
        <w:bidi w:val="0"/>
        <w:spacing w:before="0" w:after="0"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专项业务费绩效评价报告</w:t>
      </w:r>
    </w:p>
    <w:p>
      <w:pPr>
        <w:keepNext w:val="0"/>
        <w:keepLines w:val="0"/>
        <w:pageBreakBefore w:val="0"/>
        <w:kinsoku/>
        <w:wordWrap/>
        <w:overflowPunct/>
        <w:topLinePunct w:val="0"/>
        <w:autoSpaceDE/>
        <w:autoSpaceDN/>
        <w:bidi w:val="0"/>
        <w:spacing w:line="560" w:lineRule="exact"/>
        <w:jc w:val="center"/>
        <w:rPr>
          <w:rFonts w:hint="eastAsia"/>
          <w:lang w:val="en-US" w:eastAsia="zh-CN"/>
        </w:rPr>
      </w:pPr>
    </w:p>
    <w:p>
      <w:pPr>
        <w:pStyle w:val="4"/>
        <w:keepNext w:val="0"/>
        <w:keepLines w:val="0"/>
        <w:pageBreakBefore w:val="0"/>
        <w:numPr>
          <w:ilvl w:val="0"/>
          <w:numId w:val="0"/>
        </w:numPr>
        <w:kinsoku/>
        <w:wordWrap/>
        <w:overflowPunct/>
        <w:topLinePunct w:val="0"/>
        <w:autoSpaceDE/>
        <w:autoSpaceDN/>
        <w:bidi w:val="0"/>
        <w:spacing w:before="0" w:after="0" w:line="560" w:lineRule="exact"/>
        <w:ind w:firstLine="800" w:firstLineChars="250"/>
        <w:rPr>
          <w:rFonts w:hint="eastAsia" w:ascii="黑体" w:eastAsia="黑体" w:cs="黑体"/>
          <w:bCs/>
          <w:lang w:eastAsia="zh-CN"/>
        </w:rPr>
      </w:pPr>
      <w:r>
        <w:rPr>
          <w:rFonts w:hint="eastAsia" w:ascii="黑体" w:hAnsi="黑体" w:cs="黑体"/>
          <w:bCs/>
        </w:rPr>
        <w:t>一、</w:t>
      </w:r>
      <w:bookmarkEnd w:id="0"/>
      <w:r>
        <w:rPr>
          <w:rFonts w:hint="eastAsia" w:ascii="黑体" w:hAnsi="黑体" w:cs="黑体"/>
          <w:bCs/>
          <w:lang w:eastAsia="zh-CN"/>
        </w:rPr>
        <w:t>基本情况</w:t>
      </w:r>
    </w:p>
    <w:p>
      <w:pPr>
        <w:keepNext w:val="0"/>
        <w:keepLines w:val="0"/>
        <w:pageBreakBefore w:val="0"/>
        <w:tabs>
          <w:tab w:val="left" w:pos="3771"/>
        </w:tabs>
        <w:kinsoku/>
        <w:wordWrap/>
        <w:overflowPunct/>
        <w:topLinePunct w:val="0"/>
        <w:autoSpaceDE/>
        <w:autoSpaceDN/>
        <w:bidi w:val="0"/>
        <w:spacing w:line="560" w:lineRule="exact"/>
        <w:ind w:firstLine="640" w:firstLineChars="200"/>
        <w:rPr>
          <w:rFonts w:hint="eastAsia" w:ascii="楷体_GB2312" w:hAnsi="仿宋" w:eastAsia="楷体_GB2312"/>
          <w:bCs/>
          <w:sz w:val="32"/>
          <w:szCs w:val="32"/>
          <w:lang w:eastAsia="zh-CN"/>
        </w:rPr>
      </w:pPr>
      <w:r>
        <w:rPr>
          <w:rFonts w:hint="eastAsia" w:ascii="楷体_GB2312" w:hAnsi="仿宋" w:eastAsia="楷体_GB2312"/>
          <w:bCs/>
          <w:sz w:val="32"/>
          <w:szCs w:val="32"/>
          <w:lang w:eastAsia="zh-CN"/>
        </w:rPr>
        <w:t>（一）项目概况</w:t>
      </w:r>
    </w:p>
    <w:p>
      <w:pPr>
        <w:keepNext w:val="0"/>
        <w:keepLines w:val="0"/>
        <w:pageBreakBefore w:val="0"/>
        <w:tabs>
          <w:tab w:val="left" w:pos="3771"/>
        </w:tabs>
        <w:kinsoku/>
        <w:wordWrap/>
        <w:overflowPunct/>
        <w:topLinePunct w:val="0"/>
        <w:autoSpaceDE/>
        <w:autoSpaceDN/>
        <w:bidi w:val="0"/>
        <w:spacing w:line="560" w:lineRule="exact"/>
        <w:ind w:firstLine="640" w:firstLineChars="200"/>
        <w:rPr>
          <w:rFonts w:hint="default"/>
          <w:lang w:val="en-US" w:eastAsia="zh-CN"/>
        </w:rPr>
      </w:pPr>
      <w:r>
        <w:rPr>
          <w:rFonts w:hint="eastAsia" w:ascii="仿宋_GB2312" w:hAnsi="仿宋" w:eastAsia="仿宋_GB2312" w:cs="仿宋_GB2312"/>
          <w:sz w:val="32"/>
          <w:szCs w:val="32"/>
        </w:rPr>
        <w:t>根据《中共青岛市委</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青岛市人民政府关于青岛市市级机构改革的实施意见》（青发〔</w:t>
      </w:r>
      <w:r>
        <w:rPr>
          <w:rFonts w:ascii="仿宋_GB2312" w:hAnsi="仿宋" w:eastAsia="仿宋_GB2312" w:cs="仿宋_GB2312"/>
          <w:sz w:val="32"/>
          <w:szCs w:val="32"/>
        </w:rPr>
        <w:t>2018</w:t>
      </w:r>
      <w:r>
        <w:rPr>
          <w:rFonts w:hint="eastAsia" w:ascii="仿宋_GB2312" w:hAnsi="仿宋" w:eastAsia="仿宋_GB2312" w:cs="仿宋_GB2312"/>
          <w:sz w:val="32"/>
          <w:szCs w:val="32"/>
        </w:rPr>
        <w:t>〕</w:t>
      </w:r>
      <w:r>
        <w:rPr>
          <w:rFonts w:ascii="仿宋_GB2312" w:hAnsi="仿宋" w:eastAsia="仿宋_GB2312" w:cs="仿宋_GB2312"/>
          <w:sz w:val="32"/>
          <w:szCs w:val="32"/>
        </w:rPr>
        <w:t>61</w:t>
      </w:r>
      <w:r>
        <w:rPr>
          <w:rFonts w:hint="eastAsia" w:ascii="仿宋_GB2312" w:hAnsi="仿宋" w:eastAsia="仿宋_GB2312" w:cs="仿宋_GB2312"/>
          <w:sz w:val="32"/>
          <w:szCs w:val="32"/>
        </w:rPr>
        <w:t>号），将市工商行政管理局、市质量技术监督局、市食品药品监督管理局（市食品安全委员会办公室、市口岸药品监督管理局）的职责，以及市物价局的价格监督检查与反垄断相关职责，市商务局的打击侵犯知识产权和假冒伪劣商品、反垄断相关职责，市科学技术局的知识产权管理相关职责整合，组建市市场监督管理局（以下简称市市场监管局），作为市政府工作部门，加挂市知识产权局牌子。保留市食品安全委员会，具体工作由市市场监管局承担。</w:t>
      </w:r>
      <w:r>
        <w:rPr>
          <w:rFonts w:hint="eastAsia" w:ascii="仿宋_GB2312" w:hAnsi="仿宋" w:eastAsia="仿宋_GB2312" w:cs="仿宋_GB2312"/>
          <w:sz w:val="32"/>
          <w:szCs w:val="32"/>
          <w:lang w:eastAsia="zh-CN"/>
        </w:rPr>
        <w:t>该项资金为整合各单位专项业务费合并而成，用于市场监管业务开展。该项资金预算</w:t>
      </w:r>
      <w:r>
        <w:rPr>
          <w:rFonts w:hint="eastAsia" w:ascii="仿宋_GB2312" w:hAnsi="仿宋" w:eastAsia="仿宋_GB2312" w:cs="仿宋_GB2312"/>
          <w:sz w:val="32"/>
          <w:szCs w:val="32"/>
          <w:lang w:val="en-US" w:eastAsia="zh-CN"/>
        </w:rPr>
        <w:t>1710万元，全年实际支出1680.25万元，预算执行率98.26%。</w:t>
      </w:r>
    </w:p>
    <w:p>
      <w:pPr>
        <w:keepNext w:val="0"/>
        <w:keepLines w:val="0"/>
        <w:pageBreakBefore w:val="0"/>
        <w:numPr>
          <w:ilvl w:val="0"/>
          <w:numId w:val="2"/>
        </w:numPr>
        <w:kinsoku/>
        <w:wordWrap/>
        <w:overflowPunct/>
        <w:topLinePunct w:val="0"/>
        <w:autoSpaceDE/>
        <w:autoSpaceDN/>
        <w:bidi w:val="0"/>
        <w:spacing w:line="560" w:lineRule="exact"/>
        <w:ind w:firstLine="640" w:firstLineChars="200"/>
        <w:outlineLvl w:val="1"/>
        <w:rPr>
          <w:rFonts w:hint="eastAsia" w:ascii="楷体" w:hAnsi="楷体" w:eastAsia="楷体" w:cs="楷体_GB2312"/>
          <w:bCs/>
          <w:kern w:val="0"/>
          <w:sz w:val="32"/>
          <w:szCs w:val="32"/>
          <w:lang w:eastAsia="zh-CN"/>
        </w:rPr>
      </w:pPr>
      <w:r>
        <w:rPr>
          <w:rFonts w:hint="eastAsia" w:ascii="楷体" w:hAnsi="楷体" w:eastAsia="楷体" w:cs="楷体_GB2312"/>
          <w:bCs/>
          <w:kern w:val="0"/>
          <w:sz w:val="32"/>
          <w:szCs w:val="32"/>
          <w:lang w:eastAsia="zh-CN"/>
        </w:rPr>
        <w:t>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baseline"/>
        <w:rPr>
          <w:rFonts w:hint="eastAsia" w:ascii="仿宋_GB2312" w:hAnsi="仿宋_GB2312" w:eastAsia="仿宋_GB2312" w:cs="仿宋_GB2312"/>
          <w:bCs/>
          <w:kern w:val="0"/>
          <w:sz w:val="32"/>
          <w:szCs w:val="32"/>
          <w:u w:val="none"/>
          <w:lang w:eastAsia="zh-CN"/>
        </w:rPr>
      </w:pPr>
      <w:bookmarkStart w:id="1" w:name="_Toc26964732"/>
      <w:r>
        <w:rPr>
          <w:rFonts w:hint="eastAsia" w:ascii="仿宋_GB2312" w:hAnsi="仿宋_GB2312" w:eastAsia="仿宋_GB2312" w:cs="仿宋_GB2312"/>
          <w:bCs/>
          <w:kern w:val="0"/>
          <w:sz w:val="32"/>
          <w:szCs w:val="32"/>
          <w:u w:val="none"/>
          <w:lang w:eastAsia="zh-CN"/>
        </w:rPr>
        <w:t>年度绩效目标是：将疫情防控放在首要位置，既要经得起疫情防控的大考，又要肩负起推动经济社会高质量发展的重任，坚持疫情防控和经济社会发展“两手抓”，强化食品安全、药品安全、特种设备安全、产品质量安全监管；落实质量强市、知识产权强市、“标准化+”战略；营造良好的营商环境、消费环境、竞争环境，全面提升监管效能，为推动全市高质量发展作出新的更大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baseline"/>
        <w:rPr>
          <w:rStyle w:val="94"/>
          <w:rFonts w:hint="eastAsia" w:ascii="黑体" w:hAnsi="黑体" w:eastAsia="黑体" w:cs="黑体"/>
          <w:bCs/>
          <w:color w:val="000000"/>
          <w:sz w:val="32"/>
          <w:szCs w:val="32"/>
          <w:lang w:val="en-US" w:eastAsia="zh-CN"/>
        </w:rPr>
      </w:pPr>
      <w:r>
        <w:rPr>
          <w:rStyle w:val="94"/>
          <w:rFonts w:hint="eastAsia" w:ascii="黑体" w:hAnsi="黑体" w:eastAsia="黑体" w:cs="黑体"/>
          <w:bCs/>
          <w:color w:val="000000"/>
          <w:sz w:val="32"/>
          <w:szCs w:val="32"/>
          <w:lang w:val="en-US" w:eastAsia="zh-CN"/>
        </w:rPr>
        <w:t>二、绩效评价工作开展情况</w:t>
      </w:r>
    </w:p>
    <w:p>
      <w:pPr>
        <w:pStyle w:val="95"/>
        <w:keepNext w:val="0"/>
        <w:keepLines w:val="0"/>
        <w:pageBreakBefore w:val="0"/>
        <w:widowControl w:val="0"/>
        <w:kinsoku/>
        <w:wordWrap/>
        <w:overflowPunct/>
        <w:topLinePunct w:val="0"/>
        <w:autoSpaceDE/>
        <w:autoSpaceDN/>
        <w:bidi w:val="0"/>
        <w:adjustRightInd/>
        <w:snapToGrid/>
        <w:spacing w:line="560" w:lineRule="exact"/>
        <w:ind w:firstLine="480"/>
        <w:rPr>
          <w:rStyle w:val="94"/>
          <w:color w:val="000000"/>
        </w:rPr>
      </w:pPr>
      <w:bookmarkStart w:id="2" w:name="_Toc52359428"/>
      <w:r>
        <w:rPr>
          <w:rStyle w:val="94"/>
          <w:rFonts w:hint="eastAsia"/>
          <w:color w:val="000000"/>
        </w:rPr>
        <w:t>（一）</w:t>
      </w:r>
      <w:r>
        <w:rPr>
          <w:rStyle w:val="94"/>
          <w:rFonts w:hint="eastAsia"/>
          <w:color w:val="000000"/>
          <w:lang w:eastAsia="zh-CN"/>
        </w:rPr>
        <w:t>绩效</w:t>
      </w:r>
      <w:r>
        <w:rPr>
          <w:rStyle w:val="94"/>
          <w:rFonts w:hint="eastAsia"/>
          <w:color w:val="000000"/>
        </w:rPr>
        <w:t>评价</w:t>
      </w:r>
      <w:r>
        <w:rPr>
          <w:rStyle w:val="94"/>
          <w:rFonts w:hint="eastAsia"/>
          <w:color w:val="000000"/>
          <w:lang w:eastAsia="zh-CN"/>
        </w:rPr>
        <w:t>的目的、对象和范围</w:t>
      </w:r>
      <w:bookmarkEnd w:id="2"/>
    </w:p>
    <w:p>
      <w:pPr>
        <w:pStyle w:val="97"/>
        <w:keepNext w:val="0"/>
        <w:keepLines w:val="0"/>
        <w:pageBreakBefore w:val="0"/>
        <w:widowControl w:val="0"/>
        <w:kinsoku/>
        <w:wordWrap/>
        <w:overflowPunct/>
        <w:topLinePunct w:val="0"/>
        <w:autoSpaceDE/>
        <w:autoSpaceDN/>
        <w:bidi w:val="0"/>
        <w:adjustRightInd/>
        <w:snapToGrid/>
        <w:spacing w:line="560" w:lineRule="exact"/>
        <w:ind w:firstLine="480"/>
        <w:rPr>
          <w:rFonts w:hint="eastAsia" w:ascii="仿宋_GB2312" w:hAnsi="仿宋" w:eastAsia="仿宋_GB2312" w:cs="Times New Roman"/>
          <w:sz w:val="32"/>
          <w:szCs w:val="32"/>
        </w:rPr>
      </w:pPr>
      <w:bookmarkStart w:id="3" w:name="_Toc52359429"/>
      <w:r>
        <w:rPr>
          <w:rStyle w:val="94"/>
          <w:rFonts w:hint="eastAsia"/>
          <w:color w:val="000000"/>
          <w:lang w:val="en-US" w:eastAsia="zh-CN"/>
        </w:rPr>
        <w:t>1.</w:t>
      </w:r>
      <w:r>
        <w:rPr>
          <w:rStyle w:val="94"/>
          <w:rFonts w:hint="eastAsia"/>
          <w:color w:val="000000"/>
        </w:rPr>
        <w:t>评价目的</w:t>
      </w:r>
      <w:bookmarkEnd w:id="3"/>
      <w:r>
        <w:rPr>
          <w:rStyle w:val="94"/>
          <w:rFonts w:hint="eastAsia"/>
          <w:color w:val="000000"/>
          <w:lang w:eastAsia="zh-CN"/>
        </w:rPr>
        <w:t>。</w:t>
      </w:r>
      <w:r>
        <w:rPr>
          <w:rFonts w:hint="eastAsia" w:ascii="仿宋_GB2312" w:hAnsi="仿宋" w:eastAsia="仿宋_GB2312" w:cs="Times New Roman"/>
          <w:sz w:val="32"/>
          <w:szCs w:val="32"/>
        </w:rPr>
        <w:t>围绕</w:t>
      </w:r>
      <w:r>
        <w:rPr>
          <w:rFonts w:hint="eastAsia" w:ascii="仿宋_GB2312" w:hAnsi="仿宋" w:eastAsia="仿宋_GB2312" w:cs="Times New Roman"/>
          <w:sz w:val="32"/>
          <w:szCs w:val="32"/>
          <w:lang w:eastAsia="zh-CN"/>
        </w:rPr>
        <w:t>年初确定的工作目标</w:t>
      </w:r>
      <w:r>
        <w:rPr>
          <w:rFonts w:hint="eastAsia" w:ascii="仿宋_GB2312" w:hAnsi="仿宋" w:eastAsia="仿宋_GB2312" w:cs="Times New Roman"/>
          <w:sz w:val="32"/>
          <w:szCs w:val="32"/>
        </w:rPr>
        <w:t>，以预算资金为主线，从预算管理、职责履行、履职效能等方面，对预算资金的投入、使用过程、产出与效果进行系统和客观的评价，评价结果作为改进管理和编制以后年度预算依据。</w:t>
      </w:r>
    </w:p>
    <w:p>
      <w:pPr>
        <w:pStyle w:val="97"/>
        <w:keepNext w:val="0"/>
        <w:keepLines w:val="0"/>
        <w:pageBreakBefore w:val="0"/>
        <w:widowControl w:val="0"/>
        <w:kinsoku/>
        <w:wordWrap/>
        <w:overflowPunct/>
        <w:topLinePunct w:val="0"/>
        <w:autoSpaceDE/>
        <w:autoSpaceDN/>
        <w:bidi w:val="0"/>
        <w:adjustRightInd/>
        <w:snapToGrid/>
        <w:spacing w:line="560" w:lineRule="exact"/>
        <w:ind w:firstLine="48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2.评价对象和范围。</w:t>
      </w:r>
      <w:r>
        <w:rPr>
          <w:rFonts w:hint="eastAsia" w:ascii="仿宋_GB2312" w:hAnsi="仿宋" w:eastAsia="仿宋_GB2312" w:cs="Times New Roman"/>
          <w:sz w:val="32"/>
          <w:szCs w:val="32"/>
          <w:lang w:eastAsia="zh-CN"/>
        </w:rPr>
        <w:t>市场监管</w:t>
      </w:r>
      <w:r>
        <w:rPr>
          <w:rFonts w:hint="eastAsia" w:ascii="仿宋_GB2312" w:hAnsi="仿宋" w:eastAsia="仿宋_GB2312" w:cs="Times New Roman"/>
          <w:sz w:val="32"/>
          <w:szCs w:val="32"/>
        </w:rPr>
        <w:t>专项</w:t>
      </w:r>
      <w:r>
        <w:rPr>
          <w:rFonts w:hint="eastAsia" w:ascii="仿宋_GB2312" w:hAnsi="仿宋" w:eastAsia="仿宋_GB2312" w:cs="Times New Roman"/>
          <w:sz w:val="32"/>
          <w:szCs w:val="32"/>
          <w:lang w:eastAsia="zh-CN"/>
        </w:rPr>
        <w:t>业务费</w:t>
      </w:r>
      <w:r>
        <w:rPr>
          <w:rFonts w:hint="eastAsia" w:ascii="仿宋_GB2312" w:hAnsi="仿宋" w:eastAsia="仿宋_GB2312" w:cs="Times New Roman"/>
          <w:sz w:val="32"/>
          <w:szCs w:val="32"/>
        </w:rPr>
        <w:t>项目2020年度执行情况及实施效果</w:t>
      </w:r>
      <w:r>
        <w:rPr>
          <w:rFonts w:hint="eastAsia" w:ascii="仿宋_GB2312" w:hAnsi="仿宋"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Style w:val="94"/>
          <w:rFonts w:hint="eastAsia" w:ascii="楷体_GB2312" w:hAnsi="楷体_GB2312" w:eastAsia="楷体_GB2312" w:cs="楷体_GB2312"/>
          <w:bCs/>
          <w:color w:val="000000"/>
          <w:sz w:val="32"/>
          <w:szCs w:val="32"/>
          <w:lang w:eastAsia="zh-CN"/>
        </w:rPr>
      </w:pPr>
      <w:r>
        <w:rPr>
          <w:rStyle w:val="94"/>
          <w:rFonts w:hint="eastAsia" w:ascii="楷体_GB2312" w:hAnsi="楷体_GB2312" w:eastAsia="楷体_GB2312" w:cs="楷体_GB2312"/>
          <w:bCs/>
          <w:color w:val="000000"/>
          <w:sz w:val="32"/>
          <w:szCs w:val="32"/>
          <w:lang w:eastAsia="zh-CN"/>
        </w:rPr>
        <w:t>（二）绩效评价原则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b/>
          <w:bCs/>
          <w:kern w:val="0"/>
          <w:sz w:val="32"/>
          <w:szCs w:val="32"/>
          <w:lang w:val="en-US" w:eastAsia="zh-CN" w:bidi="ar-SA"/>
        </w:rPr>
        <w:t>1.客观公正。</w:t>
      </w:r>
      <w:r>
        <w:rPr>
          <w:rFonts w:hint="eastAsia" w:ascii="仿宋_GB2312" w:hAnsi="仿宋" w:eastAsia="仿宋_GB2312" w:cs="Times New Roman"/>
          <w:kern w:val="0"/>
          <w:sz w:val="32"/>
          <w:szCs w:val="32"/>
          <w:lang w:val="en-US" w:eastAsia="zh-CN" w:bidi="ar-SA"/>
        </w:rPr>
        <w:t>评价内容客观、公正，标准统一、资料可靠，评价过程与结果依法公开并接受监督。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b/>
          <w:bCs/>
          <w:kern w:val="0"/>
          <w:sz w:val="32"/>
          <w:szCs w:val="32"/>
          <w:lang w:val="en-US" w:eastAsia="zh-CN" w:bidi="ar-SA"/>
        </w:rPr>
        <w:t>2.科学规范。</w:t>
      </w:r>
      <w:r>
        <w:rPr>
          <w:rFonts w:hint="eastAsia" w:ascii="仿宋_GB2312" w:hAnsi="仿宋" w:eastAsia="仿宋_GB2312" w:cs="Times New Roman"/>
          <w:kern w:val="0"/>
          <w:sz w:val="32"/>
          <w:szCs w:val="32"/>
          <w:lang w:val="en-US" w:eastAsia="zh-CN" w:bidi="ar-SA"/>
        </w:rPr>
        <w:t>严格执行规定的评价程序，采用定量为主定性为辅的综合分析方法，科学合理地对专项资金项目的必要性、合规性和效益进行评价。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b/>
          <w:bCs/>
          <w:kern w:val="0"/>
          <w:sz w:val="32"/>
          <w:szCs w:val="32"/>
          <w:lang w:val="en-US" w:eastAsia="zh-CN" w:bidi="ar-SA"/>
        </w:rPr>
        <w:t>3.绩效相关。</w:t>
      </w:r>
      <w:r>
        <w:rPr>
          <w:rFonts w:hint="eastAsia" w:ascii="仿宋_GB2312" w:hAnsi="仿宋" w:eastAsia="仿宋_GB2312" w:cs="Times New Roman"/>
          <w:kern w:val="0"/>
          <w:sz w:val="32"/>
          <w:szCs w:val="32"/>
          <w:lang w:val="en-US" w:eastAsia="zh-CN" w:bidi="ar-SA"/>
        </w:rPr>
        <w:t>针对专项资金及其产出绩效进行评价，评价结果清晰反映项目实施和产出绩效之间的紧密对应关系。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94"/>
          <w:rFonts w:hint="eastAsia" w:ascii="楷体_GB2312" w:hAnsi="楷体_GB2312" w:eastAsia="楷体_GB2312" w:cs="楷体_GB2312"/>
          <w:bCs/>
          <w:color w:val="000000"/>
          <w:sz w:val="32"/>
          <w:szCs w:val="32"/>
          <w:lang w:eastAsia="zh-CN"/>
        </w:rPr>
      </w:pPr>
      <w:r>
        <w:rPr>
          <w:rStyle w:val="94"/>
          <w:rFonts w:hint="eastAsia" w:ascii="楷体_GB2312" w:hAnsi="楷体_GB2312" w:eastAsia="楷体_GB2312" w:cs="楷体_GB2312"/>
          <w:bCs/>
          <w:color w:val="000000"/>
          <w:sz w:val="32"/>
          <w:szCs w:val="32"/>
          <w:lang w:eastAsia="zh-CN"/>
        </w:rPr>
        <w:t>（三）绩效评价指标体系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94"/>
          <w:rFonts w:hint="eastAsia" w:ascii="仿宋_GB2312" w:hAnsi="仿宋_GB2312" w:eastAsia="仿宋_GB2312" w:cs="仿宋_GB2312"/>
          <w:color w:val="000000"/>
          <w:sz w:val="32"/>
          <w:szCs w:val="32"/>
        </w:rPr>
      </w:pPr>
      <w:r>
        <w:rPr>
          <w:rStyle w:val="94"/>
          <w:rFonts w:hint="eastAsia" w:ascii="仿宋_GB2312" w:hAnsi="仿宋_GB2312" w:eastAsia="仿宋_GB2312" w:cs="仿宋_GB2312"/>
          <w:color w:val="000000"/>
          <w:sz w:val="32"/>
          <w:szCs w:val="32"/>
        </w:rPr>
        <w:t>本次评价依据《关于印发&lt;市级项目支出部门绩效评价操作规程&gt;的通知》(青财绩〔2020〕8号)的要求，从决策、过程、产出、效益四个方面，对专项资金的实施情况开展评价。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94"/>
          <w:rFonts w:hint="eastAsia" w:ascii="仿宋_GB2312" w:hAnsi="仿宋_GB2312" w:eastAsia="仿宋_GB2312" w:cs="仿宋_GB2312"/>
          <w:color w:val="000000"/>
          <w:sz w:val="32"/>
          <w:szCs w:val="32"/>
        </w:rPr>
      </w:pPr>
      <w:r>
        <w:rPr>
          <w:rStyle w:val="94"/>
          <w:rFonts w:hint="eastAsia" w:ascii="仿宋_GB2312" w:hAnsi="仿宋_GB2312" w:eastAsia="仿宋_GB2312" w:cs="仿宋_GB2312"/>
          <w:color w:val="000000"/>
          <w:sz w:val="32"/>
          <w:szCs w:val="32"/>
        </w:rPr>
        <w:t>决策方面包括项目立项、绩效目标和资金投入3个二级指标。项目立项方面下设2个三级指标，其中“立项依据充分性”考察项目立项是否符合法律法规、相关政策、发展规划以及部门职责，用以反映和考核项目立项依据情况；“</w:t>
      </w:r>
      <w:r>
        <w:rPr>
          <w:rStyle w:val="94"/>
          <w:rFonts w:hint="eastAsia" w:ascii="仿宋_GB2312" w:hAnsi="仿宋_GB2312" w:eastAsia="仿宋_GB2312" w:cs="仿宋_GB2312"/>
          <w:color w:val="000000"/>
          <w:sz w:val="32"/>
          <w:szCs w:val="32"/>
          <w:lang w:eastAsia="zh-CN"/>
        </w:rPr>
        <w:t>立项程序</w:t>
      </w:r>
      <w:r>
        <w:rPr>
          <w:rStyle w:val="94"/>
          <w:rFonts w:hint="eastAsia" w:ascii="仿宋_GB2312" w:hAnsi="仿宋_GB2312" w:eastAsia="仿宋_GB2312" w:cs="仿宋_GB2312"/>
          <w:color w:val="000000"/>
          <w:sz w:val="32"/>
          <w:szCs w:val="32"/>
        </w:rPr>
        <w:t>规范性”考察项目的申请、设立过程是否符合相关要求，用以反映和考核项目立项的规范情况。绩效目标方面下设2个三级指标，其中“绩效目标合理性”考察项目所设定的绩效目标是否依据充分，是否符合客观实际，用以反映和考核项目绩效目标与项目实施的相符情况；“绩效指标明确性”考察依据绩效目标设定的绩效指标是否清晰、细化、可衡量等，用以反映和考核项目绩效目标的明细化情况。资金投入方面下设2个三级指标，其中“预算编制科学性”考察项目预算编制是否经过科学论证、有明确标准，资金额度与年度目标是否相适应，用以反映和考核项目预算编制的科学性、合理性情况；“资金分配合理性” 考察项目资金分配是否有测算依据，预算安排内容与专项资金的设立目的及年度工作重点是否一致，用以反映和考核项目预算资金分配的科学性、合理性。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94"/>
          <w:rFonts w:hint="eastAsia" w:ascii="仿宋_GB2312" w:hAnsi="仿宋_GB2312" w:eastAsia="仿宋_GB2312" w:cs="仿宋_GB2312"/>
          <w:color w:val="000000"/>
          <w:sz w:val="32"/>
          <w:szCs w:val="32"/>
        </w:rPr>
      </w:pPr>
      <w:r>
        <w:rPr>
          <w:rStyle w:val="94"/>
          <w:rFonts w:hint="eastAsia" w:ascii="仿宋_GB2312" w:hAnsi="仿宋_GB2312" w:eastAsia="仿宋_GB2312" w:cs="仿宋_GB2312"/>
          <w:color w:val="000000"/>
          <w:sz w:val="32"/>
          <w:szCs w:val="32"/>
        </w:rPr>
        <w:t>过程方面包括资金管理和组织实施2个二级指标。资金管理方面包括3个三级指标，其中“资金到位率”考察实际到位资金与</w:t>
      </w:r>
      <w:r>
        <w:rPr>
          <w:rStyle w:val="94"/>
          <w:rFonts w:hint="eastAsia" w:ascii="仿宋_GB2312" w:hAnsi="仿宋_GB2312" w:eastAsia="仿宋_GB2312" w:cs="仿宋_GB2312"/>
          <w:color w:val="000000"/>
          <w:sz w:val="32"/>
          <w:szCs w:val="32"/>
          <w:lang w:eastAsia="zh-CN"/>
        </w:rPr>
        <w:t>预算</w:t>
      </w:r>
      <w:r>
        <w:rPr>
          <w:rStyle w:val="94"/>
          <w:rFonts w:hint="eastAsia" w:ascii="仿宋_GB2312" w:hAnsi="仿宋_GB2312" w:eastAsia="仿宋_GB2312" w:cs="仿宋_GB2312"/>
          <w:color w:val="000000"/>
          <w:sz w:val="32"/>
          <w:szCs w:val="32"/>
        </w:rPr>
        <w:t>资金的比率，用以反映和考核资金落实情况对项目实施的总体保障程度；“预算执行率”考察项目预算资金是否按照计划执行，用以反映或考核项目预算执行情况；“资金使用合规性”考察</w:t>
      </w:r>
      <w:r>
        <w:rPr>
          <w:rStyle w:val="94"/>
          <w:rFonts w:hint="eastAsia" w:ascii="仿宋_GB2312" w:hAnsi="仿宋_GB2312" w:eastAsia="仿宋_GB2312" w:cs="仿宋_GB2312"/>
          <w:color w:val="000000"/>
          <w:sz w:val="32"/>
          <w:szCs w:val="32"/>
          <w:lang w:eastAsia="zh-CN"/>
        </w:rPr>
        <w:t>项目资金使用是否符合相关的财务管理制度规定，用以反映和考核项目资金的规范运行情况</w:t>
      </w:r>
      <w:r>
        <w:rPr>
          <w:rStyle w:val="94"/>
          <w:rFonts w:hint="eastAsia" w:ascii="仿宋_GB2312" w:hAnsi="仿宋_GB2312" w:eastAsia="仿宋_GB2312" w:cs="仿宋_GB2312"/>
          <w:color w:val="000000"/>
          <w:sz w:val="32"/>
          <w:szCs w:val="32"/>
        </w:rPr>
        <w:t>。组织实施方面包括2个三级指标，其中“管理制度健全性”考察项目实施单位的管理制度是否健全，是否已制定或具有相应的财务和业务管理制度，财务和业务管理制度是否合法、合规、完整。用以反映和考核财务和业务管理制度对项目顺利实施的保障情况；“制度执行有效性”考察项目实施是否符合相关管理规定，用以反映和考核相关管理制度的有效执行情况。</w:t>
      </w:r>
    </w:p>
    <w:p>
      <w:pPr>
        <w:keepNext w:val="0"/>
        <w:keepLines w:val="0"/>
        <w:pageBreakBefore w:val="0"/>
        <w:kinsoku/>
        <w:wordWrap/>
        <w:overflowPunct/>
        <w:topLinePunct w:val="0"/>
        <w:autoSpaceDE/>
        <w:autoSpaceDN/>
        <w:bidi w:val="0"/>
        <w:spacing w:line="560" w:lineRule="exact"/>
        <w:ind w:firstLine="640"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color w:val="000000"/>
          <w:sz w:val="32"/>
          <w:szCs w:val="32"/>
        </w:rPr>
        <w:t>产出方面包括产出数量、产出质量、产出时效和产出成本4个二级指标。产出数量</w:t>
      </w:r>
      <w:r>
        <w:rPr>
          <w:rStyle w:val="94"/>
          <w:rFonts w:hint="eastAsia" w:ascii="仿宋_GB2312" w:hAnsi="仿宋_GB2312" w:eastAsia="仿宋_GB2312" w:cs="仿宋_GB2312"/>
          <w:color w:val="000000"/>
          <w:sz w:val="32"/>
          <w:szCs w:val="32"/>
          <w:lang w:eastAsia="zh-CN"/>
        </w:rPr>
        <w:t>方面包括</w:t>
      </w:r>
      <w:r>
        <w:rPr>
          <w:rStyle w:val="94"/>
          <w:rFonts w:hint="eastAsia" w:ascii="仿宋_GB2312" w:hAnsi="仿宋_GB2312" w:eastAsia="仿宋_GB2312" w:cs="仿宋_GB2312"/>
          <w:color w:val="000000"/>
          <w:sz w:val="32"/>
          <w:szCs w:val="32"/>
          <w:lang w:val="en-US" w:eastAsia="zh-CN"/>
        </w:rPr>
        <w:t>2个三级指标，其中“实际完成率”</w:t>
      </w:r>
      <w:r>
        <w:rPr>
          <w:rStyle w:val="94"/>
          <w:rFonts w:hint="eastAsia" w:ascii="仿宋_GB2312" w:hAnsi="仿宋_GB2312" w:eastAsia="仿宋_GB2312" w:cs="仿宋_GB2312"/>
          <w:color w:val="000000"/>
          <w:sz w:val="32"/>
          <w:szCs w:val="32"/>
        </w:rPr>
        <w:t>考察项目实施的实际产出数与计划产出数的比率，用以反映和考核项目产出数量目标的实现程度</w:t>
      </w:r>
      <w:r>
        <w:rPr>
          <w:rStyle w:val="94"/>
          <w:rFonts w:hint="eastAsia" w:ascii="仿宋_GB2312" w:hAnsi="仿宋_GB2312" w:eastAsia="仿宋_GB2312" w:cs="仿宋_GB2312"/>
          <w:color w:val="000000"/>
          <w:sz w:val="32"/>
          <w:szCs w:val="32"/>
          <w:lang w:eastAsia="zh-CN"/>
        </w:rPr>
        <w:t>；“数量变动率”考察项目实际增减变动完成情况。产出质量方面</w:t>
      </w:r>
      <w:r>
        <w:rPr>
          <w:rStyle w:val="94"/>
          <w:rFonts w:hint="eastAsia" w:ascii="仿宋_GB2312" w:hAnsi="仿宋_GB2312" w:eastAsia="仿宋_GB2312" w:cs="仿宋_GB2312"/>
          <w:color w:val="000000"/>
          <w:sz w:val="32"/>
          <w:szCs w:val="32"/>
          <w:lang w:val="en-US" w:eastAsia="zh-CN"/>
        </w:rPr>
        <w:t>二级指标为“质量达标率”，考察项目完成的质量达标产出数与实际产出数的比率，用以反映和考核项目产出质量目标的实现程度。产出时效方面二级指标为“完成及时率”，考察各项目是否均按照计划、文件批复等相关规定及时完成，用以反映和考核项目产出时效目标的实现程度。产出成本方面二级指标为“成本节约率”，考察完成项目计划工作目标的实际节约成本与计划成本的比率，用以反映和考核项目的成本节约程度。</w:t>
      </w:r>
    </w:p>
    <w:p>
      <w:pPr>
        <w:keepNext w:val="0"/>
        <w:keepLines w:val="0"/>
        <w:pageBreakBefore w:val="0"/>
        <w:kinsoku/>
        <w:wordWrap/>
        <w:overflowPunct/>
        <w:topLinePunct w:val="0"/>
        <w:autoSpaceDE/>
        <w:autoSpaceDN/>
        <w:bidi w:val="0"/>
        <w:spacing w:line="560" w:lineRule="exact"/>
        <w:ind w:firstLine="640"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color w:val="000000"/>
          <w:sz w:val="32"/>
          <w:szCs w:val="32"/>
          <w:lang w:val="en-US" w:eastAsia="zh-CN"/>
        </w:rPr>
        <w:t>效益</w:t>
      </w:r>
      <w:r>
        <w:rPr>
          <w:rStyle w:val="94"/>
          <w:rFonts w:hint="eastAsia" w:ascii="仿宋_GB2312" w:hAnsi="仿宋_GB2312" w:eastAsia="仿宋_GB2312" w:cs="仿宋_GB2312"/>
          <w:color w:val="000000"/>
          <w:sz w:val="32"/>
          <w:szCs w:val="32"/>
        </w:rPr>
        <w:t>方面包括</w:t>
      </w:r>
      <w:r>
        <w:rPr>
          <w:rStyle w:val="94"/>
          <w:rFonts w:hint="eastAsia" w:ascii="仿宋_GB2312" w:hAnsi="仿宋_GB2312" w:eastAsia="仿宋_GB2312" w:cs="仿宋_GB2312"/>
          <w:color w:val="000000"/>
          <w:sz w:val="32"/>
          <w:szCs w:val="32"/>
          <w:lang w:eastAsia="zh-CN"/>
        </w:rPr>
        <w:t>项目</w:t>
      </w:r>
      <w:r>
        <w:rPr>
          <w:rStyle w:val="94"/>
          <w:rFonts w:hint="eastAsia" w:ascii="仿宋_GB2312" w:hAnsi="仿宋_GB2312" w:eastAsia="仿宋_GB2312" w:cs="仿宋_GB2312"/>
          <w:color w:val="000000"/>
          <w:sz w:val="32"/>
          <w:szCs w:val="32"/>
        </w:rPr>
        <w:t>效益、可持续影响效益和满意度3个二级指标。</w:t>
      </w:r>
      <w:r>
        <w:rPr>
          <w:rStyle w:val="94"/>
          <w:rFonts w:hint="eastAsia" w:ascii="仿宋_GB2312" w:hAnsi="仿宋_GB2312" w:eastAsia="仿宋_GB2312" w:cs="仿宋_GB2312"/>
          <w:color w:val="000000"/>
          <w:sz w:val="32"/>
          <w:szCs w:val="32"/>
          <w:lang w:eastAsia="zh-CN"/>
        </w:rPr>
        <w:t>项目</w:t>
      </w:r>
      <w:r>
        <w:rPr>
          <w:rStyle w:val="94"/>
          <w:rFonts w:hint="eastAsia" w:ascii="仿宋_GB2312" w:hAnsi="仿宋_GB2312" w:eastAsia="仿宋_GB2312" w:cs="仿宋_GB2312"/>
          <w:color w:val="000000"/>
          <w:sz w:val="32"/>
          <w:szCs w:val="32"/>
        </w:rPr>
        <w:t>效益</w:t>
      </w:r>
      <w:r>
        <w:rPr>
          <w:rStyle w:val="94"/>
          <w:rFonts w:hint="eastAsia" w:ascii="仿宋_GB2312" w:hAnsi="仿宋_GB2312" w:eastAsia="仿宋_GB2312" w:cs="仿宋_GB2312"/>
          <w:color w:val="000000"/>
          <w:sz w:val="32"/>
          <w:szCs w:val="32"/>
          <w:lang w:eastAsia="zh-CN"/>
        </w:rPr>
        <w:t>方面设置社会效益</w:t>
      </w:r>
      <w:r>
        <w:rPr>
          <w:rStyle w:val="94"/>
          <w:rFonts w:hint="eastAsia" w:ascii="仿宋_GB2312" w:hAnsi="仿宋_GB2312" w:eastAsia="仿宋_GB2312" w:cs="仿宋_GB2312"/>
          <w:color w:val="000000"/>
          <w:sz w:val="32"/>
          <w:szCs w:val="32"/>
          <w:lang w:val="en-US" w:eastAsia="zh-CN"/>
        </w:rPr>
        <w:t>1个三级指标及5个四级指标。其中，</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经营环节</w:t>
      </w:r>
      <w:r>
        <w:rPr>
          <w:rFonts w:hint="eastAsia" w:ascii="仿宋_GB2312" w:hAnsi="仿宋" w:eastAsia="仿宋_GB2312" w:cs="仿宋"/>
          <w:sz w:val="32"/>
          <w:szCs w:val="32"/>
        </w:rPr>
        <w:t>特殊药品流弊事件发生率”考察</w:t>
      </w:r>
      <w:r>
        <w:rPr>
          <w:rFonts w:hint="eastAsia" w:ascii="仿宋_GB2312" w:hAnsi="仿宋" w:eastAsia="仿宋_GB2312" w:cs="仿宋"/>
          <w:sz w:val="32"/>
          <w:szCs w:val="32"/>
          <w:lang w:eastAsia="zh-CN"/>
        </w:rPr>
        <w:t>经营环节</w:t>
      </w:r>
      <w:r>
        <w:rPr>
          <w:rFonts w:hint="eastAsia" w:ascii="仿宋_GB2312" w:hAnsi="仿宋" w:eastAsia="仿宋_GB2312" w:cs="仿宋"/>
          <w:sz w:val="32"/>
          <w:szCs w:val="32"/>
        </w:rPr>
        <w:t>特殊药品流弊事件发生率；“监督检查整改率”考察监督检查事项整改率；“特种设备重大事故发生率”考察特种设备重大事故发生率；“食品生产企业安全自查率”考察食品生产企业安全自查率；“每万人有效发明专利”考察每万人有效发明专利拥有情况</w:t>
      </w:r>
      <w:r>
        <w:rPr>
          <w:rStyle w:val="94"/>
          <w:rFonts w:hint="eastAsia" w:ascii="仿宋_GB2312" w:hAnsi="仿宋_GB2312" w:eastAsia="仿宋_GB2312" w:cs="仿宋_GB2312"/>
          <w:color w:val="000000"/>
          <w:sz w:val="32"/>
          <w:szCs w:val="32"/>
          <w:lang w:val="en-US" w:eastAsia="zh-CN"/>
        </w:rPr>
        <w:t>。可持续影响方面设置2个三级指标，其中“政策可持续性”考察项目后续运行及成效发挥的可持续影响情况；“项目发展机制可持续性”考察项目运转是否形成了可持续发展的机制。满意度方面设置“社会公众满意度”三级指标，考察社会公众对项目实施效果的满意程度。</w:t>
      </w:r>
    </w:p>
    <w:p>
      <w:pPr>
        <w:keepNext w:val="0"/>
        <w:keepLines w:val="0"/>
        <w:pageBreakBefore w:val="0"/>
        <w:kinsoku/>
        <w:wordWrap/>
        <w:overflowPunct/>
        <w:topLinePunct w:val="0"/>
        <w:autoSpaceDE/>
        <w:autoSpaceDN/>
        <w:bidi w:val="0"/>
        <w:spacing w:line="560" w:lineRule="exact"/>
        <w:ind w:firstLine="640" w:firstLineChars="200"/>
        <w:rPr>
          <w:rStyle w:val="94"/>
          <w:rFonts w:hint="eastAsia" w:ascii="楷体_GB2312" w:hAnsi="楷体_GB2312" w:eastAsia="楷体_GB2312" w:cs="楷体_GB2312"/>
          <w:bCs/>
          <w:color w:val="000000"/>
          <w:sz w:val="32"/>
          <w:szCs w:val="32"/>
          <w:lang w:eastAsia="zh-CN"/>
        </w:rPr>
      </w:pPr>
      <w:r>
        <w:rPr>
          <w:rStyle w:val="94"/>
          <w:rFonts w:hint="eastAsia" w:ascii="楷体_GB2312" w:hAnsi="楷体_GB2312" w:eastAsia="楷体_GB2312" w:cs="楷体_GB2312"/>
          <w:bCs/>
          <w:color w:val="000000"/>
          <w:sz w:val="32"/>
          <w:szCs w:val="32"/>
          <w:lang w:eastAsia="zh-CN"/>
        </w:rPr>
        <w:t>（四）绩效评价方法及评价标准</w:t>
      </w:r>
    </w:p>
    <w:p>
      <w:pPr>
        <w:keepNext w:val="0"/>
        <w:keepLines w:val="0"/>
        <w:pageBreakBefore w:val="0"/>
        <w:kinsoku/>
        <w:wordWrap/>
        <w:overflowPunct/>
        <w:topLinePunct w:val="0"/>
        <w:autoSpaceDE/>
        <w:autoSpaceDN/>
        <w:bidi w:val="0"/>
        <w:spacing w:line="560" w:lineRule="exact"/>
        <w:ind w:firstLine="640" w:firstLineChars="200"/>
        <w:rPr>
          <w:rStyle w:val="94"/>
          <w:rFonts w:hint="eastAsia" w:ascii="仿宋_GB2312" w:hAnsi="仿宋_GB2312" w:eastAsia="仿宋_GB2312" w:cs="仿宋_GB2312"/>
          <w:color w:val="000000"/>
          <w:sz w:val="32"/>
          <w:szCs w:val="32"/>
          <w:lang w:eastAsia="zh-CN"/>
        </w:rPr>
      </w:pPr>
      <w:r>
        <w:rPr>
          <w:rStyle w:val="94"/>
          <w:rFonts w:hint="eastAsia" w:ascii="仿宋_GB2312" w:hAnsi="仿宋_GB2312" w:eastAsia="仿宋_GB2312" w:cs="仿宋_GB2312"/>
          <w:color w:val="000000"/>
          <w:sz w:val="32"/>
          <w:szCs w:val="32"/>
        </w:rPr>
        <w:t>本次绩效评价主要以</w:t>
      </w:r>
      <w:r>
        <w:rPr>
          <w:rStyle w:val="94"/>
          <w:rFonts w:hint="eastAsia" w:ascii="仿宋_GB2312" w:hAnsi="仿宋_GB2312" w:eastAsia="仿宋_GB2312" w:cs="仿宋_GB2312"/>
          <w:color w:val="000000"/>
          <w:sz w:val="32"/>
          <w:szCs w:val="32"/>
          <w:lang w:eastAsia="zh-CN"/>
        </w:rPr>
        <w:t>资料审查</w:t>
      </w:r>
      <w:r>
        <w:rPr>
          <w:rStyle w:val="94"/>
          <w:rFonts w:hint="eastAsia" w:ascii="仿宋_GB2312" w:hAnsi="仿宋_GB2312" w:eastAsia="仿宋_GB2312" w:cs="仿宋_GB2312"/>
          <w:color w:val="000000"/>
          <w:sz w:val="32"/>
          <w:szCs w:val="32"/>
        </w:rPr>
        <w:t>、现场核查作为主要数据来源及取数方式。</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Style w:val="94"/>
          <w:rFonts w:hint="eastAsia" w:ascii="仿宋_GB2312" w:hAnsi="Times New Roman" w:eastAsia="仿宋"/>
          <w:bCs/>
          <w:color w:val="000000"/>
          <w:sz w:val="28"/>
          <w:szCs w:val="28"/>
        </w:rPr>
      </w:pPr>
      <w:r>
        <w:rPr>
          <w:rStyle w:val="94"/>
          <w:rFonts w:hint="eastAsia" w:ascii="楷体_GB2312" w:hAnsi="楷体_GB2312" w:eastAsia="楷体_GB2312" w:cs="楷体_GB2312"/>
          <w:bCs/>
          <w:color w:val="000000"/>
          <w:sz w:val="32"/>
          <w:szCs w:val="32"/>
          <w:lang w:eastAsia="zh-CN"/>
        </w:rPr>
        <w:t>（五）绩效评价工作过程</w:t>
      </w:r>
      <w:r>
        <w:rPr>
          <w:rStyle w:val="94"/>
          <w:rFonts w:hint="eastAsia" w:ascii="仿宋_GB2312" w:hAnsi="Times New Roman" w:eastAsia="仿宋"/>
          <w:bCs/>
          <w:color w:val="000000"/>
          <w:sz w:val="28"/>
          <w:szCs w:val="28"/>
        </w:rPr>
        <w:t>。</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Style w:val="94"/>
          <w:rFonts w:hint="eastAsia" w:ascii="仿宋_GB2312" w:hAnsi="仿宋_GB2312" w:eastAsia="仿宋_GB2312" w:cs="仿宋_GB2312"/>
          <w:color w:val="000000"/>
          <w:sz w:val="32"/>
          <w:szCs w:val="32"/>
        </w:rPr>
        <w:t>本次项目评价周期为2021年4月15日到2021年5月12日。按照评价要求，对整个评价周期进行阶段性划分，明确每个阶段的任务、工作内容及节点成果。绩效评价实施过程分为三个阶段。</w:t>
      </w:r>
      <w:r>
        <w:rPr>
          <w:rFonts w:hint="eastAsia" w:ascii="仿宋_GB2312" w:hAnsi="仿宋_GB2312" w:eastAsia="仿宋_GB2312" w:cs="仿宋_GB2312"/>
          <w:sz w:val="32"/>
          <w:szCs w:val="32"/>
        </w:rPr>
        <w:t>第一阶段为基础工作准备阶段，主要内容是组建绩效评价小组，确定评价工作思路、制定评价指标体系，收集和整理与项目相关的文件资料，了解项目基本情况；第二阶段为收集资料，采集评价数据阶段，主要内容是对照指标体系和绩效目标申报表，有针对性的收集相关证明材料，开展评分评价。第三阶段为绩效评价报告编制阶段，主要内容是撰写项目绩效评价报告，在工作组内进行讨论修改，并向被评价单位征求意见。</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评价工作具体从项目立项、项目实施、项目绩效、项目效益四个方面来开展。项目制定方面主要评价包括对项目立项合理、合规情况；项目实施主要评价包括对实施过程中的管理落实情况、资金使用情况的考察，项目绩效方面主要评价包括对项目的产出、项目的效果的考察，项目影响方面主要评价包括项目实施后的满意度。在整个评价过程中，重点关注以下内容：一是通过项目实施关注项目目标是否按时保质完成；二是专项资金是否专款专用有效使用；三是在项目实施过程中的管理落实情况；四是项目实施的实际效果和社会评价如何，对</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保障的社会效益是否显著。</w:t>
      </w:r>
    </w:p>
    <w:p>
      <w:pPr>
        <w:keepNext w:val="0"/>
        <w:keepLines w:val="0"/>
        <w:pageBreakBefore w:val="0"/>
        <w:kinsoku/>
        <w:wordWrap/>
        <w:overflowPunct/>
        <w:topLinePunct w:val="0"/>
        <w:autoSpaceDE/>
        <w:autoSpaceDN/>
        <w:bidi w:val="0"/>
        <w:spacing w:line="560" w:lineRule="exact"/>
        <w:ind w:firstLine="640" w:firstLineChars="200"/>
        <w:rPr>
          <w:rStyle w:val="94"/>
          <w:rFonts w:hint="eastAsia" w:ascii="黑体" w:hAnsi="黑体" w:eastAsia="黑体" w:cs="黑体"/>
          <w:color w:val="000000"/>
          <w:sz w:val="32"/>
          <w:szCs w:val="32"/>
          <w:lang w:eastAsia="zh-CN"/>
        </w:rPr>
      </w:pPr>
      <w:r>
        <w:rPr>
          <w:rStyle w:val="94"/>
          <w:rFonts w:hint="eastAsia" w:ascii="黑体" w:hAnsi="黑体" w:eastAsia="黑体" w:cs="黑体"/>
          <w:color w:val="000000"/>
          <w:sz w:val="32"/>
          <w:szCs w:val="32"/>
          <w:lang w:eastAsia="zh-CN"/>
        </w:rPr>
        <w:t>三、综合评价情况及评价结论</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2020年度</w:t>
      </w:r>
      <w:r>
        <w:rPr>
          <w:rFonts w:hint="eastAsia" w:ascii="仿宋_GB2312" w:hAnsi="仿宋_GB2312" w:eastAsia="仿宋_GB2312" w:cs="仿宋_GB2312"/>
          <w:sz w:val="32"/>
          <w:szCs w:val="32"/>
          <w:lang w:eastAsia="zh-CN"/>
        </w:rPr>
        <w:t>市场监管业务费</w:t>
      </w:r>
      <w:r>
        <w:rPr>
          <w:rFonts w:hint="eastAsia" w:ascii="仿宋_GB2312" w:hAnsi="仿宋_GB2312" w:eastAsia="仿宋_GB2312" w:cs="仿宋_GB2312"/>
          <w:sz w:val="32"/>
          <w:szCs w:val="32"/>
        </w:rPr>
        <w:t>项目总体得分为</w:t>
      </w:r>
      <w:r>
        <w:rPr>
          <w:rFonts w:hint="eastAsia" w:ascii="仿宋_GB2312" w:hAnsi="仿宋_GB2312" w:eastAsia="仿宋_GB2312" w:cs="仿宋_GB2312"/>
          <w:sz w:val="32"/>
          <w:szCs w:val="32"/>
          <w:lang w:val="en-US" w:eastAsia="zh-CN"/>
        </w:rPr>
        <w:t>92.85</w:t>
      </w:r>
      <w:r>
        <w:rPr>
          <w:rFonts w:hint="eastAsia" w:ascii="仿宋_GB2312" w:hAnsi="仿宋_GB2312" w:eastAsia="仿宋_GB2312" w:cs="仿宋_GB2312"/>
          <w:sz w:val="32"/>
          <w:szCs w:val="32"/>
        </w:rPr>
        <w:t>分，绩效评价等级为：优</w:t>
      </w:r>
      <w:r>
        <w:rPr>
          <w:rFonts w:hint="eastAsia" w:ascii="仿宋_GB2312" w:hAnsi="仿宋_GB2312" w:eastAsia="仿宋_GB2312" w:cs="仿宋_GB2312"/>
          <w:color w:val="auto"/>
          <w:sz w:val="32"/>
          <w:szCs w:val="32"/>
          <w:u w:val="none"/>
        </w:rPr>
        <w:t>。其中“决策”权重20分，得</w:t>
      </w:r>
      <w:r>
        <w:rPr>
          <w:rFonts w:hint="eastAsia" w:ascii="仿宋_GB2312" w:hAnsi="仿宋_GB2312" w:eastAsia="仿宋_GB2312" w:cs="仿宋_GB2312"/>
          <w:color w:val="auto"/>
          <w:sz w:val="32"/>
          <w:szCs w:val="32"/>
          <w:u w:val="none"/>
          <w:lang w:val="en-US" w:eastAsia="zh-CN"/>
        </w:rPr>
        <w:t>16.75</w:t>
      </w:r>
      <w:r>
        <w:rPr>
          <w:rFonts w:hint="eastAsia" w:ascii="仿宋_GB2312" w:hAnsi="仿宋_GB2312" w:eastAsia="仿宋_GB2312" w:cs="仿宋_GB2312"/>
          <w:color w:val="auto"/>
          <w:sz w:val="32"/>
          <w:szCs w:val="32"/>
          <w:u w:val="none"/>
        </w:rPr>
        <w:t>分，得分率</w:t>
      </w:r>
      <w:r>
        <w:rPr>
          <w:rFonts w:hint="eastAsia" w:ascii="仿宋_GB2312" w:hAnsi="仿宋_GB2312" w:eastAsia="仿宋_GB2312" w:cs="仿宋_GB2312"/>
          <w:color w:val="auto"/>
          <w:sz w:val="32"/>
          <w:szCs w:val="32"/>
          <w:u w:val="none"/>
          <w:lang w:val="en-US" w:eastAsia="zh-CN"/>
        </w:rPr>
        <w:t>83.75</w:t>
      </w:r>
      <w:r>
        <w:rPr>
          <w:rFonts w:hint="eastAsia" w:ascii="仿宋_GB2312" w:hAnsi="仿宋_GB2312" w:eastAsia="仿宋_GB2312" w:cs="仿宋_GB2312"/>
          <w:color w:val="auto"/>
          <w:sz w:val="32"/>
          <w:szCs w:val="32"/>
          <w:u w:val="none"/>
        </w:rPr>
        <w:t>%；“过程”权重20分，得</w:t>
      </w:r>
      <w:r>
        <w:rPr>
          <w:rFonts w:hint="eastAsia" w:ascii="仿宋_GB2312" w:hAnsi="仿宋_GB2312" w:eastAsia="仿宋_GB2312" w:cs="仿宋_GB2312"/>
          <w:color w:val="auto"/>
          <w:sz w:val="32"/>
          <w:szCs w:val="32"/>
          <w:u w:val="none"/>
          <w:lang w:val="en-US" w:eastAsia="zh-CN"/>
        </w:rPr>
        <w:t>16.1</w:t>
      </w:r>
      <w:r>
        <w:rPr>
          <w:rFonts w:hint="eastAsia" w:ascii="仿宋_GB2312" w:hAnsi="仿宋_GB2312" w:eastAsia="仿宋_GB2312" w:cs="仿宋_GB2312"/>
          <w:color w:val="auto"/>
          <w:sz w:val="32"/>
          <w:szCs w:val="32"/>
          <w:u w:val="none"/>
        </w:rPr>
        <w:t>分，得分率</w:t>
      </w:r>
      <w:r>
        <w:rPr>
          <w:rFonts w:hint="eastAsia" w:ascii="仿宋_GB2312" w:hAnsi="仿宋_GB2312" w:eastAsia="仿宋_GB2312" w:cs="仿宋_GB2312"/>
          <w:color w:val="auto"/>
          <w:sz w:val="32"/>
          <w:szCs w:val="32"/>
          <w:u w:val="none"/>
          <w:lang w:val="en-US" w:eastAsia="zh-CN"/>
        </w:rPr>
        <w:t>80.5</w:t>
      </w:r>
      <w:r>
        <w:rPr>
          <w:rFonts w:hint="eastAsia" w:ascii="仿宋_GB2312" w:hAnsi="仿宋_GB2312" w:eastAsia="仿宋_GB2312" w:cs="仿宋_GB2312"/>
          <w:color w:val="auto"/>
          <w:sz w:val="32"/>
          <w:szCs w:val="32"/>
          <w:u w:val="none"/>
        </w:rPr>
        <w:t>%；“产出”权重25分，得</w:t>
      </w:r>
      <w:r>
        <w:rPr>
          <w:rFonts w:hint="eastAsia" w:ascii="仿宋_GB2312" w:hAnsi="仿宋_GB2312" w:eastAsia="仿宋_GB2312" w:cs="仿宋_GB2312"/>
          <w:color w:val="auto"/>
          <w:sz w:val="32"/>
          <w:szCs w:val="32"/>
          <w:u w:val="none"/>
          <w:lang w:val="en-US" w:eastAsia="zh-CN"/>
        </w:rPr>
        <w:t>25</w:t>
      </w:r>
      <w:r>
        <w:rPr>
          <w:rFonts w:hint="eastAsia" w:ascii="仿宋_GB2312" w:hAnsi="仿宋_GB2312" w:eastAsia="仿宋_GB2312" w:cs="仿宋_GB2312"/>
          <w:color w:val="auto"/>
          <w:sz w:val="32"/>
          <w:szCs w:val="32"/>
          <w:u w:val="none"/>
        </w:rPr>
        <w:t>分，得分率</w:t>
      </w:r>
      <w:r>
        <w:rPr>
          <w:rFonts w:hint="eastAsia" w:ascii="仿宋_GB2312" w:hAnsi="仿宋_GB2312" w:eastAsia="仿宋_GB2312" w:cs="仿宋_GB2312"/>
          <w:color w:val="auto"/>
          <w:sz w:val="32"/>
          <w:szCs w:val="32"/>
          <w:u w:val="none"/>
          <w:lang w:val="en-US" w:eastAsia="zh-CN"/>
        </w:rPr>
        <w:t>100</w:t>
      </w:r>
      <w:r>
        <w:rPr>
          <w:rFonts w:hint="eastAsia" w:ascii="仿宋_GB2312" w:hAnsi="仿宋_GB2312" w:eastAsia="仿宋_GB2312" w:cs="仿宋_GB2312"/>
          <w:color w:val="auto"/>
          <w:sz w:val="32"/>
          <w:szCs w:val="32"/>
          <w:u w:val="none"/>
        </w:rPr>
        <w:t>%；“效益”权重35分，得</w:t>
      </w:r>
      <w:r>
        <w:rPr>
          <w:rFonts w:hint="eastAsia" w:ascii="仿宋_GB2312" w:hAnsi="仿宋_GB2312" w:eastAsia="仿宋_GB2312" w:cs="仿宋_GB2312"/>
          <w:color w:val="auto"/>
          <w:sz w:val="32"/>
          <w:szCs w:val="32"/>
          <w:u w:val="none"/>
          <w:lang w:val="en-US" w:eastAsia="zh-CN"/>
        </w:rPr>
        <w:t>35</w:t>
      </w:r>
      <w:r>
        <w:rPr>
          <w:rFonts w:hint="eastAsia" w:ascii="仿宋_GB2312" w:hAnsi="仿宋_GB2312" w:eastAsia="仿宋_GB2312" w:cs="仿宋_GB2312"/>
          <w:color w:val="auto"/>
          <w:sz w:val="32"/>
          <w:szCs w:val="32"/>
          <w:u w:val="none"/>
        </w:rPr>
        <w:t>分，得分率</w:t>
      </w:r>
      <w:r>
        <w:rPr>
          <w:rFonts w:hint="eastAsia" w:ascii="仿宋_GB2312" w:hAnsi="仿宋_GB2312" w:eastAsia="仿宋_GB2312" w:cs="仿宋_GB2312"/>
          <w:color w:val="auto"/>
          <w:sz w:val="32"/>
          <w:szCs w:val="32"/>
          <w:u w:val="none"/>
          <w:lang w:val="en-US" w:eastAsia="zh-CN"/>
        </w:rPr>
        <w:t>100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lang w:eastAsia="zh-CN"/>
        </w:rPr>
        <w:t>建议继续保留该项目。</w:t>
      </w:r>
    </w:p>
    <w:p>
      <w:pPr>
        <w:keepNext w:val="0"/>
        <w:keepLines w:val="0"/>
        <w:pageBreakBefore w:val="0"/>
        <w:numPr>
          <w:ilvl w:val="0"/>
          <w:numId w:val="0"/>
        </w:numPr>
        <w:kinsoku/>
        <w:wordWrap/>
        <w:overflowPunct/>
        <w:topLinePunct w:val="0"/>
        <w:autoSpaceDE/>
        <w:autoSpaceDN/>
        <w:bidi w:val="0"/>
        <w:spacing w:line="560" w:lineRule="exact"/>
        <w:ind w:firstLine="560"/>
        <w:rPr>
          <w:rStyle w:val="94"/>
          <w:rFonts w:hint="eastAsia" w:ascii="黑体" w:hAnsi="黑体" w:eastAsia="黑体" w:cs="黑体"/>
          <w:color w:val="000000"/>
          <w:sz w:val="32"/>
          <w:szCs w:val="32"/>
          <w:lang w:val="en-US" w:eastAsia="zh-CN"/>
        </w:rPr>
      </w:pPr>
      <w:r>
        <w:rPr>
          <w:rStyle w:val="94"/>
          <w:rFonts w:hint="eastAsia" w:ascii="黑体" w:hAnsi="黑体" w:eastAsia="黑体" w:cs="黑体"/>
          <w:color w:val="000000"/>
          <w:sz w:val="32"/>
          <w:szCs w:val="32"/>
          <w:lang w:val="en-US" w:eastAsia="zh-CN"/>
        </w:rPr>
        <w:t>四、绩效评价指标分析</w:t>
      </w:r>
    </w:p>
    <w:p>
      <w:pPr>
        <w:keepNext w:val="0"/>
        <w:keepLines w:val="0"/>
        <w:pageBreakBefore w:val="0"/>
        <w:numPr>
          <w:ilvl w:val="0"/>
          <w:numId w:val="0"/>
        </w:numPr>
        <w:kinsoku/>
        <w:wordWrap/>
        <w:overflowPunct/>
        <w:topLinePunct w:val="0"/>
        <w:autoSpaceDE/>
        <w:autoSpaceDN/>
        <w:bidi w:val="0"/>
        <w:spacing w:line="560" w:lineRule="exact"/>
        <w:ind w:firstLine="560"/>
        <w:rPr>
          <w:rStyle w:val="94"/>
          <w:rFonts w:hint="eastAsia" w:ascii="楷体_GB2312" w:hAnsi="楷体_GB2312" w:eastAsia="楷体_GB2312" w:cs="楷体_GB2312"/>
          <w:color w:val="000000"/>
          <w:sz w:val="32"/>
          <w:szCs w:val="32"/>
          <w:lang w:val="en-US" w:eastAsia="zh-CN"/>
        </w:rPr>
      </w:pPr>
      <w:r>
        <w:rPr>
          <w:rStyle w:val="94"/>
          <w:rFonts w:hint="eastAsia" w:ascii="楷体_GB2312" w:hAnsi="楷体_GB2312" w:eastAsia="楷体_GB2312" w:cs="楷体_GB2312"/>
          <w:color w:val="000000"/>
          <w:sz w:val="32"/>
          <w:szCs w:val="32"/>
          <w:lang w:val="en-US" w:eastAsia="zh-CN"/>
        </w:rPr>
        <w:t>（一）项目决策情况</w:t>
      </w:r>
    </w:p>
    <w:p>
      <w:pPr>
        <w:pStyle w:val="97"/>
        <w:keepNext w:val="0"/>
        <w:keepLines w:val="0"/>
        <w:pageBreakBefore w:val="0"/>
        <w:kinsoku/>
        <w:wordWrap/>
        <w:overflowPunct/>
        <w:topLinePunct w:val="0"/>
        <w:autoSpaceDE/>
        <w:autoSpaceDN/>
        <w:bidi w:val="0"/>
        <w:spacing w:line="560" w:lineRule="exact"/>
        <w:ind w:firstLine="480"/>
        <w:rPr>
          <w:rStyle w:val="94"/>
          <w:rFonts w:hint="default" w:ascii="Times New Roman" w:hAnsi="Times New Roman" w:eastAsia="仿宋"/>
          <w:color w:val="000000"/>
          <w:sz w:val="32"/>
          <w:szCs w:val="32"/>
          <w:lang w:val="en-US"/>
        </w:rPr>
      </w:pPr>
      <w:r>
        <w:rPr>
          <w:rStyle w:val="94"/>
          <w:rFonts w:hint="eastAsia" w:ascii="仿宋_GB2312" w:hAnsi="仿宋_GB2312" w:eastAsia="仿宋_GB2312" w:cs="仿宋_GB2312"/>
          <w:b/>
          <w:bCs/>
          <w:color w:val="000000"/>
          <w:sz w:val="32"/>
          <w:szCs w:val="32"/>
          <w:lang w:val="en-US" w:eastAsia="zh-CN"/>
        </w:rPr>
        <w:t>1.</w:t>
      </w:r>
      <w:r>
        <w:rPr>
          <w:rStyle w:val="94"/>
          <w:rFonts w:hint="eastAsia" w:ascii="仿宋_GB2312" w:hAnsi="仿宋_GB2312" w:eastAsia="仿宋_GB2312" w:cs="仿宋_GB2312"/>
          <w:b/>
          <w:bCs/>
          <w:color w:val="000000"/>
          <w:sz w:val="32"/>
          <w:szCs w:val="32"/>
        </w:rPr>
        <w:t>立项依据充分性</w:t>
      </w:r>
      <w:r>
        <w:rPr>
          <w:rStyle w:val="94"/>
          <w:rFonts w:hint="eastAsia" w:eastAsia="仿宋"/>
          <w:color w:val="000000"/>
          <w:sz w:val="32"/>
          <w:szCs w:val="32"/>
          <w:lang w:eastAsia="zh-CN"/>
        </w:rPr>
        <w:t>。</w:t>
      </w:r>
      <w:r>
        <w:rPr>
          <w:rStyle w:val="94"/>
          <w:rFonts w:hint="eastAsia" w:ascii="仿宋_GB2312" w:hAnsi="仿宋_GB2312" w:eastAsia="仿宋_GB2312" w:cs="仿宋_GB2312"/>
          <w:color w:val="000000"/>
          <w:sz w:val="32"/>
          <w:szCs w:val="32"/>
          <w:lang w:eastAsia="zh-CN"/>
        </w:rPr>
        <w:t>项目立项符合国家法律法规、国民经济发展规划和相关政策，符合行业发展规划和政策要求，与部门职责范围相符，属于部门履职所需，属于公共财政支持范围，符合中央、地方事权支出责任划分原则，项目与相关部门同类项目或部门内部相关项目不重复。该项指标得满分</w:t>
      </w:r>
      <w:r>
        <w:rPr>
          <w:rStyle w:val="94"/>
          <w:rFonts w:hint="eastAsia" w:ascii="仿宋_GB2312" w:hAnsi="仿宋_GB2312" w:eastAsia="仿宋_GB2312" w:cs="仿宋_GB2312"/>
          <w:color w:val="000000"/>
          <w:sz w:val="32"/>
          <w:szCs w:val="32"/>
          <w:lang w:val="en-US" w:eastAsia="zh-CN"/>
        </w:rPr>
        <w:t>3分。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2.</w:t>
      </w:r>
      <w:r>
        <w:rPr>
          <w:rStyle w:val="94"/>
          <w:rFonts w:hint="eastAsia" w:ascii="仿宋_GB2312" w:hAnsi="仿宋_GB2312" w:eastAsia="仿宋_GB2312" w:cs="仿宋_GB2312"/>
          <w:b/>
          <w:bCs/>
          <w:color w:val="000000"/>
          <w:sz w:val="32"/>
          <w:szCs w:val="32"/>
        </w:rPr>
        <w:t>立项程序规范性</w:t>
      </w:r>
      <w:r>
        <w:rPr>
          <w:rStyle w:val="94"/>
          <w:rFonts w:hint="eastAsia" w:ascii="仿宋_GB2312" w:hAnsi="仿宋_GB2312" w:eastAsia="仿宋_GB2312" w:cs="仿宋_GB2312"/>
          <w:b/>
          <w:bCs/>
          <w:color w:val="000000"/>
          <w:sz w:val="32"/>
          <w:szCs w:val="32"/>
          <w:lang w:eastAsia="zh-CN"/>
        </w:rPr>
        <w:t>。</w:t>
      </w:r>
      <w:r>
        <w:rPr>
          <w:rStyle w:val="94"/>
          <w:rFonts w:hint="eastAsia" w:ascii="仿宋_GB2312" w:hAnsi="仿宋_GB2312" w:eastAsia="仿宋_GB2312" w:cs="仿宋_GB2312"/>
          <w:color w:val="000000"/>
          <w:sz w:val="32"/>
          <w:szCs w:val="32"/>
        </w:rPr>
        <w:t>项目按照规定的程序申请设立</w:t>
      </w:r>
      <w:r>
        <w:rPr>
          <w:rStyle w:val="94"/>
          <w:rFonts w:hint="eastAsia" w:ascii="仿宋_GB2312" w:hAnsi="仿宋_GB2312" w:eastAsia="仿宋_GB2312" w:cs="仿宋_GB2312"/>
          <w:color w:val="000000"/>
          <w:sz w:val="32"/>
          <w:szCs w:val="32"/>
          <w:lang w:eastAsia="zh-CN"/>
        </w:rPr>
        <w:t>，</w:t>
      </w:r>
      <w:r>
        <w:rPr>
          <w:rStyle w:val="94"/>
          <w:rFonts w:hint="eastAsia" w:ascii="仿宋_GB2312" w:hAnsi="仿宋_GB2312" w:eastAsia="仿宋_GB2312" w:cs="仿宋_GB2312"/>
          <w:color w:val="000000"/>
          <w:sz w:val="32"/>
          <w:szCs w:val="32"/>
        </w:rPr>
        <w:t>所提交的文件、材料符合相关要求</w:t>
      </w:r>
      <w:r>
        <w:rPr>
          <w:rStyle w:val="94"/>
          <w:rFonts w:hint="eastAsia" w:ascii="仿宋_GB2312" w:hAnsi="仿宋_GB2312" w:eastAsia="仿宋_GB2312" w:cs="仿宋_GB2312"/>
          <w:color w:val="000000"/>
          <w:sz w:val="32"/>
          <w:szCs w:val="32"/>
          <w:lang w:eastAsia="zh-CN"/>
        </w:rPr>
        <w:t>，事</w:t>
      </w:r>
      <w:r>
        <w:rPr>
          <w:rStyle w:val="94"/>
          <w:rFonts w:hint="eastAsia" w:ascii="仿宋_GB2312" w:hAnsi="仿宋_GB2312" w:eastAsia="仿宋_GB2312" w:cs="仿宋_GB2312"/>
          <w:color w:val="000000"/>
          <w:sz w:val="32"/>
          <w:szCs w:val="32"/>
        </w:rPr>
        <w:t>前已经过必要的可行性研究、专家论证、集体决策等</w:t>
      </w:r>
      <w:r>
        <w:rPr>
          <w:rStyle w:val="94"/>
          <w:rFonts w:hint="eastAsia" w:ascii="仿宋_GB2312" w:hAnsi="仿宋_GB2312" w:eastAsia="仿宋_GB2312" w:cs="仿宋_GB2312"/>
          <w:color w:val="000000"/>
          <w:sz w:val="32"/>
          <w:szCs w:val="32"/>
          <w:lang w:eastAsia="zh-CN"/>
        </w:rPr>
        <w:t>程序。该项指标得满分</w:t>
      </w:r>
      <w:r>
        <w:rPr>
          <w:rStyle w:val="94"/>
          <w:rFonts w:hint="eastAsia" w:ascii="仿宋_GB2312" w:hAnsi="仿宋_GB2312" w:eastAsia="仿宋_GB2312" w:cs="仿宋_GB2312"/>
          <w:color w:val="000000"/>
          <w:sz w:val="32"/>
          <w:szCs w:val="32"/>
          <w:lang w:val="en-US" w:eastAsia="zh-CN"/>
        </w:rPr>
        <w:t>3分。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eastAsia="仿宋"/>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3.</w:t>
      </w:r>
      <w:r>
        <w:rPr>
          <w:rStyle w:val="94"/>
          <w:rFonts w:hint="eastAsia" w:ascii="仿宋_GB2312" w:hAnsi="仿宋_GB2312" w:eastAsia="仿宋_GB2312" w:cs="仿宋_GB2312"/>
          <w:b/>
          <w:bCs/>
          <w:color w:val="000000"/>
          <w:sz w:val="32"/>
          <w:szCs w:val="32"/>
        </w:rPr>
        <w:t>绩效目标合理性</w:t>
      </w:r>
      <w:r>
        <w:rPr>
          <w:rStyle w:val="94"/>
          <w:rFonts w:hint="eastAsia" w:ascii="Times New Roman" w:hAnsi="Times New Roman" w:eastAsia="仿宋"/>
          <w:color w:val="000000"/>
          <w:sz w:val="32"/>
          <w:szCs w:val="32"/>
          <w:lang w:eastAsia="zh-CN"/>
        </w:rPr>
        <w:t>。</w:t>
      </w:r>
      <w:r>
        <w:rPr>
          <w:rStyle w:val="94"/>
          <w:rFonts w:hint="eastAsia" w:ascii="仿宋_GB2312" w:hAnsi="仿宋_GB2312" w:eastAsia="仿宋_GB2312" w:cs="仿宋_GB2312"/>
          <w:color w:val="000000"/>
          <w:sz w:val="32"/>
          <w:szCs w:val="32"/>
          <w:lang w:eastAsia="zh-CN"/>
        </w:rPr>
        <w:t>该项目有绩效目标，且绩效目标与实际工作内容相关，项目预期产出效益和效果符合正常的业绩水平，绩效目标与预算确定的项目资金量相匹配。该项指标得满分</w:t>
      </w:r>
      <w:r>
        <w:rPr>
          <w:rStyle w:val="94"/>
          <w:rFonts w:hint="eastAsia" w:ascii="仿宋_GB2312" w:hAnsi="仿宋_GB2312" w:eastAsia="仿宋_GB2312" w:cs="仿宋_GB2312"/>
          <w:color w:val="000000"/>
          <w:sz w:val="32"/>
          <w:szCs w:val="32"/>
          <w:lang w:val="en-US" w:eastAsia="zh-CN"/>
        </w:rPr>
        <w:t>2.25分。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eastAsia="仿宋"/>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4.</w:t>
      </w:r>
      <w:r>
        <w:rPr>
          <w:rStyle w:val="94"/>
          <w:rFonts w:hint="eastAsia" w:ascii="仿宋_GB2312" w:hAnsi="仿宋_GB2312" w:eastAsia="仿宋_GB2312" w:cs="仿宋_GB2312"/>
          <w:b/>
          <w:bCs/>
          <w:color w:val="000000"/>
          <w:sz w:val="32"/>
          <w:szCs w:val="32"/>
        </w:rPr>
        <w:t>绩效指标明确性</w:t>
      </w:r>
      <w:r>
        <w:rPr>
          <w:rStyle w:val="94"/>
          <w:rFonts w:hint="eastAsia" w:ascii="仿宋_GB2312" w:hAnsi="仿宋_GB2312" w:eastAsia="仿宋_GB2312" w:cs="仿宋_GB2312"/>
          <w:b/>
          <w:bCs/>
          <w:color w:val="000000"/>
          <w:sz w:val="32"/>
          <w:szCs w:val="32"/>
          <w:lang w:eastAsia="zh-CN"/>
        </w:rPr>
        <w:t>。</w:t>
      </w:r>
      <w:r>
        <w:rPr>
          <w:rStyle w:val="94"/>
          <w:rFonts w:hint="eastAsia" w:ascii="仿宋_GB2312" w:hAnsi="仿宋_GB2312" w:eastAsia="仿宋_GB2312" w:cs="仿宋_GB2312"/>
          <w:b w:val="0"/>
          <w:bCs w:val="0"/>
          <w:color w:val="000000"/>
          <w:sz w:val="32"/>
          <w:szCs w:val="32"/>
          <w:lang w:eastAsia="zh-CN"/>
        </w:rPr>
        <w:t>该项目已将绩效目标细化分解为具体的绩效指标，细化指标值清晰、可衡量并与项目年度任务数相对应。该项指标得分</w:t>
      </w:r>
      <w:r>
        <w:rPr>
          <w:rStyle w:val="94"/>
          <w:rFonts w:hint="eastAsia" w:ascii="仿宋_GB2312" w:hAnsi="仿宋_GB2312" w:eastAsia="仿宋_GB2312" w:cs="仿宋_GB2312"/>
          <w:b w:val="0"/>
          <w:bCs w:val="0"/>
          <w:color w:val="000000"/>
          <w:sz w:val="32"/>
          <w:szCs w:val="32"/>
          <w:lang w:val="en-US" w:eastAsia="zh-CN"/>
        </w:rPr>
        <w:t>2分</w:t>
      </w:r>
      <w:r>
        <w:rPr>
          <w:rStyle w:val="94"/>
          <w:rFonts w:hint="eastAsia" w:eastAsia="仿宋"/>
          <w:color w:val="000000"/>
          <w:sz w:val="32"/>
          <w:szCs w:val="32"/>
          <w:lang w:val="en-US" w:eastAsia="zh-CN"/>
        </w:rPr>
        <w:t>。</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5.</w:t>
      </w:r>
      <w:r>
        <w:rPr>
          <w:rStyle w:val="94"/>
          <w:rFonts w:hint="eastAsia" w:ascii="仿宋_GB2312" w:hAnsi="仿宋_GB2312" w:eastAsia="仿宋_GB2312" w:cs="仿宋_GB2312"/>
          <w:b/>
          <w:bCs/>
          <w:color w:val="000000"/>
          <w:sz w:val="32"/>
          <w:szCs w:val="32"/>
        </w:rPr>
        <w:t>预算编制科学性</w:t>
      </w:r>
      <w:r>
        <w:rPr>
          <w:rStyle w:val="94"/>
          <w:rFonts w:hint="eastAsia" w:ascii="仿宋_GB2312" w:hAnsi="仿宋_GB2312" w:eastAsia="仿宋_GB2312" w:cs="仿宋_GB2312"/>
          <w:b w:val="0"/>
          <w:bCs w:val="0"/>
          <w:color w:val="000000"/>
          <w:sz w:val="32"/>
          <w:szCs w:val="32"/>
          <w:lang w:eastAsia="zh-CN"/>
        </w:rPr>
        <w:t>。该项目预算编制经过科学论证，预算</w:t>
      </w:r>
      <w:r>
        <w:rPr>
          <w:rStyle w:val="94"/>
          <w:rFonts w:hint="eastAsia" w:ascii="仿宋_GB2312" w:hAnsi="仿宋_GB2312" w:eastAsia="仿宋_GB2312" w:cs="仿宋_GB2312"/>
          <w:color w:val="000000"/>
          <w:sz w:val="32"/>
          <w:szCs w:val="32"/>
          <w:lang w:eastAsia="zh-CN"/>
        </w:rPr>
        <w:t>内容与项目内容匹配，预算额度测算依据充分，预算确定的资金量与工作任务基本匹配，因根据上级要求及疫情防控等影响，强化市场监管，该项经费在预算编制时没有充分考虑，预算执行中存在一定的经费缺口。</w:t>
      </w:r>
      <w:r>
        <w:rPr>
          <w:rStyle w:val="94"/>
          <w:rFonts w:hint="eastAsia" w:ascii="仿宋_GB2312" w:hAnsi="仿宋_GB2312" w:eastAsia="仿宋_GB2312" w:cs="仿宋_GB2312"/>
          <w:b w:val="0"/>
          <w:bCs w:val="0"/>
          <w:color w:val="000000"/>
          <w:sz w:val="32"/>
          <w:szCs w:val="32"/>
          <w:lang w:eastAsia="zh-CN"/>
        </w:rPr>
        <w:t>该项指标得</w:t>
      </w:r>
      <w:r>
        <w:rPr>
          <w:rStyle w:val="94"/>
          <w:rFonts w:hint="eastAsia" w:ascii="仿宋_GB2312" w:hAnsi="仿宋_GB2312" w:eastAsia="仿宋_GB2312" w:cs="仿宋_GB2312"/>
          <w:b w:val="0"/>
          <w:bCs w:val="0"/>
          <w:color w:val="000000"/>
          <w:sz w:val="32"/>
          <w:szCs w:val="32"/>
          <w:lang w:val="en-US" w:eastAsia="zh-CN"/>
        </w:rPr>
        <w:t>3分</w:t>
      </w:r>
      <w:r>
        <w:rPr>
          <w:rStyle w:val="94"/>
          <w:rFonts w:hint="eastAsia" w:ascii="仿宋_GB2312" w:hAnsi="仿宋_GB2312" w:eastAsia="仿宋_GB2312" w:cs="仿宋_GB2312"/>
          <w:color w:val="000000"/>
          <w:sz w:val="32"/>
          <w:szCs w:val="32"/>
          <w:lang w:val="en-US" w:eastAsia="zh-CN"/>
        </w:rPr>
        <w:t>。</w:t>
      </w:r>
    </w:p>
    <w:p>
      <w:pPr>
        <w:pStyle w:val="97"/>
        <w:keepNext w:val="0"/>
        <w:keepLines w:val="0"/>
        <w:pageBreakBefore w:val="0"/>
        <w:kinsoku/>
        <w:wordWrap/>
        <w:overflowPunct/>
        <w:topLinePunct w:val="0"/>
        <w:autoSpaceDE/>
        <w:autoSpaceDN/>
        <w:bidi w:val="0"/>
        <w:spacing w:line="560" w:lineRule="exact"/>
        <w:ind w:firstLine="560"/>
        <w:rPr>
          <w:rStyle w:val="94"/>
          <w:rFonts w:hint="default" w:ascii="仿宋_GB2312" w:hAnsi="仿宋_GB2312" w:eastAsia="仿宋_GB2312" w:cs="仿宋_GB2312"/>
          <w:sz w:val="32"/>
          <w:szCs w:val="32"/>
          <w:lang w:val="en-US" w:eastAsia="zh-CN"/>
        </w:rPr>
      </w:pPr>
      <w:r>
        <w:rPr>
          <w:rStyle w:val="94"/>
          <w:rFonts w:hint="eastAsia" w:ascii="仿宋_GB2312" w:hAnsi="仿宋_GB2312" w:eastAsia="仿宋_GB2312" w:cs="仿宋_GB2312"/>
          <w:b/>
          <w:bCs/>
          <w:color w:val="000000"/>
          <w:sz w:val="32"/>
          <w:szCs w:val="32"/>
          <w:lang w:val="en-US" w:eastAsia="zh-CN"/>
        </w:rPr>
        <w:t>6.</w:t>
      </w:r>
      <w:r>
        <w:rPr>
          <w:rStyle w:val="94"/>
          <w:rFonts w:hint="eastAsia" w:ascii="仿宋_GB2312" w:hAnsi="仿宋_GB2312" w:eastAsia="仿宋_GB2312" w:cs="仿宋_GB2312"/>
          <w:b/>
          <w:bCs/>
          <w:color w:val="000000"/>
          <w:sz w:val="32"/>
          <w:szCs w:val="32"/>
        </w:rPr>
        <w:t>资金分配合理性</w:t>
      </w:r>
      <w:r>
        <w:rPr>
          <w:rStyle w:val="94"/>
          <w:rFonts w:hint="eastAsia" w:ascii="仿宋_GB2312" w:hAnsi="仿宋_GB2312" w:eastAsia="仿宋_GB2312" w:cs="仿宋_GB2312"/>
          <w:b/>
          <w:bCs/>
          <w:color w:val="000000"/>
          <w:sz w:val="32"/>
          <w:szCs w:val="32"/>
          <w:lang w:eastAsia="zh-CN"/>
        </w:rPr>
        <w:t>。</w:t>
      </w:r>
      <w:bookmarkStart w:id="4" w:name="_Toc52359438"/>
      <w:r>
        <w:rPr>
          <w:rStyle w:val="94"/>
          <w:rFonts w:hint="eastAsia" w:ascii="仿宋_GB2312" w:hAnsi="仿宋_GB2312" w:eastAsia="仿宋_GB2312" w:cs="仿宋_GB2312"/>
          <w:color w:val="000000"/>
          <w:sz w:val="32"/>
          <w:szCs w:val="32"/>
          <w:lang w:eastAsia="zh-CN"/>
        </w:rPr>
        <w:t>项目</w:t>
      </w:r>
      <w:r>
        <w:rPr>
          <w:rStyle w:val="94"/>
          <w:rFonts w:hint="eastAsia" w:ascii="仿宋_GB2312" w:hAnsi="仿宋_GB2312" w:eastAsia="仿宋_GB2312" w:cs="仿宋_GB2312"/>
          <w:sz w:val="32"/>
          <w:szCs w:val="32"/>
        </w:rPr>
        <w:t>资金分配有测算依据</w:t>
      </w:r>
      <w:r>
        <w:rPr>
          <w:rStyle w:val="94"/>
          <w:rFonts w:hint="eastAsia" w:ascii="仿宋_GB2312" w:hAnsi="仿宋_GB2312" w:eastAsia="仿宋_GB2312" w:cs="仿宋_GB2312"/>
          <w:sz w:val="32"/>
          <w:szCs w:val="32"/>
          <w:lang w:eastAsia="zh-CN"/>
        </w:rPr>
        <w:t>，</w:t>
      </w:r>
      <w:r>
        <w:rPr>
          <w:rStyle w:val="94"/>
          <w:rFonts w:hint="eastAsia" w:ascii="仿宋_GB2312" w:hAnsi="仿宋_GB2312" w:eastAsia="仿宋_GB2312" w:cs="仿宋_GB2312"/>
          <w:sz w:val="32"/>
          <w:szCs w:val="32"/>
        </w:rPr>
        <w:t>预算安排内容与专项资金的设立目的及年度工作重点的匹配程度判断，</w:t>
      </w:r>
      <w:r>
        <w:rPr>
          <w:rStyle w:val="94"/>
          <w:rFonts w:hint="eastAsia" w:ascii="仿宋_GB2312" w:hAnsi="仿宋_GB2312" w:eastAsia="仿宋_GB2312" w:cs="仿宋_GB2312"/>
          <w:sz w:val="32"/>
          <w:szCs w:val="32"/>
          <w:lang w:eastAsia="zh-CN"/>
        </w:rPr>
        <w:t>该项指标得</w:t>
      </w:r>
      <w:r>
        <w:rPr>
          <w:rStyle w:val="94"/>
          <w:rFonts w:hint="eastAsia" w:ascii="仿宋_GB2312" w:hAnsi="仿宋_GB2312" w:eastAsia="仿宋_GB2312" w:cs="仿宋_GB2312"/>
          <w:sz w:val="32"/>
          <w:szCs w:val="32"/>
          <w:lang w:val="en-US" w:eastAsia="zh-CN"/>
        </w:rPr>
        <w:t>3.5分。</w:t>
      </w:r>
    </w:p>
    <w:p>
      <w:pPr>
        <w:pStyle w:val="97"/>
        <w:keepNext w:val="0"/>
        <w:keepLines w:val="0"/>
        <w:pageBreakBefore w:val="0"/>
        <w:kinsoku/>
        <w:wordWrap/>
        <w:overflowPunct/>
        <w:topLinePunct w:val="0"/>
        <w:autoSpaceDE/>
        <w:autoSpaceDN/>
        <w:bidi w:val="0"/>
        <w:spacing w:line="560" w:lineRule="exact"/>
        <w:ind w:firstLine="480"/>
        <w:rPr>
          <w:rStyle w:val="94"/>
          <w:rFonts w:hint="eastAsia"/>
          <w:color w:val="000000"/>
          <w:lang w:eastAsia="zh-CN"/>
        </w:rPr>
      </w:pPr>
      <w:r>
        <w:rPr>
          <w:rStyle w:val="94"/>
          <w:rFonts w:hint="eastAsia"/>
          <w:color w:val="000000"/>
          <w:lang w:eastAsia="zh-CN"/>
        </w:rPr>
        <w:t>（二）项目过程情况</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kern w:val="0"/>
          <w:sz w:val="32"/>
          <w:szCs w:val="32"/>
          <w:lang w:val="en-US" w:eastAsia="zh-CN" w:bidi="ar-SA"/>
        </w:rPr>
      </w:pPr>
      <w:r>
        <w:rPr>
          <w:rStyle w:val="94"/>
          <w:rFonts w:hint="eastAsia" w:ascii="仿宋_GB2312" w:hAnsi="仿宋_GB2312" w:eastAsia="仿宋_GB2312" w:cs="仿宋_GB2312"/>
          <w:b/>
          <w:bCs/>
          <w:kern w:val="0"/>
          <w:sz w:val="32"/>
          <w:szCs w:val="32"/>
          <w:lang w:val="en-US" w:eastAsia="zh-CN" w:bidi="ar-SA"/>
        </w:rPr>
        <w:t>1.</w:t>
      </w:r>
      <w:bookmarkEnd w:id="4"/>
      <w:r>
        <w:rPr>
          <w:rStyle w:val="94"/>
          <w:rFonts w:hint="eastAsia" w:ascii="仿宋_GB2312" w:hAnsi="仿宋_GB2312" w:eastAsia="仿宋_GB2312" w:cs="仿宋_GB2312"/>
          <w:b/>
          <w:bCs/>
          <w:kern w:val="0"/>
          <w:sz w:val="32"/>
          <w:szCs w:val="32"/>
          <w:lang w:val="en-US" w:eastAsia="zh-CN" w:bidi="ar-SA"/>
        </w:rPr>
        <w:t>资金到位率。</w:t>
      </w:r>
      <w:r>
        <w:rPr>
          <w:rStyle w:val="94"/>
          <w:rFonts w:hint="eastAsia" w:ascii="仿宋_GB2312" w:hAnsi="仿宋_GB2312" w:eastAsia="仿宋_GB2312" w:cs="仿宋_GB2312"/>
          <w:kern w:val="0"/>
          <w:sz w:val="32"/>
          <w:szCs w:val="32"/>
          <w:lang w:val="en-US" w:eastAsia="zh-CN" w:bidi="ar-SA"/>
        </w:rPr>
        <w:t>2020年市场监管专项业务费预算1710万元，实际到位1710万元，资金到位率100%。该项指标得满分2分。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kern w:val="0"/>
          <w:sz w:val="32"/>
          <w:szCs w:val="32"/>
          <w:lang w:val="en-US" w:eastAsia="zh-CN" w:bidi="ar-SA"/>
        </w:rPr>
      </w:pPr>
      <w:r>
        <w:rPr>
          <w:rStyle w:val="94"/>
          <w:rFonts w:hint="eastAsia" w:ascii="仿宋_GB2312" w:hAnsi="仿宋_GB2312" w:eastAsia="仿宋_GB2312" w:cs="仿宋_GB2312"/>
          <w:b/>
          <w:bCs/>
          <w:kern w:val="0"/>
          <w:sz w:val="32"/>
          <w:szCs w:val="32"/>
          <w:lang w:val="en-US" w:eastAsia="zh-CN" w:bidi="ar-SA"/>
        </w:rPr>
        <w:t>2.预算执行率</w:t>
      </w:r>
      <w:r>
        <w:rPr>
          <w:rStyle w:val="94"/>
          <w:rFonts w:hint="eastAsia" w:ascii="仿宋_GB2312" w:hAnsi="仿宋_GB2312" w:eastAsia="仿宋_GB2312" w:cs="仿宋_GB2312"/>
          <w:kern w:val="0"/>
          <w:sz w:val="32"/>
          <w:szCs w:val="32"/>
          <w:lang w:val="en-US" w:eastAsia="zh-CN" w:bidi="ar-SA"/>
        </w:rPr>
        <w:t>。2020年市场监管专项业务费年度预算1710万元，实际使用1680.25万元，预算执行率为</w:t>
      </w:r>
      <w:r>
        <w:rPr>
          <w:rFonts w:hint="eastAsia" w:ascii="仿宋_GB2312" w:hAnsi="仿宋" w:eastAsia="仿宋_GB2312" w:cs="仿宋_GB2312"/>
          <w:sz w:val="32"/>
          <w:szCs w:val="32"/>
          <w:lang w:val="en-US" w:eastAsia="zh-CN"/>
        </w:rPr>
        <w:t>98.26</w:t>
      </w:r>
      <w:r>
        <w:rPr>
          <w:rStyle w:val="94"/>
          <w:rFonts w:hint="eastAsia" w:ascii="仿宋_GB2312" w:hAnsi="仿宋_GB2312" w:eastAsia="仿宋_GB2312" w:cs="仿宋_GB2312"/>
          <w:kern w:val="0"/>
          <w:sz w:val="32"/>
          <w:szCs w:val="32"/>
          <w:lang w:val="en-US" w:eastAsia="zh-CN" w:bidi="ar-SA"/>
        </w:rPr>
        <w:t>%。该项指标得分1.7分。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kern w:val="0"/>
          <w:sz w:val="32"/>
          <w:szCs w:val="32"/>
          <w:lang w:val="en-US" w:eastAsia="zh-CN" w:bidi="ar-SA"/>
        </w:rPr>
      </w:pPr>
      <w:r>
        <w:rPr>
          <w:rStyle w:val="94"/>
          <w:rFonts w:hint="eastAsia" w:ascii="仿宋_GB2312" w:hAnsi="仿宋_GB2312" w:eastAsia="仿宋_GB2312" w:cs="仿宋_GB2312"/>
          <w:b/>
          <w:bCs/>
          <w:kern w:val="0"/>
          <w:sz w:val="32"/>
          <w:szCs w:val="32"/>
          <w:lang w:val="en-US" w:eastAsia="zh-CN" w:bidi="ar-SA"/>
        </w:rPr>
        <w:t>3.资金使用合规性</w:t>
      </w:r>
      <w:r>
        <w:rPr>
          <w:rStyle w:val="94"/>
          <w:rFonts w:hint="eastAsia" w:ascii="仿宋_GB2312" w:hAnsi="仿宋_GB2312" w:eastAsia="仿宋_GB2312" w:cs="仿宋_GB2312"/>
          <w:kern w:val="0"/>
          <w:sz w:val="32"/>
          <w:szCs w:val="32"/>
          <w:lang w:val="en-US" w:eastAsia="zh-CN" w:bidi="ar-SA"/>
        </w:rPr>
        <w:t>。该项资金在使用过程中符合国家财经法规和财务管理制度以及有关专项资金管理办法的规定，资金的拨付有完整的审批程序和手续，符合项目预算批复或合同规定的用途，不存在截留、挤占、挪用、虚列支出等情况。该项指标得满分4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kern w:val="0"/>
          <w:sz w:val="32"/>
          <w:szCs w:val="32"/>
          <w:lang w:val="en-US" w:eastAsia="zh-CN" w:bidi="ar-SA"/>
        </w:rPr>
      </w:pPr>
      <w:r>
        <w:rPr>
          <w:rStyle w:val="94"/>
          <w:rFonts w:hint="eastAsia" w:ascii="仿宋_GB2312" w:hAnsi="仿宋_GB2312" w:eastAsia="仿宋_GB2312" w:cs="仿宋_GB2312"/>
          <w:b/>
          <w:bCs/>
          <w:kern w:val="0"/>
          <w:sz w:val="32"/>
          <w:szCs w:val="32"/>
          <w:lang w:val="en-US" w:eastAsia="zh-CN" w:bidi="ar-SA"/>
        </w:rPr>
        <w:t>4.管理制度健全性。</w:t>
      </w:r>
      <w:r>
        <w:rPr>
          <w:rStyle w:val="94"/>
          <w:rFonts w:hint="eastAsia" w:ascii="仿宋_GB2312" w:hAnsi="仿宋_GB2312" w:eastAsia="仿宋_GB2312" w:cs="仿宋_GB2312"/>
          <w:kern w:val="0"/>
          <w:sz w:val="32"/>
          <w:szCs w:val="32"/>
          <w:lang w:val="en-US" w:eastAsia="zh-CN" w:bidi="ar-SA"/>
        </w:rPr>
        <w:t>该项目已建立基本的业务管理制度，业务管理制度合法、合规。执行中按照局财务管理制度要求，财务管理制度合法、合规、完整。没有建立跨部门资金的组织协调推进等相关机制。该项指标得4.8分。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eastAsia="zh-CN"/>
        </w:rPr>
      </w:pPr>
      <w:r>
        <w:rPr>
          <w:rStyle w:val="94"/>
          <w:rFonts w:hint="eastAsia" w:ascii="仿宋_GB2312" w:hAnsi="仿宋_GB2312" w:eastAsia="仿宋_GB2312" w:cs="仿宋_GB2312"/>
          <w:b/>
          <w:bCs/>
          <w:color w:val="000000"/>
          <w:sz w:val="32"/>
          <w:szCs w:val="32"/>
          <w:lang w:val="en-US" w:eastAsia="zh-CN"/>
        </w:rPr>
        <w:t>5.</w:t>
      </w:r>
      <w:r>
        <w:rPr>
          <w:rStyle w:val="94"/>
          <w:rFonts w:hint="eastAsia" w:ascii="仿宋_GB2312" w:hAnsi="仿宋_GB2312" w:eastAsia="仿宋_GB2312" w:cs="仿宋_GB2312"/>
          <w:b/>
          <w:bCs/>
          <w:color w:val="000000"/>
          <w:sz w:val="32"/>
          <w:szCs w:val="32"/>
        </w:rPr>
        <w:t>制度执行有效性</w:t>
      </w:r>
      <w:r>
        <w:rPr>
          <w:rStyle w:val="94"/>
          <w:rFonts w:hint="eastAsia" w:ascii="仿宋_GB2312" w:hAnsi="仿宋_GB2312" w:eastAsia="仿宋_GB2312" w:cs="仿宋_GB2312"/>
          <w:color w:val="000000"/>
          <w:sz w:val="32"/>
          <w:szCs w:val="32"/>
          <w:lang w:eastAsia="zh-CN"/>
        </w:rPr>
        <w:t>。该项目遵守相关法律法规和相关管理规定，项目调整及支出调整手续完备，部分项目的合同书、验收报告、技术鉴定等资料不齐，归档不及时，项目实施的人员条件、场地设备、信息支撑等落实到位，组织调度、协同推进等相关机制基本落实到位。部分项目资料归档不及时，</w:t>
      </w:r>
      <w:r>
        <w:rPr>
          <w:rStyle w:val="94"/>
          <w:rFonts w:hint="eastAsia" w:ascii="仿宋_GB2312" w:hAnsi="仿宋_GB2312" w:eastAsia="仿宋_GB2312" w:cs="仿宋_GB2312"/>
          <w:kern w:val="0"/>
          <w:sz w:val="32"/>
          <w:szCs w:val="32"/>
          <w:lang w:val="en-US" w:eastAsia="zh-CN" w:bidi="ar-SA"/>
        </w:rPr>
        <w:t>没有建立跨部门资金的组织协调推进等相关机制</w:t>
      </w:r>
      <w:r>
        <w:rPr>
          <w:rStyle w:val="94"/>
          <w:rFonts w:hint="eastAsia" w:ascii="仿宋_GB2312" w:hAnsi="仿宋_GB2312" w:eastAsia="仿宋_GB2312" w:cs="仿宋_GB2312"/>
          <w:color w:val="000000"/>
          <w:sz w:val="32"/>
          <w:szCs w:val="32"/>
          <w:lang w:eastAsia="zh-CN"/>
        </w:rPr>
        <w:t>该项</w:t>
      </w:r>
      <w:r>
        <w:rPr>
          <w:rStyle w:val="94"/>
          <w:rFonts w:hint="eastAsia" w:ascii="仿宋_GB2312" w:hAnsi="仿宋_GB2312" w:eastAsia="仿宋_GB2312" w:cs="仿宋_GB2312"/>
          <w:color w:val="000000"/>
          <w:sz w:val="32"/>
          <w:szCs w:val="32"/>
        </w:rPr>
        <w:t>指标</w:t>
      </w:r>
      <w:r>
        <w:rPr>
          <w:rStyle w:val="94"/>
          <w:rFonts w:hint="eastAsia" w:ascii="仿宋_GB2312" w:hAnsi="仿宋_GB2312" w:eastAsia="仿宋_GB2312" w:cs="仿宋_GB2312"/>
          <w:color w:val="000000"/>
          <w:sz w:val="32"/>
          <w:szCs w:val="32"/>
          <w:lang w:eastAsia="zh-CN"/>
        </w:rPr>
        <w:t>得</w:t>
      </w:r>
      <w:r>
        <w:rPr>
          <w:rStyle w:val="94"/>
          <w:rFonts w:hint="eastAsia" w:ascii="仿宋_GB2312" w:hAnsi="仿宋_GB2312" w:eastAsia="仿宋_GB2312" w:cs="仿宋_GB2312"/>
          <w:color w:val="000000"/>
          <w:sz w:val="32"/>
          <w:szCs w:val="32"/>
          <w:lang w:val="en-US" w:eastAsia="zh-CN"/>
        </w:rPr>
        <w:t>3.6</w:t>
      </w:r>
      <w:r>
        <w:rPr>
          <w:rStyle w:val="94"/>
          <w:rFonts w:hint="eastAsia" w:ascii="仿宋_GB2312" w:hAnsi="仿宋_GB2312" w:eastAsia="仿宋_GB2312" w:cs="仿宋_GB2312"/>
          <w:color w:val="000000"/>
          <w:sz w:val="32"/>
          <w:szCs w:val="32"/>
        </w:rPr>
        <w:t>分</w:t>
      </w:r>
      <w:r>
        <w:rPr>
          <w:rStyle w:val="94"/>
          <w:rFonts w:hint="eastAsia" w:ascii="仿宋_GB2312" w:hAnsi="仿宋_GB2312" w:eastAsia="仿宋_GB2312" w:cs="仿宋_GB2312"/>
          <w:color w:val="000000"/>
          <w:sz w:val="32"/>
          <w:szCs w:val="32"/>
          <w:lang w:eastAsia="zh-CN"/>
        </w:rPr>
        <w:t>。</w:t>
      </w:r>
    </w:p>
    <w:p>
      <w:pPr>
        <w:pStyle w:val="97"/>
        <w:keepNext w:val="0"/>
        <w:keepLines w:val="0"/>
        <w:pageBreakBefore w:val="0"/>
        <w:kinsoku/>
        <w:wordWrap/>
        <w:overflowPunct/>
        <w:topLinePunct w:val="0"/>
        <w:autoSpaceDE/>
        <w:autoSpaceDN/>
        <w:bidi w:val="0"/>
        <w:spacing w:line="560" w:lineRule="exact"/>
        <w:ind w:firstLine="480"/>
        <w:rPr>
          <w:rStyle w:val="94"/>
          <w:color w:val="000000"/>
          <w:sz w:val="32"/>
          <w:szCs w:val="32"/>
        </w:rPr>
      </w:pPr>
      <w:bookmarkStart w:id="5" w:name="_Toc52359439"/>
      <w:r>
        <w:rPr>
          <w:rStyle w:val="94"/>
          <w:rFonts w:hint="eastAsia"/>
          <w:color w:val="000000"/>
          <w:sz w:val="32"/>
          <w:szCs w:val="32"/>
        </w:rPr>
        <w:t>（</w:t>
      </w:r>
      <w:r>
        <w:rPr>
          <w:rStyle w:val="94"/>
          <w:rFonts w:hint="eastAsia"/>
          <w:color w:val="000000"/>
          <w:sz w:val="32"/>
          <w:szCs w:val="32"/>
          <w:lang w:eastAsia="zh-CN"/>
        </w:rPr>
        <w:t>三</w:t>
      </w:r>
      <w:r>
        <w:rPr>
          <w:rStyle w:val="94"/>
          <w:rFonts w:hint="eastAsia"/>
          <w:color w:val="000000"/>
          <w:sz w:val="32"/>
          <w:szCs w:val="32"/>
        </w:rPr>
        <w:t>）产出</w:t>
      </w:r>
      <w:r>
        <w:rPr>
          <w:rStyle w:val="94"/>
          <w:rFonts w:hint="eastAsia"/>
          <w:color w:val="000000"/>
          <w:sz w:val="32"/>
          <w:szCs w:val="32"/>
          <w:lang w:eastAsia="zh-CN"/>
        </w:rPr>
        <w:t>方面</w:t>
      </w:r>
      <w:bookmarkEnd w:id="5"/>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1.实际完成率。</w:t>
      </w:r>
      <w:r>
        <w:rPr>
          <w:rStyle w:val="94"/>
          <w:rFonts w:hint="eastAsia" w:ascii="仿宋_GB2312" w:hAnsi="仿宋_GB2312" w:eastAsia="仿宋_GB2312" w:cs="仿宋_GB2312"/>
          <w:color w:val="000000"/>
          <w:sz w:val="32"/>
          <w:szCs w:val="32"/>
          <w:lang w:val="en-US" w:eastAsia="zh-CN"/>
        </w:rPr>
        <w:t>项目完成率100%。该项指标得满分5分。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2.数量变动率。</w:t>
      </w:r>
      <w:r>
        <w:rPr>
          <w:rStyle w:val="94"/>
          <w:rFonts w:hint="eastAsia" w:ascii="仿宋_GB2312" w:hAnsi="仿宋_GB2312" w:eastAsia="仿宋_GB2312" w:cs="仿宋_GB2312"/>
          <w:color w:val="000000"/>
          <w:sz w:val="32"/>
          <w:szCs w:val="32"/>
          <w:lang w:val="en-US" w:eastAsia="zh-CN"/>
        </w:rPr>
        <w:t>数量变动率为0。该项指标得满分5分。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3.质量达标率</w:t>
      </w:r>
      <w:r>
        <w:rPr>
          <w:rStyle w:val="94"/>
          <w:rFonts w:hint="eastAsia" w:ascii="仿宋_GB2312" w:hAnsi="仿宋_GB2312" w:eastAsia="仿宋_GB2312" w:cs="仿宋_GB2312"/>
          <w:color w:val="000000"/>
          <w:sz w:val="32"/>
          <w:szCs w:val="32"/>
          <w:lang w:val="en-US" w:eastAsia="zh-CN"/>
        </w:rPr>
        <w:t>。质量达标率100%。该项指标得满分5分。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4.完成及时率</w:t>
      </w:r>
      <w:r>
        <w:rPr>
          <w:rStyle w:val="94"/>
          <w:rFonts w:hint="eastAsia" w:ascii="仿宋_GB2312" w:hAnsi="仿宋_GB2312" w:eastAsia="仿宋_GB2312" w:cs="仿宋_GB2312"/>
          <w:color w:val="000000"/>
          <w:sz w:val="32"/>
          <w:szCs w:val="32"/>
          <w:lang w:val="en-US" w:eastAsia="zh-CN"/>
        </w:rPr>
        <w:t>。完成及时率100%</w:t>
      </w:r>
      <w:bookmarkStart w:id="6" w:name="_Toc52359440"/>
      <w:r>
        <w:rPr>
          <w:rStyle w:val="94"/>
          <w:rFonts w:hint="eastAsia" w:ascii="仿宋_GB2312" w:hAnsi="仿宋_GB2312" w:eastAsia="仿宋_GB2312" w:cs="仿宋_GB2312"/>
          <w:color w:val="000000"/>
          <w:sz w:val="32"/>
          <w:szCs w:val="32"/>
          <w:lang w:val="en-US" w:eastAsia="zh-CN"/>
        </w:rPr>
        <w:t>。该项指标得满分5分。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000000"/>
          <w:sz w:val="32"/>
          <w:szCs w:val="32"/>
          <w:lang w:val="en-US" w:eastAsia="zh-CN"/>
        </w:rPr>
      </w:pPr>
      <w:r>
        <w:rPr>
          <w:rStyle w:val="94"/>
          <w:rFonts w:hint="eastAsia" w:ascii="仿宋_GB2312" w:hAnsi="仿宋_GB2312" w:eastAsia="仿宋_GB2312" w:cs="仿宋_GB2312"/>
          <w:b/>
          <w:bCs/>
          <w:color w:val="000000"/>
          <w:sz w:val="32"/>
          <w:szCs w:val="32"/>
          <w:lang w:val="en-US" w:eastAsia="zh-CN"/>
        </w:rPr>
        <w:t>5.成本节约率</w:t>
      </w:r>
      <w:r>
        <w:rPr>
          <w:rStyle w:val="94"/>
          <w:rFonts w:hint="eastAsia" w:ascii="仿宋_GB2312" w:hAnsi="仿宋_GB2312" w:eastAsia="仿宋_GB2312" w:cs="仿宋_GB2312"/>
          <w:color w:val="000000"/>
          <w:sz w:val="32"/>
          <w:szCs w:val="32"/>
          <w:lang w:val="en-US" w:eastAsia="zh-CN"/>
        </w:rPr>
        <w:t>。成本节约率0。该项指标得满分5分。</w:t>
      </w:r>
    </w:p>
    <w:p>
      <w:pPr>
        <w:keepNext w:val="0"/>
        <w:keepLines w:val="0"/>
        <w:pageBreakBefore w:val="0"/>
        <w:kinsoku/>
        <w:wordWrap/>
        <w:overflowPunct/>
        <w:topLinePunct w:val="0"/>
        <w:autoSpaceDE/>
        <w:autoSpaceDN/>
        <w:bidi w:val="0"/>
        <w:spacing w:line="560" w:lineRule="exact"/>
        <w:ind w:firstLine="640" w:firstLineChars="200"/>
        <w:rPr>
          <w:rStyle w:val="94"/>
          <w:rFonts w:hint="eastAsia" w:ascii="仿宋_GB2312" w:hAnsi="仿宋_GB2312" w:eastAsia="仿宋_GB2312" w:cs="仿宋_GB2312"/>
          <w:color w:val="auto"/>
          <w:sz w:val="32"/>
          <w:szCs w:val="32"/>
          <w:lang w:val="en-US" w:eastAsia="zh-CN"/>
        </w:rPr>
      </w:pPr>
      <w:r>
        <w:rPr>
          <w:rStyle w:val="94"/>
          <w:rFonts w:hint="eastAsia" w:ascii="仿宋_GB2312" w:hAnsi="仿宋_GB2312" w:eastAsia="仿宋_GB2312" w:cs="仿宋_GB2312"/>
          <w:color w:val="auto"/>
          <w:sz w:val="32"/>
          <w:szCs w:val="32"/>
          <w:lang w:val="en-US" w:eastAsia="zh-CN"/>
        </w:rPr>
        <w:t>（四）效益方面</w:t>
      </w:r>
    </w:p>
    <w:p>
      <w:pPr>
        <w:keepNext w:val="0"/>
        <w:keepLines w:val="0"/>
        <w:pageBreakBefore w:val="0"/>
        <w:kinsoku/>
        <w:wordWrap/>
        <w:overflowPunct/>
        <w:topLinePunct w:val="0"/>
        <w:autoSpaceDE/>
        <w:autoSpaceDN/>
        <w:bidi w:val="0"/>
        <w:spacing w:line="560" w:lineRule="exact"/>
        <w:ind w:firstLine="643" w:firstLineChars="200"/>
        <w:outlineLvl w:val="1"/>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w:t>
      </w:r>
      <w:r>
        <w:rPr>
          <w:rFonts w:hint="eastAsia" w:ascii="仿宋_GB2312" w:hAnsi="仿宋_GB2312" w:eastAsia="仿宋_GB2312" w:cs="仿宋_GB2312"/>
          <w:b/>
          <w:bCs/>
          <w:color w:val="auto"/>
          <w:sz w:val="32"/>
          <w:szCs w:val="32"/>
          <w:u w:val="none"/>
          <w:lang w:eastAsia="zh-CN"/>
        </w:rPr>
        <w:t>经营环节</w:t>
      </w:r>
      <w:r>
        <w:rPr>
          <w:rFonts w:hint="eastAsia" w:ascii="仿宋_GB2312" w:hAnsi="仿宋_GB2312" w:eastAsia="仿宋_GB2312" w:cs="仿宋_GB2312"/>
          <w:b/>
          <w:bCs/>
          <w:color w:val="auto"/>
          <w:sz w:val="32"/>
          <w:szCs w:val="32"/>
          <w:u w:val="none"/>
        </w:rPr>
        <w:t>特殊药品流弊事件发生率。</w:t>
      </w:r>
      <w:r>
        <w:rPr>
          <w:rFonts w:hint="eastAsia" w:ascii="仿宋_GB2312" w:hAnsi="仿宋_GB2312" w:eastAsia="仿宋_GB2312" w:cs="仿宋_GB2312"/>
          <w:color w:val="auto"/>
          <w:sz w:val="32"/>
          <w:szCs w:val="32"/>
          <w:u w:val="none"/>
        </w:rPr>
        <w:t>年内未发生</w:t>
      </w:r>
      <w:r>
        <w:rPr>
          <w:rFonts w:hint="eastAsia" w:ascii="仿宋_GB2312" w:hAnsi="仿宋_GB2312" w:eastAsia="仿宋_GB2312" w:cs="仿宋_GB2312"/>
          <w:color w:val="auto"/>
          <w:sz w:val="32"/>
          <w:szCs w:val="32"/>
          <w:u w:val="none"/>
          <w:lang w:eastAsia="zh-CN"/>
        </w:rPr>
        <w:t>经营环节</w:t>
      </w:r>
      <w:r>
        <w:rPr>
          <w:rFonts w:hint="eastAsia" w:ascii="仿宋_GB2312" w:hAnsi="仿宋_GB2312" w:eastAsia="仿宋_GB2312" w:cs="仿宋_GB2312"/>
          <w:color w:val="auto"/>
          <w:sz w:val="32"/>
          <w:szCs w:val="32"/>
          <w:u w:val="none"/>
        </w:rPr>
        <w:t>特殊药品流弊事件。该项指标得满分</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分。</w:t>
      </w:r>
    </w:p>
    <w:p>
      <w:pPr>
        <w:keepNext w:val="0"/>
        <w:keepLines w:val="0"/>
        <w:pageBreakBefore w:val="0"/>
        <w:kinsoku/>
        <w:wordWrap/>
        <w:overflowPunct/>
        <w:topLinePunct w:val="0"/>
        <w:autoSpaceDE/>
        <w:autoSpaceDN/>
        <w:bidi w:val="0"/>
        <w:spacing w:line="560" w:lineRule="exact"/>
        <w:ind w:firstLine="643" w:firstLineChars="200"/>
        <w:outlineLvl w:val="1"/>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2.</w:t>
      </w:r>
      <w:r>
        <w:rPr>
          <w:rFonts w:hint="eastAsia" w:ascii="仿宋_GB2312" w:hAnsi="仿宋_GB2312" w:eastAsia="仿宋_GB2312" w:cs="仿宋_GB2312"/>
          <w:b/>
          <w:bCs/>
          <w:color w:val="auto"/>
          <w:sz w:val="32"/>
          <w:szCs w:val="32"/>
          <w:u w:val="none"/>
        </w:rPr>
        <w:t>监督检查整改率。</w:t>
      </w:r>
      <w:r>
        <w:rPr>
          <w:rFonts w:hint="eastAsia" w:ascii="仿宋_GB2312" w:hAnsi="仿宋_GB2312" w:eastAsia="仿宋_GB2312" w:cs="仿宋_GB2312"/>
          <w:color w:val="auto"/>
          <w:sz w:val="32"/>
          <w:szCs w:val="32"/>
          <w:u w:val="none"/>
        </w:rPr>
        <w:t>抽查监督检查整改情况，已全部整改。该项指标得满分</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分。</w:t>
      </w:r>
    </w:p>
    <w:p>
      <w:pPr>
        <w:keepNext w:val="0"/>
        <w:keepLines w:val="0"/>
        <w:pageBreakBefore w:val="0"/>
        <w:kinsoku/>
        <w:wordWrap/>
        <w:overflowPunct/>
        <w:topLinePunct w:val="0"/>
        <w:autoSpaceDE/>
        <w:autoSpaceDN/>
        <w:bidi w:val="0"/>
        <w:spacing w:line="560" w:lineRule="exact"/>
        <w:ind w:firstLine="643" w:firstLineChars="200"/>
        <w:outlineLvl w:val="1"/>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3.</w:t>
      </w:r>
      <w:r>
        <w:rPr>
          <w:rFonts w:hint="eastAsia" w:ascii="仿宋_GB2312" w:hAnsi="仿宋_GB2312" w:eastAsia="仿宋_GB2312" w:cs="仿宋_GB2312"/>
          <w:b/>
          <w:bCs/>
          <w:color w:val="auto"/>
          <w:sz w:val="32"/>
          <w:szCs w:val="32"/>
          <w:u w:val="none"/>
        </w:rPr>
        <w:t>特种设备重大事故发生率</w:t>
      </w:r>
      <w:r>
        <w:rPr>
          <w:rFonts w:hint="eastAsia" w:ascii="仿宋_GB2312" w:hAnsi="仿宋_GB2312" w:eastAsia="仿宋_GB2312" w:cs="仿宋_GB2312"/>
          <w:color w:val="auto"/>
          <w:sz w:val="32"/>
          <w:szCs w:val="32"/>
          <w:u w:val="none"/>
        </w:rPr>
        <w:t>。年内未发生特种设备重大事故。该项指标得满分</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分。</w:t>
      </w:r>
    </w:p>
    <w:p>
      <w:pPr>
        <w:keepNext w:val="0"/>
        <w:keepLines w:val="0"/>
        <w:pageBreakBefore w:val="0"/>
        <w:kinsoku/>
        <w:wordWrap/>
        <w:overflowPunct/>
        <w:topLinePunct w:val="0"/>
        <w:autoSpaceDE/>
        <w:autoSpaceDN/>
        <w:bidi w:val="0"/>
        <w:spacing w:line="560" w:lineRule="exact"/>
        <w:ind w:firstLine="643" w:firstLineChars="200"/>
        <w:outlineLvl w:val="1"/>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4</w:t>
      </w:r>
      <w:r>
        <w:rPr>
          <w:rFonts w:hint="eastAsia" w:ascii="仿宋_GB2312" w:hAnsi="仿宋_GB2312" w:eastAsia="仿宋_GB2312" w:cs="仿宋_GB2312"/>
          <w:b/>
          <w:bCs/>
          <w:color w:val="auto"/>
          <w:sz w:val="32"/>
          <w:szCs w:val="32"/>
          <w:u w:val="none"/>
        </w:rPr>
        <w:t>食品生产企业安全自查率</w:t>
      </w:r>
      <w:r>
        <w:rPr>
          <w:rFonts w:hint="eastAsia" w:ascii="仿宋_GB2312" w:hAnsi="仿宋_GB2312" w:eastAsia="仿宋_GB2312" w:cs="仿宋_GB2312"/>
          <w:color w:val="auto"/>
          <w:sz w:val="32"/>
          <w:szCs w:val="32"/>
          <w:u w:val="none"/>
        </w:rPr>
        <w:t>。食品生产企业安全自查率为</w:t>
      </w:r>
      <w:r>
        <w:rPr>
          <w:rFonts w:hint="eastAsia" w:ascii="仿宋_GB2312" w:hAnsi="仿宋_GB2312" w:eastAsia="仿宋_GB2312" w:cs="仿宋_GB2312"/>
          <w:color w:val="auto"/>
          <w:sz w:val="32"/>
          <w:szCs w:val="32"/>
          <w:u w:val="none"/>
          <w:lang w:val="en-US" w:eastAsia="zh-CN"/>
        </w:rPr>
        <w:t>100%</w:t>
      </w:r>
      <w:r>
        <w:rPr>
          <w:rFonts w:hint="eastAsia" w:ascii="仿宋_GB2312" w:hAnsi="仿宋_GB2312" w:eastAsia="仿宋_GB2312" w:cs="仿宋_GB2312"/>
          <w:color w:val="auto"/>
          <w:sz w:val="32"/>
          <w:szCs w:val="32"/>
          <w:u w:val="none"/>
        </w:rPr>
        <w:t xml:space="preserve"> ，高于标杆值。该项指标得满分</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分。</w:t>
      </w:r>
    </w:p>
    <w:p>
      <w:pPr>
        <w:keepNext w:val="0"/>
        <w:keepLines w:val="0"/>
        <w:pageBreakBefore w:val="0"/>
        <w:kinsoku/>
        <w:wordWrap/>
        <w:overflowPunct/>
        <w:topLinePunct w:val="0"/>
        <w:autoSpaceDE/>
        <w:autoSpaceDN/>
        <w:bidi w:val="0"/>
        <w:spacing w:line="560" w:lineRule="exact"/>
        <w:ind w:firstLine="643" w:firstLineChars="200"/>
        <w:outlineLvl w:val="1"/>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5.</w:t>
      </w:r>
      <w:r>
        <w:rPr>
          <w:rFonts w:hint="eastAsia" w:ascii="仿宋_GB2312" w:hAnsi="仿宋_GB2312" w:eastAsia="仿宋_GB2312" w:cs="仿宋_GB2312"/>
          <w:b/>
          <w:bCs/>
          <w:color w:val="auto"/>
          <w:sz w:val="32"/>
          <w:szCs w:val="32"/>
          <w:u w:val="none"/>
        </w:rPr>
        <w:t>每万人有效发明专利。</w:t>
      </w:r>
      <w:r>
        <w:rPr>
          <w:rFonts w:hint="eastAsia" w:ascii="仿宋_GB2312" w:hAnsi="仿宋_GB2312" w:eastAsia="仿宋_GB2312" w:cs="仿宋_GB2312"/>
          <w:color w:val="auto"/>
          <w:sz w:val="32"/>
          <w:szCs w:val="32"/>
          <w:u w:val="none"/>
        </w:rPr>
        <w:t xml:space="preserve">每万人有效发明专利拥有量为   </w:t>
      </w:r>
      <w:r>
        <w:rPr>
          <w:rFonts w:hint="eastAsia" w:ascii="仿宋_GB2312" w:hAnsi="仿宋_GB2312" w:eastAsia="仿宋_GB2312" w:cs="仿宋_GB2312"/>
          <w:color w:val="auto"/>
          <w:sz w:val="32"/>
          <w:szCs w:val="32"/>
          <w:u w:val="none"/>
          <w:lang w:val="en-US" w:eastAsia="zh-CN"/>
        </w:rPr>
        <w:t>40.46</w:t>
      </w:r>
      <w:r>
        <w:rPr>
          <w:rFonts w:hint="eastAsia" w:ascii="仿宋_GB2312" w:hAnsi="仿宋_GB2312" w:eastAsia="仿宋_GB2312" w:cs="仿宋_GB2312"/>
          <w:color w:val="auto"/>
          <w:sz w:val="32"/>
          <w:szCs w:val="32"/>
          <w:u w:val="none"/>
        </w:rPr>
        <w:t>件，高于标杆值。该项指标得满分</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auto"/>
          <w:sz w:val="32"/>
          <w:szCs w:val="32"/>
          <w:u w:val="none"/>
          <w:lang w:val="en-US" w:eastAsia="zh-CN"/>
        </w:rPr>
      </w:pPr>
      <w:r>
        <w:rPr>
          <w:rStyle w:val="94"/>
          <w:rFonts w:hint="eastAsia" w:ascii="仿宋_GB2312" w:hAnsi="仿宋_GB2312" w:eastAsia="仿宋_GB2312" w:cs="仿宋_GB2312"/>
          <w:b/>
          <w:bCs/>
          <w:color w:val="auto"/>
          <w:sz w:val="32"/>
          <w:szCs w:val="32"/>
          <w:u w:val="none"/>
          <w:lang w:val="en-US" w:eastAsia="zh-CN"/>
        </w:rPr>
        <w:t>6.政策可持续性。</w:t>
      </w:r>
      <w:r>
        <w:rPr>
          <w:rStyle w:val="94"/>
          <w:rFonts w:hint="eastAsia" w:ascii="仿宋_GB2312" w:hAnsi="仿宋_GB2312" w:eastAsia="仿宋_GB2312" w:cs="仿宋_GB2312"/>
          <w:color w:val="auto"/>
          <w:sz w:val="32"/>
          <w:szCs w:val="32"/>
          <w:u w:val="none"/>
          <w:lang w:val="en-US" w:eastAsia="zh-CN"/>
        </w:rPr>
        <w:t>项目政策能够使项目后续运行及成效发挥得到可持续发展，该项目得满分1分。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auto"/>
          <w:sz w:val="32"/>
          <w:szCs w:val="32"/>
          <w:u w:val="none"/>
          <w:lang w:val="en-US" w:eastAsia="zh-CN"/>
        </w:rPr>
      </w:pPr>
      <w:r>
        <w:rPr>
          <w:rStyle w:val="94"/>
          <w:rFonts w:hint="eastAsia" w:ascii="仿宋_GB2312" w:hAnsi="仿宋_GB2312" w:eastAsia="仿宋_GB2312" w:cs="仿宋_GB2312"/>
          <w:b/>
          <w:bCs/>
          <w:color w:val="auto"/>
          <w:sz w:val="32"/>
          <w:szCs w:val="32"/>
          <w:u w:val="none"/>
          <w:lang w:val="en-US" w:eastAsia="zh-CN"/>
        </w:rPr>
        <w:t>7.项目发展机制可持续性。</w:t>
      </w:r>
      <w:r>
        <w:rPr>
          <w:rStyle w:val="94"/>
          <w:rFonts w:hint="eastAsia" w:ascii="仿宋_GB2312" w:hAnsi="仿宋_GB2312" w:eastAsia="仿宋_GB2312" w:cs="仿宋_GB2312"/>
          <w:color w:val="auto"/>
          <w:sz w:val="32"/>
          <w:szCs w:val="32"/>
          <w:u w:val="none"/>
          <w:lang w:val="en-US" w:eastAsia="zh-CN"/>
        </w:rPr>
        <w:t>项目运转形成了可持续发展的机制。该项目得满分1分。</w:t>
      </w:r>
    </w:p>
    <w:p>
      <w:pPr>
        <w:keepNext w:val="0"/>
        <w:keepLines w:val="0"/>
        <w:pageBreakBefore w:val="0"/>
        <w:kinsoku/>
        <w:wordWrap/>
        <w:overflowPunct/>
        <w:topLinePunct w:val="0"/>
        <w:autoSpaceDE/>
        <w:autoSpaceDN/>
        <w:bidi w:val="0"/>
        <w:spacing w:line="560" w:lineRule="exact"/>
        <w:ind w:firstLine="643" w:firstLineChars="200"/>
        <w:rPr>
          <w:rStyle w:val="94"/>
          <w:rFonts w:hint="eastAsia" w:ascii="仿宋_GB2312" w:hAnsi="仿宋_GB2312" w:eastAsia="仿宋_GB2312" w:cs="仿宋_GB2312"/>
          <w:color w:val="auto"/>
          <w:sz w:val="32"/>
          <w:szCs w:val="32"/>
          <w:u w:val="none"/>
          <w:lang w:val="en-US" w:eastAsia="zh-CN"/>
        </w:rPr>
      </w:pPr>
      <w:r>
        <w:rPr>
          <w:rStyle w:val="94"/>
          <w:rFonts w:hint="eastAsia" w:ascii="仿宋_GB2312" w:hAnsi="仿宋_GB2312" w:eastAsia="仿宋_GB2312" w:cs="仿宋_GB2312"/>
          <w:b/>
          <w:bCs/>
          <w:color w:val="auto"/>
          <w:sz w:val="32"/>
          <w:szCs w:val="32"/>
          <w:u w:val="none"/>
          <w:lang w:val="en-US" w:eastAsia="zh-CN"/>
        </w:rPr>
        <w:t>8.社会公众满意度。</w:t>
      </w:r>
      <w:r>
        <w:rPr>
          <w:rStyle w:val="94"/>
          <w:rFonts w:hint="eastAsia" w:ascii="仿宋_GB2312" w:hAnsi="仿宋_GB2312" w:eastAsia="仿宋_GB2312" w:cs="仿宋_GB2312"/>
          <w:color w:val="auto"/>
          <w:sz w:val="32"/>
          <w:szCs w:val="32"/>
          <w:u w:val="none"/>
          <w:lang w:val="en-US" w:eastAsia="zh-CN"/>
        </w:rPr>
        <w:t>2020年“三民”活动中食品安全群众满意度为97.22%，消费市场服务满意97.26%，均高于目标值。该项目指标得满分8分。</w:t>
      </w:r>
    </w:p>
    <w:bookmarkEnd w:id="6"/>
    <w:p>
      <w:pPr>
        <w:pStyle w:val="98"/>
        <w:keepNext w:val="0"/>
        <w:keepLines w:val="0"/>
        <w:pageBreakBefore w:val="0"/>
        <w:kinsoku/>
        <w:wordWrap/>
        <w:overflowPunct/>
        <w:topLinePunct w:val="0"/>
        <w:autoSpaceDE/>
        <w:autoSpaceDN/>
        <w:bidi w:val="0"/>
        <w:spacing w:line="560" w:lineRule="exact"/>
        <w:ind w:firstLine="480"/>
        <w:rPr>
          <w:rStyle w:val="94"/>
          <w:rFonts w:hint="eastAsia"/>
          <w:color w:val="000000"/>
          <w:lang w:eastAsia="zh-CN"/>
        </w:rPr>
      </w:pPr>
      <w:bookmarkStart w:id="7" w:name="_Toc52359434"/>
      <w:r>
        <w:rPr>
          <w:rStyle w:val="94"/>
          <w:rFonts w:hint="eastAsia"/>
          <w:color w:val="000000"/>
          <w:lang w:eastAsia="zh-CN"/>
        </w:rPr>
        <w:t>五</w:t>
      </w:r>
      <w:r>
        <w:rPr>
          <w:rStyle w:val="94"/>
          <w:rFonts w:hint="eastAsia"/>
          <w:color w:val="000000"/>
        </w:rPr>
        <w:t>、</w:t>
      </w:r>
      <w:r>
        <w:rPr>
          <w:rStyle w:val="94"/>
          <w:rFonts w:hint="eastAsia"/>
          <w:color w:val="000000"/>
          <w:lang w:eastAsia="zh-CN"/>
        </w:rPr>
        <w:t>主要经验及做法</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坚持底线思维，筑牢安全防线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好“一个阵地、四个安全”。一个阵地：就是抓防疫。重点落实“三个严抓”：一是严抓冷链食品和非冷链货物。牵头消费和市场监管组工作，坚持农贸市场防疫“五个必须”。全市严把冷链食品物流仓储、生产加工、市场流通“三个关口”，完成11轮核酸检测，累计检测企业15万家次、从业人员46万人次；全力做好非冷链集装箱防疫工作，严格人员核酸检测，集装箱、货物外包装、运输工具消毒，阻断病毒传播风险。二是严抓物资保障。落实退烧、止咳等四类药品销售登记报告制度，打通防疫物资审批“绿色通道”，获批87个疫情产品注册，全市口罩日产能从20万提升到1900万。三是严抓市场秩序。集中处罚、曝光一批哄抬物价和假冒伪劣案件，开出230万元的全省最大“罚单”，发挥震慑作用，迅速稳定了市场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好四个安全：一是抓好食品安全。市委、市政府出台“加强食安青岛建设的意见”和“党政领导班子成员食品安全责任清单”，健全食品安全顶层架构，以优异成绩通过省级食品安全市复审。全市创新不合格食品“六率”闭环核查处置机制，制定五类“供青食品”标准，实现全市学校和幼儿园食堂“明厨亮灶”。抓好两项市办实事，评定星级农贸市场47家，完成食品定性定量检测7.6万批次，食品评价性抽检合格率99%。二是抓好药品安全。对新冠核酸检测试剂使用质量进行了全覆盖检查。开展了药品零售企业、化妆品“线上净网、线下清源”专项行动。市政府出台“改革和完善疫苗管理体制的意见”，完善了疫苗管理机制。药品评价性抽检合格率100%。三是抓好特种设备安全。推进双重预防体系建设，加强隐患排查和定期检验，定检率100%。推进电梯“保险+服务”应用试点，承担气瓶充装追溯体系建设省级试点，全市特种设备连续四年零事故。四是抓好产品质量安全。实施风险监测、抽样检查和后处理闭环管理，开展监督抽检1597批次，我市企业产品合格率97.6%。省局在胶州召开加油站油品质量创新监管现场观摩会。2020年，我市出台加强“顶格处罚”和“案件曝光”指导意见，系统查处各类违法案件4350起，罚没款9070万元，同比增长35%。</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坚持平台思维，服务高质量发展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打造三个平台：一是质量发展平台。在全国首创NQI物联网平台，NQI智能平台质测网实现上线运营。全市累计获省长质量奖10个，评选青岛市市长质量奖企业35家，48家企业进入全省高端品牌培育名单。推行加油站“油品质量+计量公示”制，全市计量器具抽检合格率100%。实施“检测前置、结果互认、一路畅行”六项措施，促进“一带一路”国家贸易便利化。二是知识产权平台。全市万人有效发明专利拥有量达40.46件，是全省平均水平的3倍。荣获第二十一届中国专利奖金奖3项，位居副省级城市第二。“知识产权”一级指标获全国营商环境测评优异等次。建成世界知识产权组织在华技术与创新支持中心，为71家企业办理专利权质押融资贷款2.49亿元。西海岸新区在全省率先施行“知识产权服务券”政策。三是标准化平台。在全国率先实施标准先进性评价，发布了首批电冰柜、激光电视等13类先进性评价产品。全市累计主导或参与国际标准147项、国家标准及行业标准2800余项。牵头组织胶东经济圈市场监管一体化，确定“1+6”合作框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坚持生态思维，优化市场环境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好“三个重点”：一是实施包容审慎监管。出台轻微违法不予处罚清单2.0版，创新违法风险“提醒告知单”，不予处罚案件472件，免除罚款2200万元。我市在全国率先建立“双随机、一公开”监管标准体系，涉企检查同比缩减三分之一。开展公平竞争政策清理，创新开发“企信通”信用监管系统。全市推进外资企业跨国（境）登记注册，全市市场主体总量达179.8万户。二是开展放心消费创建。打造了十条示范街、千家示范店、万家承诺店。我市组织了NPS口碑指数调查、“青岛好礼”评选。牵头全市消费纠纷管理服务提升行动，加强网络交易秩序整治，查处广告违法行为，省局转发我局投诉举报快处快结“5项措施”，全年处理投诉举报35.5万件，为群众挽回经济损失6000余万元。全国100个大中城市消费环境排名，我市从第15位跃升至第3位，位列全省第一。三是落实为企业减负政策。开展口岸收费专项整治，为企业减免港口收费5.27亿元。治理转供电加价行为，责成转供电企业退费1887万元。</w:t>
      </w:r>
    </w:p>
    <w:p>
      <w:pPr>
        <w:pStyle w:val="98"/>
        <w:keepNext w:val="0"/>
        <w:keepLines w:val="0"/>
        <w:pageBreakBefore w:val="0"/>
        <w:numPr>
          <w:ilvl w:val="0"/>
          <w:numId w:val="2"/>
        </w:numPr>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坚持党建统领，打造“三化一型”队伍</w:t>
      </w:r>
    </w:p>
    <w:p>
      <w:pPr>
        <w:pStyle w:val="98"/>
        <w:keepNext w:val="0"/>
        <w:keepLines w:val="0"/>
        <w:pageBreakBefore w:val="0"/>
        <w:numPr>
          <w:ilvl w:val="0"/>
          <w:numId w:val="0"/>
        </w:numPr>
        <w:kinsoku/>
        <w:wordWrap/>
        <w:overflowPunct/>
        <w:topLinePunct w:val="0"/>
        <w:autoSpaceDE/>
        <w:autoSpaceDN/>
        <w:bidi w:val="0"/>
        <w:spacing w:line="560" w:lineRule="exact"/>
        <w:ind w:firstLine="640" w:firstLineChars="200"/>
        <w:rPr>
          <w:rStyle w:val="94"/>
          <w:rFonts w:hint="eastAsia"/>
          <w:color w:val="000000"/>
          <w:lang w:eastAsia="zh-CN"/>
        </w:rPr>
      </w:pPr>
      <w:r>
        <w:rPr>
          <w:rFonts w:hint="eastAsia" w:ascii="仿宋_GB2312" w:hAnsi="仿宋_GB2312" w:eastAsia="仿宋_GB2312" w:cs="仿宋_GB2312"/>
          <w:sz w:val="32"/>
          <w:szCs w:val="32"/>
        </w:rPr>
        <w:t>突出四项重点：一是突出党的建设。创建“监管铁军、服务先锋”党建品牌，弘扬“监管惟公、服务惟勤”机关文化理念，推行“想到穷尽、干到极致”等工作理念，增强队伍凝聚力和战斗力。二是突出典型示范。全力培树专利代办处先进典型集体，并赴省局做专题报告，引起广泛反响。组织评选“最佳基层监管所、最美市场监管人、最优工作案例”。开辟《市场监管在身边》媒体专栏，向社会传递市场监</w:t>
      </w:r>
      <w:bookmarkStart w:id="10" w:name="_GoBack"/>
      <w:bookmarkEnd w:id="10"/>
      <w:r>
        <w:rPr>
          <w:rFonts w:hint="eastAsia" w:ascii="仿宋_GB2312" w:hAnsi="仿宋_GB2312" w:eastAsia="仿宋_GB2312" w:cs="仿宋_GB2312"/>
          <w:sz w:val="32"/>
          <w:szCs w:val="32"/>
        </w:rPr>
        <w:t>管好故事、好声音。三是突出“三述”提升。创新“三述”形式，开展局长上讲台、处长现场述、其他同志专题述等主题活动。创新“市场监管微课堂”、基层体悟等培训形式，全面提升干部队伍素质。四是突出从严治党。制定党风廉政建设党组主体责任清单、纪委监督责任清单，汇编印发86项内部管理制度，制定《党员干部问题线索处置办法》，《关于整治形式主义官僚主义问题13条措施》，严格制度刚性。编发《市场监管系统党员干部违纪违法案例选编》，以案为鉴、以案促改。</w:t>
      </w:r>
    </w:p>
    <w:bookmarkEnd w:id="1"/>
    <w:p>
      <w:pPr>
        <w:pStyle w:val="98"/>
        <w:keepNext w:val="0"/>
        <w:keepLines w:val="0"/>
        <w:pageBreakBefore w:val="0"/>
        <w:kinsoku/>
        <w:wordWrap/>
        <w:overflowPunct/>
        <w:topLinePunct w:val="0"/>
        <w:autoSpaceDE/>
        <w:autoSpaceDN/>
        <w:bidi w:val="0"/>
        <w:spacing w:line="560" w:lineRule="exact"/>
        <w:ind w:firstLine="480"/>
        <w:rPr>
          <w:rStyle w:val="94"/>
          <w:rFonts w:hint="eastAsia" w:eastAsia="黑体"/>
          <w:bCs/>
          <w:color w:val="000000"/>
          <w:lang w:eastAsia="zh-CN"/>
        </w:rPr>
      </w:pPr>
      <w:bookmarkStart w:id="8" w:name="_Toc52359442"/>
      <w:bookmarkStart w:id="9" w:name="_Toc5965"/>
      <w:r>
        <w:rPr>
          <w:rStyle w:val="94"/>
          <w:rFonts w:hint="eastAsia"/>
          <w:color w:val="000000"/>
          <w:lang w:eastAsia="zh-CN"/>
        </w:rPr>
        <w:t>六</w:t>
      </w:r>
      <w:r>
        <w:rPr>
          <w:rStyle w:val="94"/>
          <w:rFonts w:hint="eastAsia"/>
          <w:color w:val="000000"/>
        </w:rPr>
        <w:t>、存在的问题</w:t>
      </w:r>
      <w:bookmarkEnd w:id="8"/>
      <w:r>
        <w:rPr>
          <w:rStyle w:val="94"/>
          <w:rFonts w:hint="eastAsia"/>
          <w:color w:val="000000"/>
          <w:lang w:eastAsia="zh-CN"/>
        </w:rPr>
        <w:t>及有关建议</w:t>
      </w:r>
    </w:p>
    <w:p>
      <w:pPr>
        <w:keepNext w:val="0"/>
        <w:keepLines w:val="0"/>
        <w:pageBreakBefore w:val="0"/>
        <w:kinsoku/>
        <w:wordWrap/>
        <w:overflowPunct/>
        <w:topLinePunct w:val="0"/>
        <w:autoSpaceDE/>
        <w:autoSpaceDN/>
        <w:bidi w:val="0"/>
        <w:adjustRightInd w:val="0"/>
        <w:snapToGrid w:val="0"/>
        <w:spacing w:line="560" w:lineRule="exact"/>
        <w:ind w:firstLine="640" w:firstLineChars="200"/>
        <w:outlineLvl w:val="1"/>
        <w:rPr>
          <w:rFonts w:ascii="黑体" w:hAnsi="黑体" w:eastAsia="黑体"/>
          <w:sz w:val="32"/>
          <w:szCs w:val="32"/>
        </w:rPr>
      </w:pPr>
      <w:r>
        <w:rPr>
          <w:rFonts w:hint="eastAsia" w:ascii="仿宋_GB2312" w:hAnsi="仿宋" w:eastAsia="仿宋_GB2312"/>
          <w:sz w:val="32"/>
          <w:szCs w:val="32"/>
        </w:rPr>
        <w:t>通过开展绩效评价，发现单位在绩效管理方面主要存在以下几方面问题</w:t>
      </w:r>
      <w:r>
        <w:rPr>
          <w:rFonts w:ascii="仿宋_GB2312" w:hAnsi="仿宋" w:eastAsia="仿宋_GB2312"/>
          <w:sz w:val="32"/>
          <w:szCs w:val="32"/>
        </w:rPr>
        <w:t>:</w:t>
      </w:r>
      <w:r>
        <w:rPr>
          <w:rFonts w:hint="eastAsia" w:ascii="仿宋_GB2312" w:hAnsi="仿宋" w:eastAsia="仿宋_GB2312"/>
          <w:sz w:val="32"/>
          <w:szCs w:val="32"/>
        </w:rPr>
        <w:t>一是整体支出绩效管理工作体制机制需要进一步完善。单位已经积累的较为丰富的专项资金绩效管理经验，但在整体支出绩效管理方面仍存在薄弱环节，如绩效管理重要性认识程度不够，绩效管理工作体制没有建立，绩效管理责任不清，存在工作空白点等。二是制度建设存在缺项，需尽快建立健全相关管理制度，规范资金、资产管理行为。三是预算执行仍需加强，主要表现在部分项目支出进度没有达到要求，政府采购执行率不高。主要原因是受疫情防控及经费压缩的影响，工作重心及工作节奏有所调整。</w:t>
      </w:r>
    </w:p>
    <w:p>
      <w:pPr>
        <w:pStyle w:val="4"/>
        <w:keepNext w:val="0"/>
        <w:keepLines w:val="0"/>
        <w:pageBreakBefore w:val="0"/>
        <w:numPr>
          <w:ilvl w:val="0"/>
          <w:numId w:val="0"/>
        </w:numPr>
        <w:kinsoku/>
        <w:wordWrap/>
        <w:overflowPunct/>
        <w:topLinePunct w:val="0"/>
        <w:autoSpaceDE/>
        <w:autoSpaceDN/>
        <w:bidi w:val="0"/>
        <w:spacing w:before="0" w:after="0" w:line="560" w:lineRule="exact"/>
        <w:ind w:firstLine="640" w:firstLineChars="200"/>
        <w:rPr>
          <w:rFonts w:ascii="仿宋_GB2312" w:hAnsi="仿宋" w:eastAsia="仿宋_GB2312" w:cs="等线"/>
          <w:kern w:val="2"/>
        </w:rPr>
      </w:pPr>
      <w:r>
        <w:rPr>
          <w:rFonts w:hint="eastAsia" w:ascii="仿宋_GB2312" w:hAnsi="仿宋" w:eastAsia="仿宋_GB2312" w:cs="等线"/>
          <w:kern w:val="2"/>
        </w:rPr>
        <w:t>针对上述问题，提出工作建议：一是采取多种形式开展绩效管理宣传，使绩效管理理念真正入脑入心。二是研究制定绩效管理工作规程，探索建立绩效目标数据库，提高绩效管理工作的科学化、规范化、便捷化。三是继续做好预算执行情况日常监控，抓好预算执行，及时通报支出进度，做好绩效目标动态监控，力争实现支出进度均衡，做到支出进度与绩效完成进度相匹配。</w:t>
      </w:r>
    </w:p>
    <w:p>
      <w:pPr>
        <w:keepNext w:val="0"/>
        <w:keepLines w:val="0"/>
        <w:pageBreakBefore w:val="0"/>
        <w:kinsoku/>
        <w:wordWrap/>
        <w:overflowPunct/>
        <w:topLinePunct w:val="0"/>
        <w:autoSpaceDE/>
        <w:autoSpaceDN/>
        <w:bidi w:val="0"/>
        <w:spacing w:line="560" w:lineRule="exact"/>
        <w:ind w:firstLine="600" w:firstLineChars="200"/>
        <w:rPr>
          <w:rStyle w:val="94"/>
          <w:rFonts w:hint="eastAsia" w:ascii="黑体" w:hAnsi="黑体" w:eastAsia="黑体" w:cs="黑体"/>
          <w:color w:val="000000"/>
          <w:sz w:val="30"/>
          <w:szCs w:val="30"/>
          <w:lang w:val="en-US" w:eastAsia="zh-CN"/>
        </w:rPr>
      </w:pPr>
      <w:r>
        <w:rPr>
          <w:rStyle w:val="94"/>
          <w:rFonts w:hint="eastAsia" w:ascii="黑体" w:hAnsi="黑体" w:eastAsia="黑体" w:cs="黑体"/>
          <w:color w:val="000000"/>
          <w:sz w:val="30"/>
          <w:szCs w:val="30"/>
          <w:lang w:val="en-US" w:eastAsia="zh-CN"/>
        </w:rPr>
        <w:t>七、无其他说明事项</w:t>
      </w:r>
    </w:p>
    <w:bookmarkEnd w:id="9"/>
    <w:p>
      <w:pPr>
        <w:pStyle w:val="4"/>
        <w:keepNext w:val="0"/>
        <w:keepLines w:val="0"/>
        <w:pageBreakBefore w:val="0"/>
        <w:numPr>
          <w:ilvl w:val="0"/>
          <w:numId w:val="0"/>
        </w:numPr>
        <w:kinsoku/>
        <w:wordWrap/>
        <w:overflowPunct/>
        <w:topLinePunct w:val="0"/>
        <w:autoSpaceDE/>
        <w:autoSpaceDN/>
        <w:bidi w:val="0"/>
        <w:spacing w:before="0" w:after="0" w:line="560" w:lineRule="exact"/>
        <w:rPr>
          <w:rFonts w:hint="eastAsia" w:ascii="仿宋_GB2312" w:hAnsi="仿宋" w:eastAsia="仿宋_GB2312" w:cs="等线"/>
          <w:kern w:val="2"/>
        </w:rPr>
      </w:pPr>
    </w:p>
    <w:p>
      <w:pPr>
        <w:pStyle w:val="4"/>
        <w:keepNext w:val="0"/>
        <w:keepLines w:val="0"/>
        <w:pageBreakBefore w:val="0"/>
        <w:numPr>
          <w:ilvl w:val="0"/>
          <w:numId w:val="0"/>
        </w:numPr>
        <w:kinsoku/>
        <w:wordWrap/>
        <w:overflowPunct/>
        <w:topLinePunct w:val="0"/>
        <w:autoSpaceDE/>
        <w:autoSpaceDN/>
        <w:bidi w:val="0"/>
        <w:spacing w:before="0" w:after="0" w:line="560" w:lineRule="exact"/>
        <w:ind w:firstLine="640" w:firstLineChars="200"/>
        <w:rPr>
          <w:rFonts w:hint="eastAsia" w:ascii="仿宋_GB2312" w:hAnsi="仿宋" w:eastAsia="仿宋_GB2312" w:cs="等线"/>
          <w:kern w:val="2"/>
        </w:rPr>
      </w:pPr>
    </w:p>
    <w:p>
      <w:pPr>
        <w:pStyle w:val="4"/>
        <w:keepNext w:val="0"/>
        <w:keepLines w:val="0"/>
        <w:pageBreakBefore w:val="0"/>
        <w:numPr>
          <w:ilvl w:val="0"/>
          <w:numId w:val="0"/>
        </w:numPr>
        <w:kinsoku/>
        <w:wordWrap/>
        <w:overflowPunct/>
        <w:topLinePunct w:val="0"/>
        <w:autoSpaceDE/>
        <w:autoSpaceDN/>
        <w:bidi w:val="0"/>
        <w:spacing w:before="0" w:after="0" w:line="560" w:lineRule="exact"/>
        <w:ind w:firstLine="640" w:firstLineChars="200"/>
        <w:rPr>
          <w:rFonts w:ascii="仿宋_GB2312" w:hAnsi="仿宋" w:eastAsia="仿宋_GB2312" w:cs="等线"/>
          <w:kern w:val="2"/>
        </w:rPr>
      </w:pPr>
      <w:r>
        <w:rPr>
          <w:rFonts w:hint="eastAsia" w:ascii="仿宋_GB2312" w:hAnsi="仿宋" w:eastAsia="仿宋_GB2312" w:cs="等线"/>
          <w:kern w:val="2"/>
        </w:rPr>
        <w:t>附件：</w:t>
      </w:r>
      <w:r>
        <w:rPr>
          <w:rFonts w:ascii="仿宋_GB2312" w:hAnsi="仿宋" w:eastAsia="仿宋_GB2312" w:cs="等线"/>
          <w:kern w:val="2"/>
        </w:rPr>
        <w:t>1.</w:t>
      </w:r>
      <w:r>
        <w:rPr>
          <w:rFonts w:hint="eastAsia" w:ascii="仿宋_GB2312" w:hAnsi="仿宋" w:eastAsia="仿宋_GB2312" w:cs="等线"/>
          <w:kern w:val="2"/>
          <w:lang w:eastAsia="zh-CN"/>
        </w:rPr>
        <w:t>专项业务费</w:t>
      </w:r>
      <w:r>
        <w:rPr>
          <w:rFonts w:hint="eastAsia" w:ascii="仿宋_GB2312" w:hAnsi="仿宋" w:eastAsia="仿宋_GB2312" w:cs="等线"/>
          <w:kern w:val="2"/>
        </w:rPr>
        <w:t>指标体系</w:t>
      </w:r>
    </w:p>
    <w:p>
      <w:pPr>
        <w:pStyle w:val="4"/>
        <w:keepNext w:val="0"/>
        <w:keepLines w:val="0"/>
        <w:pageBreakBefore w:val="0"/>
        <w:numPr>
          <w:ilvl w:val="0"/>
          <w:numId w:val="0"/>
        </w:numPr>
        <w:kinsoku/>
        <w:wordWrap/>
        <w:overflowPunct/>
        <w:topLinePunct w:val="0"/>
        <w:autoSpaceDE/>
        <w:autoSpaceDN/>
        <w:bidi w:val="0"/>
        <w:spacing w:before="0" w:after="0" w:line="560" w:lineRule="exact"/>
        <w:ind w:firstLine="1600" w:firstLineChars="500"/>
        <w:rPr>
          <w:rFonts w:ascii="仿宋_GB2312" w:hAnsi="仿宋" w:eastAsia="仿宋_GB2312" w:cs="等线"/>
          <w:kern w:val="2"/>
        </w:rPr>
      </w:pPr>
      <w:r>
        <w:rPr>
          <w:rFonts w:ascii="仿宋_GB2312" w:hAnsi="仿宋" w:eastAsia="仿宋_GB2312" w:cs="等线"/>
          <w:kern w:val="2"/>
        </w:rPr>
        <w:t>2.</w:t>
      </w:r>
      <w:r>
        <w:rPr>
          <w:rFonts w:hint="eastAsia" w:ascii="仿宋_GB2312" w:hAnsi="仿宋" w:eastAsia="仿宋_GB2312" w:cs="等线"/>
          <w:kern w:val="2"/>
        </w:rPr>
        <w:t>三民活动情况通报</w:t>
      </w:r>
    </w:p>
    <w:p>
      <w:pPr>
        <w:keepNext w:val="0"/>
        <w:keepLines w:val="0"/>
        <w:pageBreakBefore w:val="0"/>
        <w:kinsoku/>
        <w:wordWrap/>
        <w:overflowPunct/>
        <w:topLinePunct w:val="0"/>
        <w:autoSpaceDE/>
        <w:autoSpaceDN/>
        <w:bidi w:val="0"/>
        <w:spacing w:line="560" w:lineRule="exact"/>
      </w:pPr>
    </w:p>
    <w:p>
      <w:pPr>
        <w:pStyle w:val="2"/>
        <w:keepNext w:val="0"/>
        <w:keepLines w:val="0"/>
        <w:pageBreakBefore w:val="0"/>
        <w:kinsoku/>
        <w:wordWrap/>
        <w:overflowPunct/>
        <w:topLinePunct w:val="0"/>
        <w:autoSpaceDE/>
        <w:autoSpaceDN/>
        <w:bidi w:val="0"/>
        <w:spacing w:line="560" w:lineRule="exact"/>
        <w:ind w:left="0" w:leftChars="0" w:firstLine="0" w:firstLineChars="0"/>
        <w:jc w:val="both"/>
        <w:rPr>
          <w:rFonts w:ascii="黑体" w:hAnsi="黑体" w:eastAsia="黑体"/>
          <w:sz w:val="32"/>
          <w:szCs w:val="32"/>
          <w:u w:val="single"/>
        </w:rPr>
      </w:pPr>
    </w:p>
    <w:sectPr>
      <w:headerReference r:id="rId3" w:type="default"/>
      <w:footerReference r:id="rId4" w:type="default"/>
      <w:footnotePr>
        <w:numRestart w:val="eachPage"/>
      </w:footnotePr>
      <w:pgSz w:w="11906" w:h="16838"/>
      <w:pgMar w:top="2098" w:right="1474" w:bottom="1984" w:left="1588"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文星简黑体">
    <w:altName w:val="黑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37</w:t>
    </w:r>
    <w:r>
      <w:rPr>
        <w:lang w:val="zh-CN"/>
      </w:rPr>
      <w:fldChar w:fldCharType="end"/>
    </w:r>
  </w:p>
  <w:p>
    <w:pPr>
      <w:pStyle w:val="4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8BF0"/>
    <w:multiLevelType w:val="singleLevel"/>
    <w:tmpl w:val="29058BF0"/>
    <w:lvl w:ilvl="0" w:tentative="0">
      <w:start w:val="2"/>
      <w:numFmt w:val="chineseCounting"/>
      <w:lvlText w:val="(%1)"/>
      <w:lvlJc w:val="left"/>
      <w:pPr>
        <w:tabs>
          <w:tab w:val="left" w:pos="312"/>
        </w:tabs>
      </w:pPr>
      <w:rPr>
        <w:rFonts w:hint="eastAsia"/>
      </w:rPr>
    </w:lvl>
  </w:abstractNum>
  <w:abstractNum w:abstractNumId="1">
    <w:nsid w:val="572A304E"/>
    <w:multiLevelType w:val="singleLevel"/>
    <w:tmpl w:val="572A304E"/>
    <w:lvl w:ilvl="0" w:tentative="0">
      <w:start w:val="2"/>
      <w:numFmt w:val="chineseCounting"/>
      <w:suff w:val="nothing"/>
      <w:lvlText w:val="（%1）"/>
      <w:lvlJc w:val="left"/>
      <w:rPr>
        <w:rFonts w:hint="eastAsia"/>
      </w:rPr>
    </w:lvl>
  </w:abstractNum>
  <w:abstractNum w:abstractNumId="2">
    <w:nsid w:val="610671B8"/>
    <w:multiLevelType w:val="multilevel"/>
    <w:tmpl w:val="610671B8"/>
    <w:lvl w:ilvl="0" w:tentative="0">
      <w:start w:val="1"/>
      <w:numFmt w:val="chineseCountingThousand"/>
      <w:pStyle w:val="4"/>
      <w:suff w:val="nothing"/>
      <w:lvlText w:val="%1、"/>
      <w:lvlJc w:val="left"/>
      <w:pPr>
        <w:ind w:left="4253" w:hanging="425"/>
      </w:pPr>
      <w:rPr>
        <w:rFonts w:hint="eastAsia" w:cs="Times New Roman"/>
      </w:rPr>
    </w:lvl>
    <w:lvl w:ilvl="1" w:tentative="0">
      <w:start w:val="1"/>
      <w:numFmt w:val="chineseCountingThousand"/>
      <w:pStyle w:val="5"/>
      <w:suff w:val="nothing"/>
      <w:lvlText w:val="（%2）"/>
      <w:lvlJc w:val="left"/>
      <w:pPr>
        <w:ind w:left="709" w:hanging="567"/>
      </w:pPr>
      <w:rPr>
        <w:rFonts w:hint="eastAsia" w:cs="Times New Roman"/>
      </w:rPr>
    </w:lvl>
    <w:lvl w:ilvl="2" w:tentative="0">
      <w:start w:val="1"/>
      <w:numFmt w:val="decimal"/>
      <w:pStyle w:val="7"/>
      <w:suff w:val="nothing"/>
      <w:lvlText w:val="%3. "/>
      <w:lvlJc w:val="left"/>
      <w:pPr>
        <w:ind w:left="426" w:hanging="567"/>
      </w:pPr>
      <w:rPr>
        <w:rFonts w:hint="eastAsia" w:cs="Times New Roman"/>
      </w:rPr>
    </w:lvl>
    <w:lvl w:ilvl="3" w:tentative="0">
      <w:start w:val="1"/>
      <w:numFmt w:val="decimal"/>
      <w:pStyle w:val="8"/>
      <w:suff w:val="nothing"/>
      <w:lvlText w:val="（%4）"/>
      <w:lvlJc w:val="left"/>
      <w:pPr>
        <w:ind w:left="1134" w:hanging="425"/>
      </w:pPr>
      <w:rPr>
        <w:rFonts w:hint="eastAsia" w:cs="Times New Roman"/>
      </w:rPr>
    </w:lvl>
    <w:lvl w:ilvl="4" w:tentative="0">
      <w:start w:val="1"/>
      <w:numFmt w:val="decimal"/>
      <w:pStyle w:val="9"/>
      <w:suff w:val="nothing"/>
      <w:lvlText w:val="%5）"/>
      <w:lvlJc w:val="left"/>
      <w:pPr>
        <w:ind w:left="709" w:hanging="113"/>
      </w:pPr>
      <w:rPr>
        <w:rFonts w:hint="eastAsia" w:cs="Times New Roman"/>
      </w:rPr>
    </w:lvl>
    <w:lvl w:ilvl="5" w:tentative="0">
      <w:start w:val="1"/>
      <w:numFmt w:val="decimal"/>
      <w:pStyle w:val="56"/>
      <w:suff w:val="nothing"/>
      <w:lvlText w:val="附件%6 "/>
      <w:lvlJc w:val="left"/>
      <w:pPr>
        <w:ind w:left="-283"/>
      </w:pPr>
      <w:rPr>
        <w:rFonts w:hint="eastAsia" w:cs="Times New Roman"/>
      </w:rPr>
    </w:lvl>
    <w:lvl w:ilvl="6" w:tentative="0">
      <w:start w:val="1"/>
      <w:numFmt w:val="chineseCountingThousand"/>
      <w:suff w:val="nothing"/>
      <w:lvlText w:val="%7、"/>
      <w:lvlJc w:val="left"/>
      <w:pPr>
        <w:ind w:left="709" w:hanging="567"/>
      </w:pPr>
      <w:rPr>
        <w:rFonts w:hint="eastAsia" w:cs="Times New Roman"/>
      </w:rPr>
    </w:lvl>
    <w:lvl w:ilvl="7" w:tentative="0">
      <w:start w:val="1"/>
      <w:numFmt w:val="chineseCountingThousand"/>
      <w:suff w:val="nothing"/>
      <w:lvlText w:val="（%8）"/>
      <w:lvlJc w:val="left"/>
      <w:pPr>
        <w:ind w:left="709" w:hanging="567"/>
      </w:pPr>
      <w:rPr>
        <w:rFonts w:hint="eastAsia" w:cs="Times New Roman"/>
      </w:rPr>
    </w:lvl>
    <w:lvl w:ilvl="8" w:tentative="0">
      <w:start w:val="1"/>
      <w:numFmt w:val="decimal"/>
      <w:suff w:val="nothing"/>
      <w:lvlText w:val="%9. "/>
      <w:lvlJc w:val="left"/>
      <w:pPr>
        <w:ind w:left="709" w:hanging="567"/>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footnotePr>
    <w:numRestart w:val="eachPage"/>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4D"/>
    <w:rsid w:val="000103F6"/>
    <w:rsid w:val="00015FD7"/>
    <w:rsid w:val="00017425"/>
    <w:rsid w:val="000177CD"/>
    <w:rsid w:val="000215FD"/>
    <w:rsid w:val="00025E1A"/>
    <w:rsid w:val="00035C58"/>
    <w:rsid w:val="00044534"/>
    <w:rsid w:val="00045368"/>
    <w:rsid w:val="0005304B"/>
    <w:rsid w:val="00053EAD"/>
    <w:rsid w:val="0005634B"/>
    <w:rsid w:val="00065703"/>
    <w:rsid w:val="00066C9A"/>
    <w:rsid w:val="00071965"/>
    <w:rsid w:val="000760DA"/>
    <w:rsid w:val="00083FCC"/>
    <w:rsid w:val="00086675"/>
    <w:rsid w:val="00091146"/>
    <w:rsid w:val="000930F8"/>
    <w:rsid w:val="000962ED"/>
    <w:rsid w:val="000A261F"/>
    <w:rsid w:val="000A612E"/>
    <w:rsid w:val="000B52F0"/>
    <w:rsid w:val="000C0DDB"/>
    <w:rsid w:val="000C277D"/>
    <w:rsid w:val="000C608D"/>
    <w:rsid w:val="000C70F8"/>
    <w:rsid w:val="000D04E1"/>
    <w:rsid w:val="000E5EFC"/>
    <w:rsid w:val="000E7309"/>
    <w:rsid w:val="000F2B10"/>
    <w:rsid w:val="000F58AF"/>
    <w:rsid w:val="000F73D4"/>
    <w:rsid w:val="000F7747"/>
    <w:rsid w:val="00102E6B"/>
    <w:rsid w:val="00104628"/>
    <w:rsid w:val="00107545"/>
    <w:rsid w:val="00107BD6"/>
    <w:rsid w:val="00110233"/>
    <w:rsid w:val="00110F1D"/>
    <w:rsid w:val="001124FB"/>
    <w:rsid w:val="001130E9"/>
    <w:rsid w:val="00114DEE"/>
    <w:rsid w:val="001171EA"/>
    <w:rsid w:val="00121E22"/>
    <w:rsid w:val="00132A28"/>
    <w:rsid w:val="00136279"/>
    <w:rsid w:val="00147239"/>
    <w:rsid w:val="00147A7E"/>
    <w:rsid w:val="00152D39"/>
    <w:rsid w:val="001555BF"/>
    <w:rsid w:val="00162F82"/>
    <w:rsid w:val="00163A98"/>
    <w:rsid w:val="00172053"/>
    <w:rsid w:val="00173F46"/>
    <w:rsid w:val="001807D4"/>
    <w:rsid w:val="00181230"/>
    <w:rsid w:val="00184ABA"/>
    <w:rsid w:val="00192F0D"/>
    <w:rsid w:val="00195023"/>
    <w:rsid w:val="00195521"/>
    <w:rsid w:val="001955F9"/>
    <w:rsid w:val="0019781C"/>
    <w:rsid w:val="00197D2B"/>
    <w:rsid w:val="001A05A0"/>
    <w:rsid w:val="001A7797"/>
    <w:rsid w:val="001B1EA4"/>
    <w:rsid w:val="001B24EE"/>
    <w:rsid w:val="001B486E"/>
    <w:rsid w:val="001C60B0"/>
    <w:rsid w:val="001D2018"/>
    <w:rsid w:val="001E1627"/>
    <w:rsid w:val="001E4440"/>
    <w:rsid w:val="00204B59"/>
    <w:rsid w:val="00205309"/>
    <w:rsid w:val="002068C4"/>
    <w:rsid w:val="00216BF3"/>
    <w:rsid w:val="002173D5"/>
    <w:rsid w:val="00221726"/>
    <w:rsid w:val="00222A88"/>
    <w:rsid w:val="0022387E"/>
    <w:rsid w:val="00233597"/>
    <w:rsid w:val="0023442A"/>
    <w:rsid w:val="00237C0D"/>
    <w:rsid w:val="0026269B"/>
    <w:rsid w:val="00265FF6"/>
    <w:rsid w:val="00270A25"/>
    <w:rsid w:val="00270EA4"/>
    <w:rsid w:val="00270F7F"/>
    <w:rsid w:val="00272D30"/>
    <w:rsid w:val="002739C9"/>
    <w:rsid w:val="00274941"/>
    <w:rsid w:val="002766D9"/>
    <w:rsid w:val="00277770"/>
    <w:rsid w:val="00281D6F"/>
    <w:rsid w:val="00295624"/>
    <w:rsid w:val="002A429E"/>
    <w:rsid w:val="002A44DB"/>
    <w:rsid w:val="002B01E4"/>
    <w:rsid w:val="002B4447"/>
    <w:rsid w:val="002B54A2"/>
    <w:rsid w:val="002C3232"/>
    <w:rsid w:val="002C46C0"/>
    <w:rsid w:val="002D4F10"/>
    <w:rsid w:val="002D58DE"/>
    <w:rsid w:val="002E3092"/>
    <w:rsid w:val="002E588E"/>
    <w:rsid w:val="002F0BBF"/>
    <w:rsid w:val="002F20FF"/>
    <w:rsid w:val="00304B83"/>
    <w:rsid w:val="00306A50"/>
    <w:rsid w:val="00306E74"/>
    <w:rsid w:val="00321E02"/>
    <w:rsid w:val="0033215C"/>
    <w:rsid w:val="0033302E"/>
    <w:rsid w:val="00337B5F"/>
    <w:rsid w:val="0034355A"/>
    <w:rsid w:val="003453B8"/>
    <w:rsid w:val="00345EF3"/>
    <w:rsid w:val="00346EFE"/>
    <w:rsid w:val="0035699D"/>
    <w:rsid w:val="00356FCE"/>
    <w:rsid w:val="003727B2"/>
    <w:rsid w:val="00383CBD"/>
    <w:rsid w:val="00390FDC"/>
    <w:rsid w:val="003957CB"/>
    <w:rsid w:val="0039624B"/>
    <w:rsid w:val="00397DBF"/>
    <w:rsid w:val="003A14CB"/>
    <w:rsid w:val="003A6EB1"/>
    <w:rsid w:val="003B427B"/>
    <w:rsid w:val="003D3060"/>
    <w:rsid w:val="003D428A"/>
    <w:rsid w:val="003D61E8"/>
    <w:rsid w:val="003F2883"/>
    <w:rsid w:val="003F45CF"/>
    <w:rsid w:val="00404EAC"/>
    <w:rsid w:val="0041326E"/>
    <w:rsid w:val="00421805"/>
    <w:rsid w:val="00421A3F"/>
    <w:rsid w:val="0043483F"/>
    <w:rsid w:val="004408E8"/>
    <w:rsid w:val="00440CAC"/>
    <w:rsid w:val="00444700"/>
    <w:rsid w:val="0044724D"/>
    <w:rsid w:val="004531F9"/>
    <w:rsid w:val="004542E0"/>
    <w:rsid w:val="00461869"/>
    <w:rsid w:val="00466115"/>
    <w:rsid w:val="00477F73"/>
    <w:rsid w:val="004800A9"/>
    <w:rsid w:val="00481171"/>
    <w:rsid w:val="004876E7"/>
    <w:rsid w:val="00493152"/>
    <w:rsid w:val="00493F68"/>
    <w:rsid w:val="00495B44"/>
    <w:rsid w:val="004A3A8E"/>
    <w:rsid w:val="004A5E40"/>
    <w:rsid w:val="004B11F3"/>
    <w:rsid w:val="004B3569"/>
    <w:rsid w:val="004B3AE9"/>
    <w:rsid w:val="004D2587"/>
    <w:rsid w:val="004D2FC2"/>
    <w:rsid w:val="004D40CF"/>
    <w:rsid w:val="004D5BB2"/>
    <w:rsid w:val="004F0717"/>
    <w:rsid w:val="005021F4"/>
    <w:rsid w:val="00502945"/>
    <w:rsid w:val="0050520B"/>
    <w:rsid w:val="005059A8"/>
    <w:rsid w:val="0051086A"/>
    <w:rsid w:val="0051481C"/>
    <w:rsid w:val="00514F5C"/>
    <w:rsid w:val="00546D71"/>
    <w:rsid w:val="00550A75"/>
    <w:rsid w:val="005602DA"/>
    <w:rsid w:val="00560DED"/>
    <w:rsid w:val="00575761"/>
    <w:rsid w:val="00577E95"/>
    <w:rsid w:val="00584B70"/>
    <w:rsid w:val="005946B1"/>
    <w:rsid w:val="005954FF"/>
    <w:rsid w:val="005A7B09"/>
    <w:rsid w:val="005B41A4"/>
    <w:rsid w:val="005B429E"/>
    <w:rsid w:val="005B4DBE"/>
    <w:rsid w:val="005B5F1D"/>
    <w:rsid w:val="005C4184"/>
    <w:rsid w:val="005C7243"/>
    <w:rsid w:val="005D01DD"/>
    <w:rsid w:val="005E16C6"/>
    <w:rsid w:val="005E42E5"/>
    <w:rsid w:val="005E54C2"/>
    <w:rsid w:val="005E5FE8"/>
    <w:rsid w:val="005F2B0E"/>
    <w:rsid w:val="005F3EF4"/>
    <w:rsid w:val="00604CEA"/>
    <w:rsid w:val="00607F4F"/>
    <w:rsid w:val="00610C44"/>
    <w:rsid w:val="00611225"/>
    <w:rsid w:val="00631EAB"/>
    <w:rsid w:val="00642A61"/>
    <w:rsid w:val="00652D60"/>
    <w:rsid w:val="00653671"/>
    <w:rsid w:val="00656492"/>
    <w:rsid w:val="00670309"/>
    <w:rsid w:val="00671F28"/>
    <w:rsid w:val="006720F1"/>
    <w:rsid w:val="00672BF2"/>
    <w:rsid w:val="00676082"/>
    <w:rsid w:val="00681991"/>
    <w:rsid w:val="00684679"/>
    <w:rsid w:val="00690D70"/>
    <w:rsid w:val="00697F95"/>
    <w:rsid w:val="006B25EE"/>
    <w:rsid w:val="006B5747"/>
    <w:rsid w:val="006B6D34"/>
    <w:rsid w:val="006C0552"/>
    <w:rsid w:val="006C56E6"/>
    <w:rsid w:val="006D2AA1"/>
    <w:rsid w:val="006D3289"/>
    <w:rsid w:val="006D38B2"/>
    <w:rsid w:val="006D4C19"/>
    <w:rsid w:val="006E058D"/>
    <w:rsid w:val="006E3C10"/>
    <w:rsid w:val="006E7F29"/>
    <w:rsid w:val="006F2868"/>
    <w:rsid w:val="006F28BB"/>
    <w:rsid w:val="00702653"/>
    <w:rsid w:val="0070312D"/>
    <w:rsid w:val="007276E5"/>
    <w:rsid w:val="00730C8C"/>
    <w:rsid w:val="00736B86"/>
    <w:rsid w:val="00741C00"/>
    <w:rsid w:val="00744A5A"/>
    <w:rsid w:val="00744BAE"/>
    <w:rsid w:val="00756CD2"/>
    <w:rsid w:val="00760396"/>
    <w:rsid w:val="00762408"/>
    <w:rsid w:val="00763364"/>
    <w:rsid w:val="007665DB"/>
    <w:rsid w:val="00784DBE"/>
    <w:rsid w:val="0079506D"/>
    <w:rsid w:val="007A7104"/>
    <w:rsid w:val="007B466F"/>
    <w:rsid w:val="007B5552"/>
    <w:rsid w:val="007C1028"/>
    <w:rsid w:val="007C5DBA"/>
    <w:rsid w:val="007E6C44"/>
    <w:rsid w:val="007E7712"/>
    <w:rsid w:val="007F6F59"/>
    <w:rsid w:val="00800141"/>
    <w:rsid w:val="00803146"/>
    <w:rsid w:val="008052E9"/>
    <w:rsid w:val="00813462"/>
    <w:rsid w:val="00814468"/>
    <w:rsid w:val="0082340E"/>
    <w:rsid w:val="00825915"/>
    <w:rsid w:val="008362C0"/>
    <w:rsid w:val="00836DC7"/>
    <w:rsid w:val="00837DEA"/>
    <w:rsid w:val="0084030D"/>
    <w:rsid w:val="00844EAF"/>
    <w:rsid w:val="008461D5"/>
    <w:rsid w:val="008554F8"/>
    <w:rsid w:val="0086271D"/>
    <w:rsid w:val="00864A6F"/>
    <w:rsid w:val="008656D4"/>
    <w:rsid w:val="008719CF"/>
    <w:rsid w:val="00876338"/>
    <w:rsid w:val="00876C42"/>
    <w:rsid w:val="008822AB"/>
    <w:rsid w:val="00887AFB"/>
    <w:rsid w:val="00890776"/>
    <w:rsid w:val="008909AF"/>
    <w:rsid w:val="008A29E5"/>
    <w:rsid w:val="008A2A9A"/>
    <w:rsid w:val="008A4DAC"/>
    <w:rsid w:val="008A618D"/>
    <w:rsid w:val="008B68F7"/>
    <w:rsid w:val="008D1880"/>
    <w:rsid w:val="008F0B0F"/>
    <w:rsid w:val="008F6E48"/>
    <w:rsid w:val="0090373E"/>
    <w:rsid w:val="00910FBE"/>
    <w:rsid w:val="00914E55"/>
    <w:rsid w:val="009204FB"/>
    <w:rsid w:val="0093120B"/>
    <w:rsid w:val="00935273"/>
    <w:rsid w:val="00944FA3"/>
    <w:rsid w:val="009463CC"/>
    <w:rsid w:val="00951537"/>
    <w:rsid w:val="009535A2"/>
    <w:rsid w:val="0096155B"/>
    <w:rsid w:val="009650E2"/>
    <w:rsid w:val="009747AF"/>
    <w:rsid w:val="00987544"/>
    <w:rsid w:val="00996D6E"/>
    <w:rsid w:val="009A29BC"/>
    <w:rsid w:val="009A3904"/>
    <w:rsid w:val="009A3EEC"/>
    <w:rsid w:val="009A6EC2"/>
    <w:rsid w:val="009B0252"/>
    <w:rsid w:val="009B506F"/>
    <w:rsid w:val="009B5C0F"/>
    <w:rsid w:val="009B6902"/>
    <w:rsid w:val="009B6DDE"/>
    <w:rsid w:val="009C7496"/>
    <w:rsid w:val="009D0361"/>
    <w:rsid w:val="009E3D55"/>
    <w:rsid w:val="009E5B2A"/>
    <w:rsid w:val="009E7A87"/>
    <w:rsid w:val="009F08D9"/>
    <w:rsid w:val="009F536F"/>
    <w:rsid w:val="00A00F28"/>
    <w:rsid w:val="00A05231"/>
    <w:rsid w:val="00A058BE"/>
    <w:rsid w:val="00A134E9"/>
    <w:rsid w:val="00A251B7"/>
    <w:rsid w:val="00A274CE"/>
    <w:rsid w:val="00A36DCE"/>
    <w:rsid w:val="00A42809"/>
    <w:rsid w:val="00A42ACC"/>
    <w:rsid w:val="00A43CEC"/>
    <w:rsid w:val="00A44B4D"/>
    <w:rsid w:val="00A558DE"/>
    <w:rsid w:val="00A6197A"/>
    <w:rsid w:val="00A667E5"/>
    <w:rsid w:val="00A72299"/>
    <w:rsid w:val="00A7645B"/>
    <w:rsid w:val="00A76C7F"/>
    <w:rsid w:val="00A81A24"/>
    <w:rsid w:val="00AA1D28"/>
    <w:rsid w:val="00AA2ECD"/>
    <w:rsid w:val="00AA3DE6"/>
    <w:rsid w:val="00AA3FD2"/>
    <w:rsid w:val="00AA53AE"/>
    <w:rsid w:val="00AA6DFA"/>
    <w:rsid w:val="00AA7BD8"/>
    <w:rsid w:val="00AB2DA1"/>
    <w:rsid w:val="00AB308A"/>
    <w:rsid w:val="00AB5325"/>
    <w:rsid w:val="00AC022B"/>
    <w:rsid w:val="00AC12BF"/>
    <w:rsid w:val="00AC41A9"/>
    <w:rsid w:val="00AD214E"/>
    <w:rsid w:val="00AD253A"/>
    <w:rsid w:val="00AD3BE4"/>
    <w:rsid w:val="00AD596D"/>
    <w:rsid w:val="00AD6D5C"/>
    <w:rsid w:val="00AD73DE"/>
    <w:rsid w:val="00AE461B"/>
    <w:rsid w:val="00AF6C81"/>
    <w:rsid w:val="00B048AE"/>
    <w:rsid w:val="00B2173E"/>
    <w:rsid w:val="00B242E6"/>
    <w:rsid w:val="00B255AC"/>
    <w:rsid w:val="00B274E4"/>
    <w:rsid w:val="00B311EF"/>
    <w:rsid w:val="00B40888"/>
    <w:rsid w:val="00B4122F"/>
    <w:rsid w:val="00B46BED"/>
    <w:rsid w:val="00B574A4"/>
    <w:rsid w:val="00B66A60"/>
    <w:rsid w:val="00B76B39"/>
    <w:rsid w:val="00B77990"/>
    <w:rsid w:val="00B82711"/>
    <w:rsid w:val="00B87DFC"/>
    <w:rsid w:val="00B9004E"/>
    <w:rsid w:val="00B906E1"/>
    <w:rsid w:val="00B932F3"/>
    <w:rsid w:val="00B934BC"/>
    <w:rsid w:val="00BA0039"/>
    <w:rsid w:val="00BB05B6"/>
    <w:rsid w:val="00BB20D8"/>
    <w:rsid w:val="00BB212B"/>
    <w:rsid w:val="00BB583C"/>
    <w:rsid w:val="00BB6D6E"/>
    <w:rsid w:val="00BC37D0"/>
    <w:rsid w:val="00BC45D7"/>
    <w:rsid w:val="00BC6E4B"/>
    <w:rsid w:val="00BC7EB6"/>
    <w:rsid w:val="00BD7587"/>
    <w:rsid w:val="00BF59F2"/>
    <w:rsid w:val="00BF5B0B"/>
    <w:rsid w:val="00C03D9D"/>
    <w:rsid w:val="00C051ED"/>
    <w:rsid w:val="00C06151"/>
    <w:rsid w:val="00C11F1D"/>
    <w:rsid w:val="00C14179"/>
    <w:rsid w:val="00C149BF"/>
    <w:rsid w:val="00C20481"/>
    <w:rsid w:val="00C233CE"/>
    <w:rsid w:val="00C25335"/>
    <w:rsid w:val="00C266B9"/>
    <w:rsid w:val="00C37A12"/>
    <w:rsid w:val="00C47486"/>
    <w:rsid w:val="00C515BC"/>
    <w:rsid w:val="00C5307E"/>
    <w:rsid w:val="00C54DD6"/>
    <w:rsid w:val="00C56A29"/>
    <w:rsid w:val="00C6079B"/>
    <w:rsid w:val="00C672D2"/>
    <w:rsid w:val="00C705E2"/>
    <w:rsid w:val="00C71C8D"/>
    <w:rsid w:val="00C7785A"/>
    <w:rsid w:val="00C80BAD"/>
    <w:rsid w:val="00C93B36"/>
    <w:rsid w:val="00C95D24"/>
    <w:rsid w:val="00CA0E49"/>
    <w:rsid w:val="00CA53E1"/>
    <w:rsid w:val="00CA7294"/>
    <w:rsid w:val="00CB3D5E"/>
    <w:rsid w:val="00CB4DCD"/>
    <w:rsid w:val="00CB636D"/>
    <w:rsid w:val="00CC1849"/>
    <w:rsid w:val="00CC2F11"/>
    <w:rsid w:val="00CC3A35"/>
    <w:rsid w:val="00CC423D"/>
    <w:rsid w:val="00CD5214"/>
    <w:rsid w:val="00CD6F52"/>
    <w:rsid w:val="00CE2581"/>
    <w:rsid w:val="00CE7600"/>
    <w:rsid w:val="00D1642C"/>
    <w:rsid w:val="00D2613E"/>
    <w:rsid w:val="00D26C53"/>
    <w:rsid w:val="00D26E14"/>
    <w:rsid w:val="00D3096C"/>
    <w:rsid w:val="00D32DBF"/>
    <w:rsid w:val="00D348EA"/>
    <w:rsid w:val="00D40E9D"/>
    <w:rsid w:val="00D42100"/>
    <w:rsid w:val="00D54A94"/>
    <w:rsid w:val="00D54FCF"/>
    <w:rsid w:val="00D612A9"/>
    <w:rsid w:val="00D73E02"/>
    <w:rsid w:val="00D73F7D"/>
    <w:rsid w:val="00D74E79"/>
    <w:rsid w:val="00D8113E"/>
    <w:rsid w:val="00D84754"/>
    <w:rsid w:val="00D85F35"/>
    <w:rsid w:val="00D91CAD"/>
    <w:rsid w:val="00DA134B"/>
    <w:rsid w:val="00DA2D58"/>
    <w:rsid w:val="00DA79D1"/>
    <w:rsid w:val="00DB2ADC"/>
    <w:rsid w:val="00DB521B"/>
    <w:rsid w:val="00DD156F"/>
    <w:rsid w:val="00DD21DB"/>
    <w:rsid w:val="00DE254C"/>
    <w:rsid w:val="00DF454E"/>
    <w:rsid w:val="00DF5A02"/>
    <w:rsid w:val="00E04113"/>
    <w:rsid w:val="00E041C3"/>
    <w:rsid w:val="00E048E8"/>
    <w:rsid w:val="00E160F7"/>
    <w:rsid w:val="00E20797"/>
    <w:rsid w:val="00E22826"/>
    <w:rsid w:val="00E228E6"/>
    <w:rsid w:val="00E34DC0"/>
    <w:rsid w:val="00E37B59"/>
    <w:rsid w:val="00E427DD"/>
    <w:rsid w:val="00E4320E"/>
    <w:rsid w:val="00E4321C"/>
    <w:rsid w:val="00E449A7"/>
    <w:rsid w:val="00E46C4B"/>
    <w:rsid w:val="00E51164"/>
    <w:rsid w:val="00E51F53"/>
    <w:rsid w:val="00E55358"/>
    <w:rsid w:val="00E57492"/>
    <w:rsid w:val="00E602BE"/>
    <w:rsid w:val="00E61B30"/>
    <w:rsid w:val="00E67B38"/>
    <w:rsid w:val="00E777F9"/>
    <w:rsid w:val="00E81226"/>
    <w:rsid w:val="00E82DCF"/>
    <w:rsid w:val="00E83F0F"/>
    <w:rsid w:val="00E917E4"/>
    <w:rsid w:val="00E95F7F"/>
    <w:rsid w:val="00EA177C"/>
    <w:rsid w:val="00EB723A"/>
    <w:rsid w:val="00EC00BE"/>
    <w:rsid w:val="00EC1253"/>
    <w:rsid w:val="00EC42B2"/>
    <w:rsid w:val="00EC569D"/>
    <w:rsid w:val="00ED1F81"/>
    <w:rsid w:val="00ED379F"/>
    <w:rsid w:val="00ED3C97"/>
    <w:rsid w:val="00ED5703"/>
    <w:rsid w:val="00ED7C2E"/>
    <w:rsid w:val="00EE244A"/>
    <w:rsid w:val="00EE28C6"/>
    <w:rsid w:val="00EE684D"/>
    <w:rsid w:val="00EF1D4A"/>
    <w:rsid w:val="00EF1FA9"/>
    <w:rsid w:val="00F01138"/>
    <w:rsid w:val="00F117A5"/>
    <w:rsid w:val="00F14EA6"/>
    <w:rsid w:val="00F1584C"/>
    <w:rsid w:val="00F24ACB"/>
    <w:rsid w:val="00F2542E"/>
    <w:rsid w:val="00F270BD"/>
    <w:rsid w:val="00F27FC0"/>
    <w:rsid w:val="00F35308"/>
    <w:rsid w:val="00F36FD9"/>
    <w:rsid w:val="00F5219F"/>
    <w:rsid w:val="00F65ACD"/>
    <w:rsid w:val="00F76F9A"/>
    <w:rsid w:val="00F80EB6"/>
    <w:rsid w:val="00F81C2A"/>
    <w:rsid w:val="00F8405D"/>
    <w:rsid w:val="00F92352"/>
    <w:rsid w:val="00F95D73"/>
    <w:rsid w:val="00F967A8"/>
    <w:rsid w:val="00FC36AB"/>
    <w:rsid w:val="00FC4671"/>
    <w:rsid w:val="00FD2D41"/>
    <w:rsid w:val="00FE14F7"/>
    <w:rsid w:val="00FE2104"/>
    <w:rsid w:val="00FF2845"/>
    <w:rsid w:val="00FF42FB"/>
    <w:rsid w:val="00FF4B3C"/>
    <w:rsid w:val="018370A5"/>
    <w:rsid w:val="01A967AF"/>
    <w:rsid w:val="03126EC1"/>
    <w:rsid w:val="03453D8E"/>
    <w:rsid w:val="038C1168"/>
    <w:rsid w:val="04BA1F10"/>
    <w:rsid w:val="056C2322"/>
    <w:rsid w:val="062279E7"/>
    <w:rsid w:val="064E0723"/>
    <w:rsid w:val="06CD3BCA"/>
    <w:rsid w:val="07EB67A1"/>
    <w:rsid w:val="088D0BB9"/>
    <w:rsid w:val="098E77E1"/>
    <w:rsid w:val="09D033F7"/>
    <w:rsid w:val="0A801B86"/>
    <w:rsid w:val="0AB37266"/>
    <w:rsid w:val="0AE51120"/>
    <w:rsid w:val="0B171F47"/>
    <w:rsid w:val="0BAD7711"/>
    <w:rsid w:val="0C966FBE"/>
    <w:rsid w:val="0D2D24DA"/>
    <w:rsid w:val="0DC972B1"/>
    <w:rsid w:val="0E6761B9"/>
    <w:rsid w:val="0EF8029E"/>
    <w:rsid w:val="0F3B088E"/>
    <w:rsid w:val="0F4E10A7"/>
    <w:rsid w:val="0F596ED2"/>
    <w:rsid w:val="1001138B"/>
    <w:rsid w:val="10AE0353"/>
    <w:rsid w:val="11385DD4"/>
    <w:rsid w:val="11840E93"/>
    <w:rsid w:val="11A2567C"/>
    <w:rsid w:val="123B58F9"/>
    <w:rsid w:val="126D62A5"/>
    <w:rsid w:val="12D9735A"/>
    <w:rsid w:val="143F62F6"/>
    <w:rsid w:val="149F719C"/>
    <w:rsid w:val="14AA14D4"/>
    <w:rsid w:val="15696373"/>
    <w:rsid w:val="15F864B9"/>
    <w:rsid w:val="15F95F09"/>
    <w:rsid w:val="16240549"/>
    <w:rsid w:val="163356BD"/>
    <w:rsid w:val="16892BD1"/>
    <w:rsid w:val="16D07D21"/>
    <w:rsid w:val="18445EF6"/>
    <w:rsid w:val="185E217B"/>
    <w:rsid w:val="1AC13F4A"/>
    <w:rsid w:val="1BE6588C"/>
    <w:rsid w:val="1C9705AD"/>
    <w:rsid w:val="1DDD0162"/>
    <w:rsid w:val="1DDE004C"/>
    <w:rsid w:val="1E7E1846"/>
    <w:rsid w:val="1F28078E"/>
    <w:rsid w:val="21136A41"/>
    <w:rsid w:val="211902FC"/>
    <w:rsid w:val="212548AD"/>
    <w:rsid w:val="21EC1E8C"/>
    <w:rsid w:val="23265177"/>
    <w:rsid w:val="23362DE5"/>
    <w:rsid w:val="23F72DDF"/>
    <w:rsid w:val="24076DC4"/>
    <w:rsid w:val="2549099E"/>
    <w:rsid w:val="254D027F"/>
    <w:rsid w:val="25B43E05"/>
    <w:rsid w:val="27397FE9"/>
    <w:rsid w:val="27D17BCC"/>
    <w:rsid w:val="29E23656"/>
    <w:rsid w:val="29F71F5A"/>
    <w:rsid w:val="2A047A82"/>
    <w:rsid w:val="2AE668AD"/>
    <w:rsid w:val="2B104335"/>
    <w:rsid w:val="2B5C209C"/>
    <w:rsid w:val="2B6B4505"/>
    <w:rsid w:val="2C08316E"/>
    <w:rsid w:val="2D273A7B"/>
    <w:rsid w:val="2DA52BA3"/>
    <w:rsid w:val="2F0A3E88"/>
    <w:rsid w:val="2F780ABA"/>
    <w:rsid w:val="30FB2C7F"/>
    <w:rsid w:val="31125F8E"/>
    <w:rsid w:val="31216EAC"/>
    <w:rsid w:val="319134C7"/>
    <w:rsid w:val="31B171C6"/>
    <w:rsid w:val="32267DE8"/>
    <w:rsid w:val="32D86604"/>
    <w:rsid w:val="32ED3E13"/>
    <w:rsid w:val="33427C7A"/>
    <w:rsid w:val="33741648"/>
    <w:rsid w:val="34BD0964"/>
    <w:rsid w:val="34F46E93"/>
    <w:rsid w:val="352D6FAB"/>
    <w:rsid w:val="35CC3847"/>
    <w:rsid w:val="369304CA"/>
    <w:rsid w:val="36AD5B3F"/>
    <w:rsid w:val="370630C1"/>
    <w:rsid w:val="371E3962"/>
    <w:rsid w:val="37244F1A"/>
    <w:rsid w:val="37B57A4D"/>
    <w:rsid w:val="385A7BB7"/>
    <w:rsid w:val="395057FB"/>
    <w:rsid w:val="39562773"/>
    <w:rsid w:val="39E45643"/>
    <w:rsid w:val="3BC73111"/>
    <w:rsid w:val="3C4C613C"/>
    <w:rsid w:val="3C7F00F8"/>
    <w:rsid w:val="3CF809EB"/>
    <w:rsid w:val="3E032505"/>
    <w:rsid w:val="3EC94F13"/>
    <w:rsid w:val="3F3C7550"/>
    <w:rsid w:val="3F4B4303"/>
    <w:rsid w:val="3FDA42AE"/>
    <w:rsid w:val="3FFF033E"/>
    <w:rsid w:val="40D8246D"/>
    <w:rsid w:val="414430F9"/>
    <w:rsid w:val="419326E4"/>
    <w:rsid w:val="41B346F9"/>
    <w:rsid w:val="41DD7827"/>
    <w:rsid w:val="434C33CE"/>
    <w:rsid w:val="43762879"/>
    <w:rsid w:val="44304F75"/>
    <w:rsid w:val="46080217"/>
    <w:rsid w:val="461817D8"/>
    <w:rsid w:val="466B5CBC"/>
    <w:rsid w:val="469E43E1"/>
    <w:rsid w:val="46DC5DFB"/>
    <w:rsid w:val="47047D72"/>
    <w:rsid w:val="47984AFA"/>
    <w:rsid w:val="47B946A3"/>
    <w:rsid w:val="47C8173C"/>
    <w:rsid w:val="487774AA"/>
    <w:rsid w:val="489005E5"/>
    <w:rsid w:val="48B94682"/>
    <w:rsid w:val="48E466A5"/>
    <w:rsid w:val="49621948"/>
    <w:rsid w:val="4B08762C"/>
    <w:rsid w:val="4C133FE8"/>
    <w:rsid w:val="4C381339"/>
    <w:rsid w:val="4C5B42A2"/>
    <w:rsid w:val="4C7F0211"/>
    <w:rsid w:val="4FEF2E0F"/>
    <w:rsid w:val="510136A3"/>
    <w:rsid w:val="5133595A"/>
    <w:rsid w:val="53A83092"/>
    <w:rsid w:val="53BA19A8"/>
    <w:rsid w:val="548C307D"/>
    <w:rsid w:val="55547C08"/>
    <w:rsid w:val="55D75A96"/>
    <w:rsid w:val="57A24662"/>
    <w:rsid w:val="57B21943"/>
    <w:rsid w:val="5883006B"/>
    <w:rsid w:val="58832967"/>
    <w:rsid w:val="58E0007A"/>
    <w:rsid w:val="59C77953"/>
    <w:rsid w:val="5A5A0829"/>
    <w:rsid w:val="5A7D452D"/>
    <w:rsid w:val="5AAC5C94"/>
    <w:rsid w:val="5B4000FF"/>
    <w:rsid w:val="5B621FA0"/>
    <w:rsid w:val="5C3227E0"/>
    <w:rsid w:val="5C413B49"/>
    <w:rsid w:val="5C571797"/>
    <w:rsid w:val="5C766004"/>
    <w:rsid w:val="5CA26BBD"/>
    <w:rsid w:val="5E560E07"/>
    <w:rsid w:val="5E9E0236"/>
    <w:rsid w:val="5EED54E7"/>
    <w:rsid w:val="601109F2"/>
    <w:rsid w:val="60955B94"/>
    <w:rsid w:val="611C0025"/>
    <w:rsid w:val="613F4353"/>
    <w:rsid w:val="614B65E7"/>
    <w:rsid w:val="61675102"/>
    <w:rsid w:val="628B522D"/>
    <w:rsid w:val="6299295E"/>
    <w:rsid w:val="63833AFA"/>
    <w:rsid w:val="639D7DDE"/>
    <w:rsid w:val="63AE085A"/>
    <w:rsid w:val="641A3DD4"/>
    <w:rsid w:val="64AD1F50"/>
    <w:rsid w:val="65683A20"/>
    <w:rsid w:val="66A27B46"/>
    <w:rsid w:val="67586F0E"/>
    <w:rsid w:val="676A7932"/>
    <w:rsid w:val="685D0847"/>
    <w:rsid w:val="68B5350F"/>
    <w:rsid w:val="691B24AE"/>
    <w:rsid w:val="697E64DB"/>
    <w:rsid w:val="69A33F4A"/>
    <w:rsid w:val="69B63F57"/>
    <w:rsid w:val="6BC30073"/>
    <w:rsid w:val="6BEF3EBF"/>
    <w:rsid w:val="6C1C01CB"/>
    <w:rsid w:val="6CE31254"/>
    <w:rsid w:val="6CF27A15"/>
    <w:rsid w:val="6D9A0C63"/>
    <w:rsid w:val="6FEF3072"/>
    <w:rsid w:val="71063B92"/>
    <w:rsid w:val="713B1FDB"/>
    <w:rsid w:val="71C7782D"/>
    <w:rsid w:val="71E27DB2"/>
    <w:rsid w:val="73135945"/>
    <w:rsid w:val="734269F8"/>
    <w:rsid w:val="735C0031"/>
    <w:rsid w:val="744F754B"/>
    <w:rsid w:val="74665964"/>
    <w:rsid w:val="74B04B5B"/>
    <w:rsid w:val="769D204A"/>
    <w:rsid w:val="77626207"/>
    <w:rsid w:val="778E6104"/>
    <w:rsid w:val="77C664C3"/>
    <w:rsid w:val="77F54F72"/>
    <w:rsid w:val="78862C04"/>
    <w:rsid w:val="78C2322C"/>
    <w:rsid w:val="79555989"/>
    <w:rsid w:val="7A6F3B8A"/>
    <w:rsid w:val="7B495D08"/>
    <w:rsid w:val="7B587545"/>
    <w:rsid w:val="7B6A560A"/>
    <w:rsid w:val="7BE00CBD"/>
    <w:rsid w:val="7C0A53F5"/>
    <w:rsid w:val="7C2E0F82"/>
    <w:rsid w:val="7CC737C3"/>
    <w:rsid w:val="7E560A1D"/>
    <w:rsid w:val="7E664321"/>
    <w:rsid w:val="7E74636F"/>
    <w:rsid w:val="7E990045"/>
    <w:rsid w:val="7EC535E2"/>
    <w:rsid w:val="7F373288"/>
    <w:rsid w:val="7FB027DD"/>
    <w:rsid w:val="7FCD756C"/>
    <w:rsid w:val="7FE226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4">
    <w:name w:val="heading 1"/>
    <w:basedOn w:val="1"/>
    <w:next w:val="1"/>
    <w:link w:val="30"/>
    <w:qFormat/>
    <w:uiPriority w:val="99"/>
    <w:pPr>
      <w:numPr>
        <w:ilvl w:val="0"/>
        <w:numId w:val="1"/>
      </w:numPr>
      <w:spacing w:before="120" w:after="60"/>
      <w:jc w:val="left"/>
      <w:outlineLvl w:val="0"/>
    </w:pPr>
    <w:rPr>
      <w:rFonts w:eastAsia="黑体" w:cs="Times New Roman"/>
      <w:kern w:val="44"/>
      <w:sz w:val="32"/>
      <w:szCs w:val="32"/>
    </w:rPr>
  </w:style>
  <w:style w:type="paragraph" w:styleId="5">
    <w:name w:val="heading 2"/>
    <w:basedOn w:val="6"/>
    <w:next w:val="6"/>
    <w:link w:val="31"/>
    <w:qFormat/>
    <w:uiPriority w:val="99"/>
    <w:pPr>
      <w:keepNext/>
      <w:keepLines/>
      <w:numPr>
        <w:ilvl w:val="1"/>
        <w:numId w:val="1"/>
      </w:numPr>
      <w:spacing w:before="120" w:after="60"/>
      <w:ind w:left="0" w:firstLine="200"/>
      <w:outlineLvl w:val="1"/>
    </w:pPr>
    <w:rPr>
      <w:b/>
      <w:bCs/>
      <w:sz w:val="32"/>
      <w:szCs w:val="32"/>
    </w:rPr>
  </w:style>
  <w:style w:type="paragraph" w:styleId="7">
    <w:name w:val="heading 3"/>
    <w:basedOn w:val="1"/>
    <w:next w:val="1"/>
    <w:link w:val="32"/>
    <w:qFormat/>
    <w:uiPriority w:val="99"/>
    <w:pPr>
      <w:keepNext/>
      <w:keepLines/>
      <w:numPr>
        <w:ilvl w:val="2"/>
        <w:numId w:val="1"/>
      </w:numPr>
      <w:spacing w:before="120" w:after="60"/>
      <w:ind w:left="0" w:firstLine="200"/>
      <w:outlineLvl w:val="2"/>
    </w:pPr>
    <w:rPr>
      <w:rFonts w:ascii="Times New Roman" w:hAnsi="Times New Roman" w:eastAsia="仿宋_GB2312" w:cs="Times New Roman"/>
      <w:b/>
      <w:bCs/>
      <w:kern w:val="0"/>
      <w:sz w:val="32"/>
      <w:szCs w:val="32"/>
      <w:lang w:val="zh-CN"/>
    </w:rPr>
  </w:style>
  <w:style w:type="paragraph" w:styleId="8">
    <w:name w:val="heading 4"/>
    <w:basedOn w:val="6"/>
    <w:next w:val="1"/>
    <w:link w:val="33"/>
    <w:qFormat/>
    <w:uiPriority w:val="99"/>
    <w:pPr>
      <w:keepNext/>
      <w:keepLines/>
      <w:numPr>
        <w:ilvl w:val="3"/>
        <w:numId w:val="1"/>
      </w:numPr>
      <w:spacing w:before="120" w:after="60"/>
      <w:ind w:left="0" w:firstLine="200"/>
      <w:outlineLvl w:val="3"/>
    </w:pPr>
    <w:rPr>
      <w:b/>
      <w:bCs/>
    </w:rPr>
  </w:style>
  <w:style w:type="paragraph" w:styleId="9">
    <w:name w:val="heading 5"/>
    <w:basedOn w:val="6"/>
    <w:next w:val="6"/>
    <w:link w:val="34"/>
    <w:qFormat/>
    <w:uiPriority w:val="99"/>
    <w:pPr>
      <w:keepNext/>
      <w:keepLines/>
      <w:numPr>
        <w:ilvl w:val="4"/>
        <w:numId w:val="1"/>
      </w:numPr>
      <w:spacing w:before="120" w:after="60"/>
      <w:ind w:firstLine="0" w:firstLineChars="0"/>
      <w:outlineLvl w:val="4"/>
    </w:pPr>
    <w:rPr>
      <w:b/>
      <w:bCs/>
    </w:rPr>
  </w:style>
  <w:style w:type="character" w:default="1" w:styleId="24">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6"/>
    <w:uiPriority w:val="99"/>
    <w:pPr>
      <w:spacing w:after="120" w:line="276" w:lineRule="auto"/>
      <w:ind w:left="420" w:leftChars="200" w:firstLine="420" w:firstLineChars="200"/>
    </w:pPr>
  </w:style>
  <w:style w:type="paragraph" w:styleId="3">
    <w:name w:val="Body Text Indent"/>
    <w:basedOn w:val="1"/>
    <w:next w:val="1"/>
    <w:link w:val="35"/>
    <w:qFormat/>
    <w:uiPriority w:val="99"/>
    <w:pPr>
      <w:widowControl/>
      <w:spacing w:before="100" w:beforeAutospacing="1" w:after="100" w:afterAutospacing="1"/>
      <w:jc w:val="left"/>
    </w:pPr>
    <w:rPr>
      <w:rFonts w:cs="Times New Roman"/>
      <w:kern w:val="0"/>
      <w:sz w:val="20"/>
    </w:rPr>
  </w:style>
  <w:style w:type="paragraph" w:customStyle="1" w:styleId="6">
    <w:name w:val="闻政正文"/>
    <w:basedOn w:val="1"/>
    <w:link w:val="44"/>
    <w:qFormat/>
    <w:uiPriority w:val="99"/>
    <w:pPr>
      <w:spacing w:line="500" w:lineRule="exact"/>
      <w:ind w:firstLine="200" w:firstLineChars="200"/>
    </w:pPr>
    <w:rPr>
      <w:rFonts w:ascii="Times New Roman" w:hAnsi="Times New Roman" w:eastAsia="仿宋_GB2312" w:cs="Times New Roman"/>
      <w:kern w:val="0"/>
      <w:sz w:val="28"/>
      <w:szCs w:val="20"/>
      <w:lang w:val="zh-CN"/>
    </w:rPr>
  </w:style>
  <w:style w:type="paragraph" w:styleId="10">
    <w:name w:val="caption"/>
    <w:basedOn w:val="1"/>
    <w:next w:val="1"/>
    <w:qFormat/>
    <w:uiPriority w:val="99"/>
    <w:rPr>
      <w:rFonts w:ascii="等线 Light" w:hAnsi="等线 Light" w:eastAsia="黑体" w:cs="等线 Light"/>
      <w:sz w:val="20"/>
      <w:szCs w:val="20"/>
    </w:rPr>
  </w:style>
  <w:style w:type="paragraph" w:styleId="11">
    <w:name w:val="annotation text"/>
    <w:basedOn w:val="1"/>
    <w:link w:val="37"/>
    <w:semiHidden/>
    <w:qFormat/>
    <w:uiPriority w:val="99"/>
    <w:pPr>
      <w:jc w:val="left"/>
    </w:pPr>
  </w:style>
  <w:style w:type="paragraph" w:styleId="12">
    <w:name w:val="Body Text"/>
    <w:basedOn w:val="1"/>
    <w:link w:val="38"/>
    <w:qFormat/>
    <w:uiPriority w:val="99"/>
    <w:pPr>
      <w:tabs>
        <w:tab w:val="left" w:pos="0"/>
      </w:tabs>
    </w:pPr>
    <w:rPr>
      <w:rFonts w:ascii="宋体" w:hAnsi="宋体" w:eastAsia="仿宋_GB2312" w:cs="Times New Roman"/>
      <w:color w:val="000000"/>
    </w:rPr>
  </w:style>
  <w:style w:type="paragraph" w:styleId="13">
    <w:name w:val="toc 3"/>
    <w:basedOn w:val="1"/>
    <w:next w:val="1"/>
    <w:semiHidden/>
    <w:qFormat/>
    <w:uiPriority w:val="99"/>
    <w:pPr>
      <w:ind w:left="840" w:leftChars="400"/>
    </w:pPr>
  </w:style>
  <w:style w:type="paragraph" w:styleId="14">
    <w:name w:val="Balloon Text"/>
    <w:basedOn w:val="1"/>
    <w:link w:val="39"/>
    <w:semiHidden/>
    <w:qFormat/>
    <w:uiPriority w:val="99"/>
    <w:rPr>
      <w:rFonts w:ascii="Times New Roman" w:hAnsi="Times New Roman" w:eastAsia="宋体" w:cs="Times New Roman"/>
      <w:kern w:val="0"/>
      <w:sz w:val="18"/>
      <w:szCs w:val="18"/>
    </w:rPr>
  </w:style>
  <w:style w:type="paragraph" w:styleId="15">
    <w:name w:val="footer"/>
    <w:basedOn w:val="1"/>
    <w:link w:val="40"/>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16">
    <w:name w:val="header"/>
    <w:basedOn w:val="1"/>
    <w:link w:val="4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7">
    <w:name w:val="toc 1"/>
    <w:basedOn w:val="6"/>
    <w:next w:val="6"/>
    <w:semiHidden/>
    <w:qFormat/>
    <w:uiPriority w:val="99"/>
    <w:pPr>
      <w:tabs>
        <w:tab w:val="right" w:leader="dot" w:pos="8296"/>
      </w:tabs>
      <w:spacing w:line="460" w:lineRule="exact"/>
      <w:ind w:firstLine="0" w:firstLineChars="0"/>
    </w:pPr>
    <w:rPr>
      <w:b/>
      <w:bCs/>
    </w:rPr>
  </w:style>
  <w:style w:type="paragraph" w:styleId="18">
    <w:name w:val="footnote text"/>
    <w:basedOn w:val="1"/>
    <w:link w:val="42"/>
    <w:semiHidden/>
    <w:qFormat/>
    <w:uiPriority w:val="99"/>
    <w:pPr>
      <w:snapToGrid w:val="0"/>
      <w:jc w:val="left"/>
    </w:pPr>
    <w:rPr>
      <w:rFonts w:ascii="Times New Roman" w:hAnsi="Times New Roman" w:eastAsia="仿宋_GB2312" w:cs="Times New Roman"/>
      <w:kern w:val="0"/>
      <w:sz w:val="18"/>
      <w:szCs w:val="18"/>
    </w:rPr>
  </w:style>
  <w:style w:type="paragraph" w:styleId="19">
    <w:name w:val="toc 2"/>
    <w:basedOn w:val="6"/>
    <w:next w:val="6"/>
    <w:semiHidden/>
    <w:qFormat/>
    <w:uiPriority w:val="99"/>
    <w:pPr>
      <w:tabs>
        <w:tab w:val="right" w:leader="dot" w:pos="8296"/>
      </w:tabs>
      <w:spacing w:line="460" w:lineRule="exact"/>
      <w:ind w:left="200" w:leftChars="200" w:firstLine="0" w:firstLineChars="0"/>
    </w:pPr>
  </w:style>
  <w:style w:type="paragraph" w:styleId="20">
    <w:name w:val="Normal (Web)"/>
    <w:basedOn w:val="1"/>
    <w:qFormat/>
    <w:uiPriority w:val="99"/>
    <w:rPr>
      <w:rFonts w:ascii="Calibri" w:hAnsi="Calibri" w:eastAsia="宋体" w:cs="Calibri"/>
      <w:sz w:val="24"/>
      <w:szCs w:val="24"/>
    </w:rPr>
  </w:style>
  <w:style w:type="paragraph" w:styleId="21">
    <w:name w:val="annotation subject"/>
    <w:basedOn w:val="11"/>
    <w:next w:val="11"/>
    <w:link w:val="43"/>
    <w:semiHidden/>
    <w:qFormat/>
    <w:uiPriority w:val="99"/>
    <w:rPr>
      <w:rFonts w:ascii="Times New Roman" w:hAnsi="Times New Roman" w:eastAsia="宋体" w:cs="Times New Roman"/>
      <w:b/>
      <w:bCs/>
      <w:kern w:val="0"/>
      <w:sz w:val="20"/>
      <w:szCs w:val="20"/>
    </w:rPr>
  </w:style>
  <w:style w:type="table" w:styleId="23">
    <w:name w:val="Table Grid"/>
    <w:basedOn w:val="22"/>
    <w:qFormat/>
    <w:uiPriority w:val="99"/>
    <w:pPr>
      <w:spacing w:line="300" w:lineRule="exact"/>
      <w:jc w:val="center"/>
    </w:pPr>
    <w:rPr>
      <w:rFonts w:eastAsia="仿宋_GB2312"/>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tblHeader/>
    </w:trPr>
  </w:style>
  <w:style w:type="character" w:styleId="25">
    <w:name w:val="Strong"/>
    <w:basedOn w:val="24"/>
    <w:qFormat/>
    <w:uiPriority w:val="99"/>
    <w:rPr>
      <w:rFonts w:cs="Times New Roman"/>
      <w:b/>
    </w:rPr>
  </w:style>
  <w:style w:type="character" w:styleId="26">
    <w:name w:val="page number"/>
    <w:basedOn w:val="24"/>
    <w:qFormat/>
    <w:uiPriority w:val="99"/>
    <w:rPr>
      <w:rFonts w:cs="Times New Roman"/>
    </w:rPr>
  </w:style>
  <w:style w:type="character" w:styleId="27">
    <w:name w:val="Hyperlink"/>
    <w:basedOn w:val="24"/>
    <w:qFormat/>
    <w:uiPriority w:val="99"/>
    <w:rPr>
      <w:rFonts w:cs="Times New Roman"/>
      <w:color w:val="auto"/>
      <w:u w:val="single"/>
    </w:rPr>
  </w:style>
  <w:style w:type="character" w:styleId="28">
    <w:name w:val="annotation reference"/>
    <w:basedOn w:val="24"/>
    <w:semiHidden/>
    <w:qFormat/>
    <w:uiPriority w:val="99"/>
    <w:rPr>
      <w:rFonts w:cs="Times New Roman"/>
      <w:sz w:val="21"/>
    </w:rPr>
  </w:style>
  <w:style w:type="character" w:styleId="29">
    <w:name w:val="footnote reference"/>
    <w:basedOn w:val="24"/>
    <w:semiHidden/>
    <w:qFormat/>
    <w:uiPriority w:val="99"/>
    <w:rPr>
      <w:rFonts w:cs="Times New Roman"/>
      <w:vertAlign w:val="superscript"/>
    </w:rPr>
  </w:style>
  <w:style w:type="character" w:customStyle="1" w:styleId="30">
    <w:name w:val="Heading 1 Char"/>
    <w:basedOn w:val="24"/>
    <w:link w:val="4"/>
    <w:qFormat/>
    <w:locked/>
    <w:uiPriority w:val="99"/>
    <w:rPr>
      <w:rFonts w:ascii="等线" w:hAnsi="等线" w:eastAsia="黑体" w:cs="Times New Roman"/>
      <w:kern w:val="44"/>
      <w:sz w:val="32"/>
    </w:rPr>
  </w:style>
  <w:style w:type="character" w:customStyle="1" w:styleId="31">
    <w:name w:val="Heading 2 Char"/>
    <w:basedOn w:val="24"/>
    <w:link w:val="5"/>
    <w:qFormat/>
    <w:locked/>
    <w:uiPriority w:val="99"/>
    <w:rPr>
      <w:rFonts w:ascii="Times New Roman" w:hAnsi="Times New Roman" w:eastAsia="仿宋_GB2312" w:cs="Times New Roman"/>
      <w:b/>
      <w:kern w:val="0"/>
      <w:sz w:val="32"/>
      <w:lang w:val="zh-CN" w:eastAsia="zh-CN"/>
    </w:rPr>
  </w:style>
  <w:style w:type="character" w:customStyle="1" w:styleId="32">
    <w:name w:val="Heading 3 Char"/>
    <w:basedOn w:val="24"/>
    <w:link w:val="7"/>
    <w:qFormat/>
    <w:locked/>
    <w:uiPriority w:val="99"/>
    <w:rPr>
      <w:rFonts w:ascii="Times New Roman" w:hAnsi="Times New Roman" w:eastAsia="仿宋_GB2312" w:cs="Times New Roman"/>
      <w:b/>
      <w:kern w:val="0"/>
      <w:sz w:val="32"/>
      <w:lang w:val="zh-CN" w:eastAsia="zh-CN"/>
    </w:rPr>
  </w:style>
  <w:style w:type="character" w:customStyle="1" w:styleId="33">
    <w:name w:val="Heading 4 Char"/>
    <w:basedOn w:val="24"/>
    <w:link w:val="8"/>
    <w:qFormat/>
    <w:locked/>
    <w:uiPriority w:val="99"/>
    <w:rPr>
      <w:rFonts w:ascii="Times New Roman" w:hAnsi="Times New Roman" w:eastAsia="仿宋_GB2312" w:cs="Times New Roman"/>
      <w:b/>
      <w:kern w:val="0"/>
      <w:sz w:val="28"/>
      <w:lang w:val="zh-CN" w:eastAsia="zh-CN"/>
    </w:rPr>
  </w:style>
  <w:style w:type="character" w:customStyle="1" w:styleId="34">
    <w:name w:val="Heading 5 Char"/>
    <w:basedOn w:val="24"/>
    <w:link w:val="9"/>
    <w:qFormat/>
    <w:locked/>
    <w:uiPriority w:val="99"/>
    <w:rPr>
      <w:rFonts w:ascii="Times New Roman" w:hAnsi="Times New Roman" w:eastAsia="仿宋_GB2312" w:cs="Times New Roman"/>
      <w:b/>
      <w:kern w:val="0"/>
      <w:sz w:val="28"/>
      <w:lang w:val="zh-CN" w:eastAsia="zh-CN"/>
    </w:rPr>
  </w:style>
  <w:style w:type="character" w:customStyle="1" w:styleId="35">
    <w:name w:val="Body Text Indent Char"/>
    <w:basedOn w:val="24"/>
    <w:link w:val="3"/>
    <w:semiHidden/>
    <w:qFormat/>
    <w:locked/>
    <w:uiPriority w:val="99"/>
    <w:rPr>
      <w:rFonts w:ascii="等线" w:hAnsi="等线" w:eastAsia="等线" w:cs="Times New Roman"/>
      <w:sz w:val="21"/>
    </w:rPr>
  </w:style>
  <w:style w:type="character" w:customStyle="1" w:styleId="36">
    <w:name w:val="Body Text First Indent 2 Char"/>
    <w:basedOn w:val="35"/>
    <w:link w:val="2"/>
    <w:semiHidden/>
    <w:qFormat/>
    <w:locked/>
    <w:uiPriority w:val="99"/>
  </w:style>
  <w:style w:type="character" w:customStyle="1" w:styleId="37">
    <w:name w:val="Comment Text Char"/>
    <w:basedOn w:val="24"/>
    <w:link w:val="11"/>
    <w:qFormat/>
    <w:locked/>
    <w:uiPriority w:val="99"/>
    <w:rPr>
      <w:rFonts w:cs="Times New Roman"/>
    </w:rPr>
  </w:style>
  <w:style w:type="character" w:customStyle="1" w:styleId="38">
    <w:name w:val="Body Text Char"/>
    <w:basedOn w:val="24"/>
    <w:link w:val="12"/>
    <w:qFormat/>
    <w:locked/>
    <w:uiPriority w:val="99"/>
    <w:rPr>
      <w:rFonts w:ascii="宋体" w:hAnsi="宋体" w:eastAsia="仿宋_GB2312" w:cs="Times New Roman"/>
      <w:color w:val="000000"/>
      <w:kern w:val="2"/>
      <w:sz w:val="21"/>
    </w:rPr>
  </w:style>
  <w:style w:type="character" w:customStyle="1" w:styleId="39">
    <w:name w:val="Balloon Text Char"/>
    <w:basedOn w:val="24"/>
    <w:link w:val="14"/>
    <w:semiHidden/>
    <w:qFormat/>
    <w:locked/>
    <w:uiPriority w:val="99"/>
    <w:rPr>
      <w:rFonts w:cs="Times New Roman"/>
      <w:sz w:val="18"/>
    </w:rPr>
  </w:style>
  <w:style w:type="character" w:customStyle="1" w:styleId="40">
    <w:name w:val="Footer Char"/>
    <w:basedOn w:val="24"/>
    <w:link w:val="15"/>
    <w:qFormat/>
    <w:locked/>
    <w:uiPriority w:val="99"/>
    <w:rPr>
      <w:rFonts w:ascii="Calibri" w:hAnsi="Calibri" w:eastAsia="宋体" w:cs="Times New Roman"/>
      <w:sz w:val="18"/>
    </w:rPr>
  </w:style>
  <w:style w:type="character" w:customStyle="1" w:styleId="41">
    <w:name w:val="Header Char"/>
    <w:basedOn w:val="24"/>
    <w:link w:val="16"/>
    <w:qFormat/>
    <w:locked/>
    <w:uiPriority w:val="99"/>
    <w:rPr>
      <w:rFonts w:cs="Times New Roman"/>
      <w:sz w:val="18"/>
    </w:rPr>
  </w:style>
  <w:style w:type="character" w:customStyle="1" w:styleId="42">
    <w:name w:val="Footnote Text Char"/>
    <w:basedOn w:val="24"/>
    <w:link w:val="18"/>
    <w:qFormat/>
    <w:locked/>
    <w:uiPriority w:val="99"/>
    <w:rPr>
      <w:rFonts w:ascii="Times New Roman" w:hAnsi="Times New Roman" w:eastAsia="仿宋_GB2312" w:cs="Times New Roman"/>
      <w:sz w:val="18"/>
    </w:rPr>
  </w:style>
  <w:style w:type="character" w:customStyle="1" w:styleId="43">
    <w:name w:val="Comment Subject Char"/>
    <w:basedOn w:val="37"/>
    <w:link w:val="21"/>
    <w:semiHidden/>
    <w:qFormat/>
    <w:locked/>
    <w:uiPriority w:val="99"/>
    <w:rPr>
      <w:b/>
    </w:rPr>
  </w:style>
  <w:style w:type="character" w:customStyle="1" w:styleId="44">
    <w:name w:val="闻政正文 Char"/>
    <w:link w:val="6"/>
    <w:qFormat/>
    <w:locked/>
    <w:uiPriority w:val="99"/>
    <w:rPr>
      <w:rFonts w:ascii="Times New Roman" w:hAnsi="Times New Roman" w:eastAsia="仿宋_GB2312"/>
      <w:kern w:val="0"/>
      <w:sz w:val="28"/>
      <w:lang w:val="zh-CN" w:eastAsia="zh-CN"/>
    </w:rPr>
  </w:style>
  <w:style w:type="paragraph" w:customStyle="1" w:styleId="45">
    <w:name w:val="TOC 标题1"/>
    <w:basedOn w:val="4"/>
    <w:next w:val="1"/>
    <w:qFormat/>
    <w:uiPriority w:val="99"/>
    <w:pPr>
      <w:widowControl/>
      <w:numPr>
        <w:numId w:val="0"/>
      </w:numPr>
      <w:spacing w:before="240" w:after="0" w:line="259" w:lineRule="auto"/>
      <w:outlineLvl w:val="9"/>
    </w:pPr>
    <w:rPr>
      <w:rFonts w:ascii="等线 Light" w:hAnsi="等线 Light" w:eastAsia="等线 Light" w:cs="等线 Light"/>
      <w:b/>
      <w:bCs/>
      <w:color w:val="2F5496"/>
      <w:kern w:val="0"/>
    </w:rPr>
  </w:style>
  <w:style w:type="paragraph" w:customStyle="1" w:styleId="46">
    <w:name w:val="闻政封面标题"/>
    <w:basedOn w:val="1"/>
    <w:next w:val="47"/>
    <w:qFormat/>
    <w:uiPriority w:val="99"/>
    <w:pPr>
      <w:spacing w:before="480" w:after="360"/>
      <w:jc w:val="center"/>
    </w:pPr>
    <w:rPr>
      <w:rFonts w:ascii="Times New Roman" w:hAnsi="Times New Roman" w:eastAsia="黑体" w:cs="Times New Roman"/>
      <w:b/>
      <w:bCs/>
      <w:sz w:val="32"/>
      <w:szCs w:val="32"/>
    </w:rPr>
  </w:style>
  <w:style w:type="paragraph" w:customStyle="1" w:styleId="47">
    <w:name w:val="闻政封面项目信息"/>
    <w:basedOn w:val="1"/>
    <w:next w:val="48"/>
    <w:qFormat/>
    <w:uiPriority w:val="99"/>
    <w:pPr>
      <w:spacing w:before="120"/>
      <w:ind w:left="800" w:leftChars="800"/>
      <w:jc w:val="left"/>
    </w:pPr>
    <w:rPr>
      <w:rFonts w:ascii="Times New Roman" w:hAnsi="Times New Roman" w:eastAsia="黑体" w:cs="Times New Roman"/>
      <w:kern w:val="0"/>
      <w:sz w:val="28"/>
      <w:szCs w:val="28"/>
      <w:lang w:val="zh-CN"/>
    </w:rPr>
  </w:style>
  <w:style w:type="paragraph" w:customStyle="1" w:styleId="48">
    <w:name w:val="闻政封面完成时间"/>
    <w:basedOn w:val="47"/>
    <w:qFormat/>
    <w:uiPriority w:val="99"/>
    <w:pPr>
      <w:ind w:left="0" w:leftChars="0"/>
      <w:jc w:val="center"/>
    </w:pPr>
    <w:rPr>
      <w:b/>
      <w:bCs/>
    </w:rPr>
  </w:style>
  <w:style w:type="paragraph" w:customStyle="1" w:styleId="49">
    <w:name w:val="闻政页码"/>
    <w:qFormat/>
    <w:uiPriority w:val="99"/>
    <w:pPr>
      <w:jc w:val="center"/>
    </w:pPr>
    <w:rPr>
      <w:rFonts w:ascii="Times New Roman" w:hAnsi="Times New Roman" w:eastAsia="宋体" w:cs="Times New Roman"/>
      <w:kern w:val="0"/>
      <w:sz w:val="21"/>
      <w:szCs w:val="21"/>
      <w:lang w:val="en-US" w:eastAsia="zh-CN" w:bidi="ar-SA"/>
    </w:rPr>
  </w:style>
  <w:style w:type="paragraph" w:customStyle="1" w:styleId="50">
    <w:name w:val="闻政摘要标题"/>
    <w:basedOn w:val="1"/>
    <w:qFormat/>
    <w:uiPriority w:val="99"/>
    <w:pPr>
      <w:spacing w:before="480" w:after="360"/>
      <w:jc w:val="center"/>
      <w:outlineLvl w:val="0"/>
    </w:pPr>
    <w:rPr>
      <w:rFonts w:ascii="Times New Roman" w:hAnsi="Times New Roman" w:eastAsia="黑体" w:cs="Times New Roman"/>
      <w:b/>
      <w:bCs/>
      <w:sz w:val="32"/>
      <w:szCs w:val="32"/>
    </w:rPr>
  </w:style>
  <w:style w:type="paragraph" w:customStyle="1" w:styleId="51">
    <w:name w:val="闻政图（表）注"/>
    <w:basedOn w:val="1"/>
    <w:link w:val="52"/>
    <w:qFormat/>
    <w:uiPriority w:val="99"/>
    <w:pPr>
      <w:spacing w:before="120"/>
    </w:pPr>
    <w:rPr>
      <w:rFonts w:ascii="Times New Roman" w:hAnsi="Times New Roman" w:eastAsia="仿宋_GB2312" w:cs="Times New Roman"/>
      <w:kern w:val="0"/>
      <w:sz w:val="20"/>
      <w:szCs w:val="20"/>
    </w:rPr>
  </w:style>
  <w:style w:type="character" w:customStyle="1" w:styleId="52">
    <w:name w:val="闻政图（表）注 Char"/>
    <w:link w:val="51"/>
    <w:qFormat/>
    <w:locked/>
    <w:uiPriority w:val="99"/>
    <w:rPr>
      <w:rFonts w:ascii="Times New Roman" w:hAnsi="Times New Roman" w:eastAsia="仿宋_GB2312"/>
      <w:kern w:val="0"/>
    </w:rPr>
  </w:style>
  <w:style w:type="paragraph" w:customStyle="1" w:styleId="53">
    <w:name w:val="闻政图表名"/>
    <w:basedOn w:val="1"/>
    <w:link w:val="54"/>
    <w:qFormat/>
    <w:uiPriority w:val="99"/>
    <w:pPr>
      <w:spacing w:before="60" w:after="60"/>
      <w:jc w:val="center"/>
    </w:pPr>
    <w:rPr>
      <w:rFonts w:ascii="Times New Roman" w:hAnsi="Times New Roman" w:eastAsia="仿宋_GB2312" w:cs="Times New Roman"/>
      <w:b/>
      <w:kern w:val="0"/>
      <w:sz w:val="28"/>
      <w:szCs w:val="20"/>
    </w:rPr>
  </w:style>
  <w:style w:type="character" w:customStyle="1" w:styleId="54">
    <w:name w:val="闻政图表名 字符"/>
    <w:link w:val="53"/>
    <w:qFormat/>
    <w:locked/>
    <w:uiPriority w:val="99"/>
    <w:rPr>
      <w:rFonts w:ascii="Times New Roman" w:hAnsi="Times New Roman" w:eastAsia="仿宋_GB2312"/>
      <w:b/>
      <w:kern w:val="0"/>
      <w:sz w:val="28"/>
    </w:rPr>
  </w:style>
  <w:style w:type="paragraph" w:customStyle="1" w:styleId="55">
    <w:name w:val="闻政备注类"/>
    <w:basedOn w:val="6"/>
    <w:qFormat/>
    <w:uiPriority w:val="99"/>
    <w:pPr>
      <w:spacing w:line="240" w:lineRule="auto"/>
      <w:jc w:val="left"/>
    </w:pPr>
    <w:rPr>
      <w:sz w:val="21"/>
      <w:szCs w:val="21"/>
    </w:rPr>
  </w:style>
  <w:style w:type="paragraph" w:customStyle="1" w:styleId="56">
    <w:name w:val="闻政附件标题"/>
    <w:basedOn w:val="6"/>
    <w:qFormat/>
    <w:uiPriority w:val="99"/>
    <w:pPr>
      <w:numPr>
        <w:ilvl w:val="5"/>
        <w:numId w:val="1"/>
      </w:numPr>
      <w:spacing w:before="120" w:after="60" w:line="240" w:lineRule="auto"/>
      <w:ind w:firstLine="0" w:firstLineChars="0"/>
      <w:outlineLvl w:val="0"/>
    </w:pPr>
    <w:rPr>
      <w:rFonts w:eastAsia="黑体"/>
      <w:b/>
      <w:bCs/>
      <w:sz w:val="32"/>
      <w:szCs w:val="32"/>
    </w:rPr>
  </w:style>
  <w:style w:type="paragraph" w:customStyle="1" w:styleId="57">
    <w:name w:val="闻政附件正文"/>
    <w:basedOn w:val="6"/>
    <w:qFormat/>
    <w:uiPriority w:val="99"/>
    <w:rPr>
      <w:sz w:val="24"/>
      <w:szCs w:val="24"/>
    </w:rPr>
  </w:style>
  <w:style w:type="paragraph" w:customStyle="1" w:styleId="58">
    <w:name w:val="闻政附件报告名"/>
    <w:basedOn w:val="6"/>
    <w:qFormat/>
    <w:uiPriority w:val="99"/>
    <w:pPr>
      <w:spacing w:before="120" w:after="60"/>
      <w:ind w:firstLine="0" w:firstLineChars="0"/>
      <w:jc w:val="center"/>
    </w:pPr>
    <w:rPr>
      <w:b/>
      <w:bCs/>
    </w:rPr>
  </w:style>
  <w:style w:type="paragraph" w:customStyle="1" w:styleId="59">
    <w:name w:val="闻政附件一级标题"/>
    <w:basedOn w:val="58"/>
    <w:next w:val="57"/>
    <w:qFormat/>
    <w:uiPriority w:val="99"/>
    <w:pPr>
      <w:ind w:firstLine="200" w:firstLineChars="200"/>
      <w:jc w:val="left"/>
    </w:pPr>
  </w:style>
  <w:style w:type="paragraph" w:customStyle="1" w:styleId="60">
    <w:name w:val="闻政附件二级标题"/>
    <w:basedOn w:val="59"/>
    <w:qFormat/>
    <w:uiPriority w:val="99"/>
    <w:rPr>
      <w:rFonts w:ascii="宋体" w:hAnsi="宋体" w:eastAsia="宋体" w:cs="宋体"/>
    </w:rPr>
  </w:style>
  <w:style w:type="paragraph" w:customStyle="1" w:styleId="61">
    <w:name w:val="闻政附件三级标题"/>
    <w:basedOn w:val="60"/>
    <w:qFormat/>
    <w:uiPriority w:val="99"/>
    <w:rPr>
      <w:rFonts w:ascii="Times New Roman" w:hAnsi="Times New Roman" w:eastAsia="仿宋_GB2312" w:cs="Times New Roman"/>
    </w:rPr>
  </w:style>
  <w:style w:type="paragraph" w:customStyle="1" w:styleId="62">
    <w:name w:val="闻政附件四级标题"/>
    <w:basedOn w:val="61"/>
    <w:qFormat/>
    <w:uiPriority w:val="99"/>
    <w:pPr>
      <w:spacing w:before="0" w:after="0"/>
    </w:pPr>
  </w:style>
  <w:style w:type="paragraph" w:customStyle="1" w:styleId="63">
    <w:name w:val="闻政脚注"/>
    <w:basedOn w:val="6"/>
    <w:qFormat/>
    <w:uiPriority w:val="99"/>
    <w:pPr>
      <w:spacing w:line="400" w:lineRule="exact"/>
      <w:ind w:firstLine="0" w:firstLineChars="0"/>
    </w:pPr>
    <w:rPr>
      <w:sz w:val="18"/>
      <w:szCs w:val="18"/>
    </w:rPr>
  </w:style>
  <w:style w:type="paragraph" w:customStyle="1" w:styleId="64">
    <w:name w:val="闻政目录标题"/>
    <w:basedOn w:val="46"/>
    <w:qFormat/>
    <w:uiPriority w:val="99"/>
  </w:style>
  <w:style w:type="table" w:customStyle="1" w:styleId="65">
    <w:name w:val="网格型浅色1"/>
    <w:qFormat/>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6">
    <w:name w:val="无格式表格 11"/>
    <w:qFormat/>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paragraph" w:customStyle="1" w:styleId="67">
    <w:name w:val="闻政表文字"/>
    <w:basedOn w:val="6"/>
    <w:link w:val="68"/>
    <w:qFormat/>
    <w:uiPriority w:val="99"/>
    <w:pPr>
      <w:widowControl/>
      <w:spacing w:line="320" w:lineRule="exact"/>
      <w:ind w:firstLine="0" w:firstLineChars="0"/>
      <w:jc w:val="center"/>
    </w:pPr>
    <w:rPr>
      <w:color w:val="000000"/>
      <w:sz w:val="22"/>
    </w:rPr>
  </w:style>
  <w:style w:type="character" w:customStyle="1" w:styleId="68">
    <w:name w:val="闻政表文字 字符"/>
    <w:link w:val="67"/>
    <w:qFormat/>
    <w:locked/>
    <w:uiPriority w:val="99"/>
    <w:rPr>
      <w:rFonts w:ascii="Times New Roman" w:hAnsi="Times New Roman" w:eastAsia="仿宋_GB2312"/>
      <w:color w:val="000000"/>
      <w:kern w:val="0"/>
      <w:sz w:val="22"/>
      <w:lang w:val="zh-CN" w:eastAsia="zh-CN"/>
    </w:rPr>
  </w:style>
  <w:style w:type="paragraph" w:customStyle="1" w:styleId="69">
    <w:name w:val="正文-闻政"/>
    <w:link w:val="70"/>
    <w:qFormat/>
    <w:uiPriority w:val="99"/>
    <w:pPr>
      <w:spacing w:line="500" w:lineRule="exact"/>
      <w:ind w:firstLine="200" w:firstLineChars="200"/>
      <w:jc w:val="both"/>
    </w:pPr>
    <w:rPr>
      <w:rFonts w:ascii="Times New Roman" w:hAnsi="Times New Roman" w:eastAsia="仿宋_GB2312" w:cs="Times New Roman"/>
      <w:kern w:val="2"/>
      <w:sz w:val="22"/>
      <w:szCs w:val="22"/>
      <w:lang w:val="en-US" w:eastAsia="zh-CN" w:bidi="ar-SA"/>
    </w:rPr>
  </w:style>
  <w:style w:type="character" w:customStyle="1" w:styleId="70">
    <w:name w:val="正文-闻政 Char"/>
    <w:link w:val="69"/>
    <w:qFormat/>
    <w:locked/>
    <w:uiPriority w:val="99"/>
    <w:rPr>
      <w:rFonts w:eastAsia="仿宋_GB2312"/>
      <w:kern w:val="2"/>
      <w:sz w:val="22"/>
      <w:lang w:val="en-US" w:eastAsia="zh-CN"/>
    </w:rPr>
  </w:style>
  <w:style w:type="paragraph" w:customStyle="1" w:styleId="71">
    <w:name w:val="闻政表"/>
    <w:basedOn w:val="1"/>
    <w:link w:val="72"/>
    <w:qFormat/>
    <w:uiPriority w:val="99"/>
    <w:pPr>
      <w:spacing w:before="60" w:after="60"/>
      <w:jc w:val="center"/>
    </w:pPr>
    <w:rPr>
      <w:rFonts w:ascii="Times New Roman" w:hAnsi="Times New Roman" w:eastAsia="仿宋_GB2312" w:cs="Times New Roman"/>
      <w:b/>
      <w:sz w:val="28"/>
      <w:szCs w:val="20"/>
    </w:rPr>
  </w:style>
  <w:style w:type="character" w:customStyle="1" w:styleId="72">
    <w:name w:val="闻政表 Char"/>
    <w:link w:val="71"/>
    <w:qFormat/>
    <w:locked/>
    <w:uiPriority w:val="99"/>
    <w:rPr>
      <w:rFonts w:eastAsia="仿宋_GB2312"/>
      <w:b/>
      <w:kern w:val="2"/>
      <w:sz w:val="28"/>
    </w:rPr>
  </w:style>
  <w:style w:type="paragraph" w:styleId="73">
    <w:name w:val="List Paragraph"/>
    <w:basedOn w:val="1"/>
    <w:qFormat/>
    <w:uiPriority w:val="99"/>
    <w:pPr>
      <w:ind w:firstLine="420" w:firstLineChars="200"/>
    </w:pPr>
  </w:style>
  <w:style w:type="paragraph" w:customStyle="1" w:styleId="74">
    <w:name w:val="Char1"/>
    <w:basedOn w:val="1"/>
    <w:qFormat/>
    <w:uiPriority w:val="99"/>
    <w:pPr>
      <w:widowControl/>
      <w:spacing w:after="160" w:line="240" w:lineRule="exact"/>
      <w:jc w:val="left"/>
    </w:pPr>
    <w:rPr>
      <w:rFonts w:ascii="Times New Roman" w:hAnsi="Times New Roman" w:eastAsia="宋体" w:cs="Times New Roman"/>
      <w:sz w:val="32"/>
      <w:szCs w:val="32"/>
    </w:rPr>
  </w:style>
  <w:style w:type="paragraph" w:customStyle="1" w:styleId="75">
    <w:name w:val="p0"/>
    <w:basedOn w:val="1"/>
    <w:qFormat/>
    <w:uiPriority w:val="99"/>
    <w:pPr>
      <w:widowControl/>
      <w:overflowPunct w:val="0"/>
      <w:autoSpaceDE w:val="0"/>
      <w:autoSpaceDN w:val="0"/>
    </w:pPr>
    <w:rPr>
      <w:rFonts w:ascii="Calibri" w:hAnsi="Calibri" w:eastAsia="宋体" w:cs="Calibri"/>
      <w:kern w:val="0"/>
    </w:rPr>
  </w:style>
  <w:style w:type="character" w:customStyle="1" w:styleId="76">
    <w:name w:val="font21"/>
    <w:qFormat/>
    <w:uiPriority w:val="99"/>
    <w:rPr>
      <w:rFonts w:ascii="Times New Roman" w:hAnsi="Times New Roman"/>
      <w:color w:val="000000"/>
      <w:sz w:val="20"/>
      <w:u w:val="none"/>
    </w:rPr>
  </w:style>
  <w:style w:type="paragraph" w:customStyle="1" w:styleId="77">
    <w:name w:val="报告正文"/>
    <w:qFormat/>
    <w:uiPriority w:val="99"/>
    <w:pPr>
      <w:widowControl w:val="0"/>
      <w:spacing w:line="560" w:lineRule="exact"/>
      <w:ind w:firstLine="200" w:firstLineChars="200"/>
      <w:jc w:val="both"/>
    </w:pPr>
    <w:rPr>
      <w:rFonts w:ascii="Times New Roman" w:hAnsi="Times New Roman" w:eastAsia="仿宋" w:cs="Times New Roman"/>
      <w:kern w:val="0"/>
      <w:sz w:val="28"/>
      <w:szCs w:val="28"/>
      <w:lang w:val="en-US" w:eastAsia="zh-CN" w:bidi="ar-SA"/>
    </w:rPr>
  </w:style>
  <w:style w:type="paragraph" w:customStyle="1" w:styleId="7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7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8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 w:type="character" w:customStyle="1" w:styleId="81">
    <w:name w:val="font61"/>
    <w:qFormat/>
    <w:uiPriority w:val="99"/>
    <w:rPr>
      <w:rFonts w:ascii="楷体_GB2312" w:eastAsia="楷体_GB2312"/>
      <w:b/>
      <w:color w:val="000000"/>
      <w:sz w:val="20"/>
      <w:u w:val="none"/>
    </w:rPr>
  </w:style>
  <w:style w:type="character" w:customStyle="1" w:styleId="82">
    <w:name w:val="font31"/>
    <w:qFormat/>
    <w:uiPriority w:val="99"/>
    <w:rPr>
      <w:rFonts w:ascii="Times New Roman" w:hAnsi="Times New Roman"/>
      <w:b/>
      <w:color w:val="000000"/>
      <w:sz w:val="20"/>
      <w:u w:val="none"/>
    </w:rPr>
  </w:style>
  <w:style w:type="character" w:customStyle="1" w:styleId="83">
    <w:name w:val="font112"/>
    <w:qFormat/>
    <w:uiPriority w:val="99"/>
    <w:rPr>
      <w:rFonts w:ascii="仿宋_GB2312" w:eastAsia="仿宋_GB2312"/>
      <w:b/>
      <w:color w:val="000000"/>
      <w:sz w:val="20"/>
      <w:u w:val="none"/>
    </w:rPr>
  </w:style>
  <w:style w:type="character" w:customStyle="1" w:styleId="84">
    <w:name w:val="font101"/>
    <w:qFormat/>
    <w:uiPriority w:val="99"/>
    <w:rPr>
      <w:rFonts w:ascii="楷体_GB2312" w:eastAsia="楷体_GB2312"/>
      <w:color w:val="000000"/>
      <w:sz w:val="20"/>
      <w:u w:val="none"/>
    </w:rPr>
  </w:style>
  <w:style w:type="character" w:customStyle="1" w:styleId="85">
    <w:name w:val="font151"/>
    <w:qFormat/>
    <w:uiPriority w:val="99"/>
    <w:rPr>
      <w:rFonts w:ascii="Times New Roman" w:hAnsi="Times New Roman"/>
      <w:color w:val="000000"/>
      <w:sz w:val="20"/>
      <w:u w:val="none"/>
    </w:rPr>
  </w:style>
  <w:style w:type="character" w:customStyle="1" w:styleId="86">
    <w:name w:val="font11"/>
    <w:qFormat/>
    <w:uiPriority w:val="99"/>
    <w:rPr>
      <w:rFonts w:ascii="仿宋_GB2312" w:eastAsia="仿宋_GB2312"/>
      <w:color w:val="FF0000"/>
      <w:sz w:val="20"/>
      <w:u w:val="none"/>
    </w:rPr>
  </w:style>
  <w:style w:type="character" w:customStyle="1" w:styleId="87">
    <w:name w:val="font51"/>
    <w:qFormat/>
    <w:uiPriority w:val="99"/>
    <w:rPr>
      <w:rFonts w:ascii="Times New Roman" w:hAnsi="Times New Roman"/>
      <w:color w:val="FF0000"/>
      <w:sz w:val="20"/>
      <w:u w:val="none"/>
    </w:rPr>
  </w:style>
  <w:style w:type="character" w:customStyle="1" w:styleId="88">
    <w:name w:val="font161"/>
    <w:qFormat/>
    <w:uiPriority w:val="99"/>
    <w:rPr>
      <w:rFonts w:ascii="仿宋_GB2312" w:eastAsia="仿宋_GB2312"/>
      <w:color w:val="FF0000"/>
      <w:sz w:val="20"/>
      <w:u w:val="none"/>
    </w:rPr>
  </w:style>
  <w:style w:type="character" w:customStyle="1" w:styleId="89">
    <w:name w:val="font91"/>
    <w:qFormat/>
    <w:uiPriority w:val="99"/>
    <w:rPr>
      <w:rFonts w:ascii="楷体_GB2312" w:eastAsia="楷体_GB2312"/>
      <w:color w:val="000000"/>
      <w:sz w:val="20"/>
      <w:u w:val="none"/>
    </w:rPr>
  </w:style>
  <w:style w:type="character" w:customStyle="1" w:styleId="90">
    <w:name w:val="font41"/>
    <w:qFormat/>
    <w:uiPriority w:val="99"/>
    <w:rPr>
      <w:rFonts w:ascii="Times New Roman" w:hAnsi="Times New Roman"/>
      <w:color w:val="000000"/>
      <w:sz w:val="20"/>
      <w:u w:val="none"/>
    </w:rPr>
  </w:style>
  <w:style w:type="character" w:customStyle="1" w:styleId="91">
    <w:name w:val="font01"/>
    <w:qFormat/>
    <w:uiPriority w:val="99"/>
    <w:rPr>
      <w:rFonts w:ascii="宋体" w:hAnsi="宋体" w:eastAsia="宋体"/>
      <w:color w:val="000000"/>
      <w:sz w:val="20"/>
      <w:u w:val="none"/>
    </w:rPr>
  </w:style>
  <w:style w:type="character" w:customStyle="1" w:styleId="92">
    <w:name w:val="font81"/>
    <w:qFormat/>
    <w:uiPriority w:val="99"/>
    <w:rPr>
      <w:rFonts w:ascii="宋体" w:hAnsi="宋体" w:eastAsia="宋体"/>
      <w:color w:val="FF0000"/>
      <w:sz w:val="20"/>
      <w:u w:val="none"/>
    </w:rPr>
  </w:style>
  <w:style w:type="character" w:customStyle="1" w:styleId="93">
    <w:name w:val="font71"/>
    <w:qFormat/>
    <w:uiPriority w:val="99"/>
    <w:rPr>
      <w:rFonts w:ascii="仿宋_GB2312" w:eastAsia="仿宋_GB2312"/>
      <w:color w:val="000000"/>
      <w:sz w:val="20"/>
      <w:u w:val="none"/>
    </w:rPr>
  </w:style>
  <w:style w:type="character" w:customStyle="1" w:styleId="94">
    <w:name w:val="NormalCharacter"/>
    <w:qFormat/>
    <w:uiPriority w:val="99"/>
  </w:style>
  <w:style w:type="paragraph" w:customStyle="1" w:styleId="95">
    <w:name w:val="二级"/>
    <w:basedOn w:val="96"/>
    <w:qFormat/>
    <w:uiPriority w:val="99"/>
    <w:pPr>
      <w:outlineLvl w:val="1"/>
    </w:pPr>
  </w:style>
  <w:style w:type="paragraph" w:customStyle="1" w:styleId="96">
    <w:name w:val="UserStyle_172"/>
    <w:basedOn w:val="1"/>
    <w:qFormat/>
    <w:uiPriority w:val="99"/>
    <w:pPr>
      <w:spacing w:line="580" w:lineRule="exact"/>
      <w:ind w:firstLine="640" w:firstLineChars="200"/>
    </w:pPr>
    <w:rPr>
      <w:rFonts w:ascii="Times New Roman" w:hAnsi="Times New Roman" w:eastAsia="楷体_GB2312"/>
      <w:sz w:val="32"/>
      <w:szCs w:val="20"/>
    </w:rPr>
  </w:style>
  <w:style w:type="paragraph" w:customStyle="1" w:styleId="97">
    <w:name w:val="三级"/>
    <w:basedOn w:val="1"/>
    <w:qFormat/>
    <w:uiPriority w:val="99"/>
    <w:pPr>
      <w:spacing w:line="580" w:lineRule="exact"/>
      <w:ind w:firstLine="600" w:firstLineChars="200"/>
      <w:outlineLvl w:val="2"/>
    </w:pPr>
    <w:rPr>
      <w:rFonts w:ascii="Times New Roman" w:hAnsi="Times New Roman" w:eastAsia="楷体_GB2312"/>
      <w:sz w:val="30"/>
      <w:szCs w:val="30"/>
    </w:rPr>
  </w:style>
  <w:style w:type="paragraph" w:customStyle="1" w:styleId="98">
    <w:name w:val="一级"/>
    <w:basedOn w:val="99"/>
    <w:qFormat/>
    <w:uiPriority w:val="99"/>
    <w:pPr>
      <w:outlineLvl w:val="0"/>
    </w:pPr>
  </w:style>
  <w:style w:type="paragraph" w:customStyle="1" w:styleId="99">
    <w:name w:val="UserStyle_170"/>
    <w:basedOn w:val="1"/>
    <w:qFormat/>
    <w:uiPriority w:val="99"/>
    <w:pPr>
      <w:spacing w:line="580" w:lineRule="exact"/>
      <w:ind w:firstLine="640" w:firstLineChars="200"/>
    </w:pPr>
    <w:rPr>
      <w:rFonts w:ascii="Times New Roman" w:hAnsi="Times New Roman" w:eastAsia="黑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39</Pages>
  <Words>3759</Words>
  <Characters>21429</Characters>
  <Lines>0</Lines>
  <Paragraphs>0</Paragraphs>
  <TotalTime>26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2021-05-19T03:02:00Z</dcterms:created>
  <dc:creator>张恩华</dc:creator>
  <cp:lastModifiedBy>小黑</cp:lastModifiedBy>
  <cp:lastPrinted>2021-06-03T02:19:00Z</cp:lastPrinted>
  <dcterms:modified xsi:type="dcterms:W3CDTF">2021-06-03T06:28:44Z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