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30" w:rsidRDefault="00D61430">
      <w:pPr>
        <w:spacing w:line="560" w:lineRule="exact"/>
        <w:jc w:val="center"/>
        <w:rPr>
          <w:rFonts w:ascii="方正小标宋_GBK" w:eastAsia="方正小标宋_GBK" w:hAnsi="宋体"/>
          <w:bCs/>
          <w:color w:val="000000"/>
          <w:sz w:val="44"/>
          <w:szCs w:val="44"/>
        </w:rPr>
      </w:pPr>
      <w:bookmarkStart w:id="0" w:name="_GoBack"/>
      <w:bookmarkEnd w:id="0"/>
    </w:p>
    <w:p w:rsidR="00D61430" w:rsidRDefault="00D61430">
      <w:pPr>
        <w:spacing w:line="560" w:lineRule="exact"/>
        <w:jc w:val="center"/>
        <w:rPr>
          <w:rFonts w:ascii="方正小标宋_GBK" w:eastAsia="方正小标宋_GBK" w:hAnsi="宋体"/>
          <w:bCs/>
          <w:color w:val="000000"/>
          <w:sz w:val="44"/>
          <w:szCs w:val="44"/>
        </w:rPr>
      </w:pPr>
    </w:p>
    <w:p w:rsidR="00D61430" w:rsidRDefault="00CF5FE6">
      <w:pPr>
        <w:jc w:val="center"/>
        <w:rPr>
          <w:rFonts w:ascii="方正小标宋_GBK" w:eastAsia="方正小标宋_GBK" w:hAnsi="宋体"/>
          <w:snapToGrid w:val="0"/>
          <w:color w:val="000000"/>
          <w:sz w:val="44"/>
          <w:szCs w:val="44"/>
        </w:rPr>
      </w:pPr>
      <w:r>
        <w:rPr>
          <w:rFonts w:ascii="方正小标宋_GBK" w:eastAsia="方正小标宋_GBK" w:hAnsi="宋体" w:hint="eastAsia"/>
          <w:bCs/>
          <w:color w:val="000000"/>
          <w:sz w:val="44"/>
          <w:szCs w:val="44"/>
        </w:rPr>
        <w:t>2020年度</w:t>
      </w:r>
      <w:r>
        <w:rPr>
          <w:rFonts w:ascii="方正小标宋_GBK" w:eastAsia="方正小标宋_GBK" w:hAnsi="Calibri" w:cs="文星简黑体" w:hint="eastAsia"/>
          <w:sz w:val="44"/>
          <w:szCs w:val="44"/>
        </w:rPr>
        <w:t>青岛市</w:t>
      </w:r>
      <w:r>
        <w:rPr>
          <w:rFonts w:ascii="方正小标宋_GBK" w:eastAsia="方正小标宋_GBK" w:hAnsi="宋体" w:hint="eastAsia"/>
          <w:snapToGrid w:val="0"/>
          <w:color w:val="000000"/>
          <w:sz w:val="44"/>
          <w:szCs w:val="44"/>
        </w:rPr>
        <w:t>扶贫协作工作办公室</w:t>
      </w:r>
    </w:p>
    <w:p w:rsidR="00D61430" w:rsidRDefault="00CF5FE6">
      <w:pPr>
        <w:jc w:val="center"/>
        <w:rPr>
          <w:rFonts w:ascii="方正小标宋_GBK" w:eastAsia="方正小标宋_GBK" w:hAnsi="宋体"/>
          <w:bCs/>
          <w:color w:val="000000"/>
          <w:sz w:val="44"/>
          <w:szCs w:val="44"/>
        </w:rPr>
      </w:pPr>
      <w:r>
        <w:rPr>
          <w:rFonts w:ascii="方正小标宋_GBK" w:eastAsia="方正小标宋_GBK" w:hAnsi="宋体" w:hint="eastAsia"/>
          <w:snapToGrid w:val="0"/>
          <w:color w:val="000000"/>
          <w:sz w:val="44"/>
          <w:szCs w:val="44"/>
        </w:rPr>
        <w:t>专项经费绩效评价报告</w:t>
      </w:r>
    </w:p>
    <w:p w:rsidR="00D61430" w:rsidRDefault="00D61430">
      <w:pPr>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spacing w:line="560" w:lineRule="exact"/>
        <w:ind w:left="1040" w:hanging="1040"/>
        <w:jc w:val="center"/>
        <w:rPr>
          <w:rFonts w:ascii="文星简黑体" w:eastAsia="文星简黑体"/>
          <w:sz w:val="52"/>
          <w:szCs w:val="52"/>
        </w:rPr>
      </w:pPr>
    </w:p>
    <w:p w:rsidR="00D61430" w:rsidRDefault="00D61430">
      <w:pPr>
        <w:pStyle w:val="1"/>
        <w:rPr>
          <w:rFonts w:ascii="文星简黑体" w:eastAsia="文星简黑体"/>
          <w:sz w:val="52"/>
          <w:szCs w:val="52"/>
        </w:rPr>
      </w:pPr>
    </w:p>
    <w:p w:rsidR="00D61430" w:rsidRDefault="00D61430"/>
    <w:p w:rsidR="00D61430" w:rsidRDefault="00D61430"/>
    <w:p w:rsidR="00D61430" w:rsidRDefault="00CF5FE6">
      <w:pPr>
        <w:spacing w:before="120" w:after="120" w:line="560" w:lineRule="exact"/>
        <w:ind w:left="640" w:hanging="640"/>
        <w:jc w:val="center"/>
        <w:rPr>
          <w:rFonts w:ascii="黑体" w:eastAsia="黑体" w:hAnsi="黑体"/>
          <w:sz w:val="32"/>
          <w:szCs w:val="32"/>
        </w:rPr>
      </w:pPr>
      <w:r>
        <w:rPr>
          <w:rFonts w:ascii="黑体" w:eastAsia="黑体" w:hAnsi="黑体" w:cs="文星简黑体" w:hint="eastAsia"/>
          <w:sz w:val="32"/>
          <w:szCs w:val="32"/>
        </w:rPr>
        <w:t>青岛市扶贫协作工作办公室</w:t>
      </w:r>
    </w:p>
    <w:p w:rsidR="00D61430" w:rsidRDefault="00CF5FE6">
      <w:pPr>
        <w:spacing w:before="120" w:after="120" w:line="560" w:lineRule="exact"/>
        <w:ind w:left="2240" w:hangingChars="700" w:hanging="2240"/>
        <w:jc w:val="center"/>
        <w:rPr>
          <w:rFonts w:ascii="黑体" w:eastAsia="黑体" w:hAnsi="黑体" w:cs="文星简黑体"/>
          <w:sz w:val="32"/>
          <w:szCs w:val="32"/>
        </w:rPr>
      </w:pPr>
      <w:r>
        <w:rPr>
          <w:rFonts w:ascii="黑体" w:eastAsia="黑体" w:hAnsi="黑体" w:cs="文星简黑体" w:hint="eastAsia"/>
          <w:sz w:val="32"/>
          <w:szCs w:val="32"/>
        </w:rPr>
        <w:t>2021年5月</w:t>
      </w:r>
    </w:p>
    <w:p w:rsidR="00D61430" w:rsidRDefault="00D61430">
      <w:pPr>
        <w:widowControl/>
        <w:jc w:val="center"/>
        <w:rPr>
          <w:rFonts w:eastAsia="黑体"/>
          <w:b/>
          <w:bCs/>
          <w:sz w:val="32"/>
          <w:szCs w:val="32"/>
        </w:rPr>
        <w:sectPr w:rsidR="00D61430">
          <w:headerReference w:type="default" r:id="rId9"/>
          <w:footerReference w:type="default" r:id="rId10"/>
          <w:footnotePr>
            <w:numRestart w:val="eachPage"/>
          </w:footnotePr>
          <w:pgSz w:w="11906" w:h="16838"/>
          <w:pgMar w:top="2098" w:right="1474" w:bottom="1985" w:left="1588" w:header="851" w:footer="992" w:gutter="0"/>
          <w:pgNumType w:start="1"/>
          <w:cols w:space="720"/>
          <w:docGrid w:type="linesAndChars" w:linePitch="312"/>
        </w:sectPr>
      </w:pPr>
    </w:p>
    <w:p w:rsidR="00D61430" w:rsidRDefault="00CF5FE6">
      <w:pPr>
        <w:jc w:val="center"/>
        <w:rPr>
          <w:b/>
          <w:bCs/>
          <w:sz w:val="44"/>
          <w:szCs w:val="44"/>
        </w:rPr>
      </w:pPr>
      <w:r>
        <w:rPr>
          <w:rFonts w:ascii="宋体" w:hAnsi="宋体"/>
          <w:b/>
          <w:bCs/>
          <w:sz w:val="44"/>
          <w:szCs w:val="44"/>
        </w:rPr>
        <w:lastRenderedPageBreak/>
        <w:t>目录</w:t>
      </w:r>
    </w:p>
    <w:p w:rsidR="00D61430" w:rsidRDefault="00A22D90">
      <w:pPr>
        <w:pStyle w:val="1"/>
        <w:tabs>
          <w:tab w:val="clear" w:pos="8296"/>
          <w:tab w:val="right" w:leader="dot" w:pos="8844"/>
        </w:tabs>
        <w:adjustRightInd w:val="0"/>
        <w:snapToGrid w:val="0"/>
        <w:spacing w:line="360" w:lineRule="auto"/>
        <w:rPr>
          <w:rFonts w:ascii="黑体" w:eastAsia="黑体" w:hAnsi="黑体" w:cs="黑体"/>
          <w:noProof/>
          <w:sz w:val="32"/>
          <w:szCs w:val="32"/>
        </w:rPr>
      </w:pPr>
      <w:r w:rsidRPr="00A22D90">
        <w:rPr>
          <w:rFonts w:ascii="黑体" w:eastAsia="黑体" w:hAnsi="黑体" w:hint="eastAsia"/>
          <w:color w:val="000000"/>
          <w:sz w:val="32"/>
          <w:szCs w:val="32"/>
        </w:rPr>
        <w:fldChar w:fldCharType="begin"/>
      </w:r>
      <w:r w:rsidR="00CF5FE6">
        <w:rPr>
          <w:rFonts w:ascii="黑体" w:eastAsia="黑体" w:hAnsi="黑体" w:hint="eastAsia"/>
          <w:color w:val="000000"/>
          <w:sz w:val="32"/>
          <w:szCs w:val="32"/>
        </w:rPr>
        <w:instrText xml:space="preserve">TOC \o "1-3" \h \u </w:instrText>
      </w:r>
      <w:r w:rsidRPr="00A22D90">
        <w:rPr>
          <w:rFonts w:ascii="黑体" w:eastAsia="黑体" w:hAnsi="黑体" w:hint="eastAsia"/>
          <w:color w:val="000000"/>
          <w:sz w:val="32"/>
          <w:szCs w:val="32"/>
        </w:rPr>
        <w:fldChar w:fldCharType="separate"/>
      </w:r>
      <w:hyperlink w:anchor="_Toc2833" w:history="1">
        <w:r w:rsidR="00CF5FE6">
          <w:rPr>
            <w:rFonts w:ascii="黑体" w:eastAsia="黑体" w:hAnsi="黑体" w:cs="黑体" w:hint="eastAsia"/>
            <w:noProof/>
            <w:sz w:val="32"/>
            <w:szCs w:val="32"/>
          </w:rPr>
          <w:t>一、基本情况</w:t>
        </w:r>
        <w:r w:rsidR="0024192F" w:rsidRPr="0024192F">
          <w:rPr>
            <w:rFonts w:ascii="黑体" w:eastAsia="黑体" w:hAnsi="黑体" w:cs="黑体" w:hint="eastAsia"/>
            <w:noProof/>
            <w:sz w:val="32"/>
            <w:szCs w:val="32"/>
          </w:rPr>
          <w:tab/>
        </w:r>
        <w:r>
          <w:rPr>
            <w:rFonts w:ascii="黑体" w:eastAsia="黑体" w:hAnsi="黑体" w:cs="黑体" w:hint="eastAsia"/>
            <w:noProof/>
            <w:sz w:val="32"/>
            <w:szCs w:val="32"/>
          </w:rPr>
          <w:fldChar w:fldCharType="begin"/>
        </w:r>
        <w:r w:rsidR="00CF5FE6">
          <w:rPr>
            <w:rFonts w:ascii="黑体" w:eastAsia="黑体" w:hAnsi="黑体" w:cs="黑体" w:hint="eastAsia"/>
            <w:noProof/>
            <w:sz w:val="32"/>
            <w:szCs w:val="32"/>
          </w:rPr>
          <w:instrText xml:space="preserve"> PAGEREF _Toc2833 </w:instrText>
        </w:r>
        <w:r>
          <w:rPr>
            <w:rFonts w:ascii="黑体" w:eastAsia="黑体" w:hAnsi="黑体" w:cs="黑体" w:hint="eastAsia"/>
            <w:noProof/>
            <w:sz w:val="32"/>
            <w:szCs w:val="32"/>
          </w:rPr>
          <w:fldChar w:fldCharType="separate"/>
        </w:r>
        <w:r w:rsidR="00A94828">
          <w:rPr>
            <w:rFonts w:ascii="黑体" w:eastAsia="黑体" w:hAnsi="黑体" w:cs="黑体"/>
            <w:noProof/>
            <w:sz w:val="32"/>
            <w:szCs w:val="32"/>
          </w:rPr>
          <w:t>3</w:t>
        </w:r>
        <w:r>
          <w:rPr>
            <w:rFonts w:ascii="黑体" w:eastAsia="黑体" w:hAnsi="黑体" w:cs="黑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16436" w:history="1">
        <w:r w:rsidR="00CF5FE6">
          <w:rPr>
            <w:rFonts w:ascii="楷体" w:eastAsia="楷体" w:hAnsi="楷体" w:cs="楷体" w:hint="eastAsia"/>
            <w:noProof/>
            <w:sz w:val="32"/>
            <w:szCs w:val="32"/>
          </w:rPr>
          <w:t>（一）项目概况</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_Toc16436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3</w:t>
        </w:r>
        <w:r>
          <w:rPr>
            <w:rFonts w:ascii="楷体" w:eastAsia="楷体" w:hAnsi="楷体" w:cs="楷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16306" w:history="1">
        <w:r w:rsidR="00CF5FE6">
          <w:rPr>
            <w:rFonts w:ascii="楷体" w:eastAsia="楷体" w:hAnsi="楷体" w:cs="楷体" w:hint="eastAsia"/>
            <w:noProof/>
            <w:sz w:val="32"/>
            <w:szCs w:val="32"/>
          </w:rPr>
          <w:t>（二）项目绩效目标</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_Toc16306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3</w:t>
        </w:r>
        <w:r>
          <w:rPr>
            <w:rFonts w:ascii="楷体" w:eastAsia="楷体" w:hAnsi="楷体" w:cs="楷体" w:hint="eastAsia"/>
            <w:noProof/>
            <w:sz w:val="32"/>
            <w:szCs w:val="32"/>
          </w:rPr>
          <w:fldChar w:fldCharType="end"/>
        </w:r>
      </w:hyperlink>
    </w:p>
    <w:p w:rsidR="00D61430" w:rsidRDefault="00A22D90">
      <w:pPr>
        <w:pStyle w:val="1"/>
        <w:tabs>
          <w:tab w:val="clear" w:pos="8296"/>
          <w:tab w:val="right" w:leader="dot" w:pos="8844"/>
        </w:tabs>
        <w:adjustRightInd w:val="0"/>
        <w:snapToGrid w:val="0"/>
        <w:spacing w:line="360" w:lineRule="auto"/>
        <w:rPr>
          <w:rFonts w:ascii="黑体" w:eastAsia="黑体" w:hAnsi="黑体" w:cs="黑体"/>
          <w:noProof/>
          <w:sz w:val="32"/>
          <w:szCs w:val="32"/>
        </w:rPr>
      </w:pPr>
      <w:hyperlink w:anchor="_Toc14514" w:history="1">
        <w:r w:rsidR="00CF5FE6">
          <w:rPr>
            <w:rFonts w:ascii="黑体" w:eastAsia="黑体" w:hAnsi="黑体" w:cs="黑体" w:hint="eastAsia"/>
            <w:noProof/>
            <w:sz w:val="32"/>
            <w:szCs w:val="32"/>
          </w:rPr>
          <w:t>二、绩效评价工作开展情况</w:t>
        </w:r>
        <w:r w:rsidR="00CF5FE6">
          <w:rPr>
            <w:rFonts w:ascii="黑体" w:eastAsia="黑体" w:hAnsi="黑体" w:cs="黑体" w:hint="eastAsia"/>
            <w:noProof/>
            <w:sz w:val="32"/>
            <w:szCs w:val="32"/>
          </w:rPr>
          <w:tab/>
        </w:r>
        <w:r>
          <w:rPr>
            <w:rFonts w:ascii="黑体" w:eastAsia="黑体" w:hAnsi="黑体" w:cs="黑体" w:hint="eastAsia"/>
            <w:noProof/>
            <w:sz w:val="32"/>
            <w:szCs w:val="32"/>
          </w:rPr>
          <w:fldChar w:fldCharType="begin"/>
        </w:r>
        <w:r w:rsidR="00CF5FE6">
          <w:rPr>
            <w:rFonts w:ascii="黑体" w:eastAsia="黑体" w:hAnsi="黑体" w:cs="黑体" w:hint="eastAsia"/>
            <w:noProof/>
            <w:sz w:val="32"/>
            <w:szCs w:val="32"/>
          </w:rPr>
          <w:instrText xml:space="preserve"> PAGEREF _Toc14514 </w:instrText>
        </w:r>
        <w:r>
          <w:rPr>
            <w:rFonts w:ascii="黑体" w:eastAsia="黑体" w:hAnsi="黑体" w:cs="黑体" w:hint="eastAsia"/>
            <w:noProof/>
            <w:sz w:val="32"/>
            <w:szCs w:val="32"/>
          </w:rPr>
          <w:fldChar w:fldCharType="separate"/>
        </w:r>
        <w:r w:rsidR="00A94828">
          <w:rPr>
            <w:rFonts w:ascii="黑体" w:eastAsia="黑体" w:hAnsi="黑体" w:cs="黑体"/>
            <w:noProof/>
            <w:sz w:val="32"/>
            <w:szCs w:val="32"/>
          </w:rPr>
          <w:t>3</w:t>
        </w:r>
        <w:r>
          <w:rPr>
            <w:rFonts w:ascii="黑体" w:eastAsia="黑体" w:hAnsi="黑体" w:cs="黑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10932" w:history="1">
        <w:r w:rsidR="00CF5FE6">
          <w:rPr>
            <w:rFonts w:ascii="楷体" w:eastAsia="楷体" w:hAnsi="楷体" w:cs="楷体" w:hint="eastAsia"/>
            <w:noProof/>
            <w:sz w:val="32"/>
            <w:szCs w:val="32"/>
          </w:rPr>
          <w:t>（一）绩效评价目的、对象和范围</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_Toc10932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3</w:t>
        </w:r>
        <w:r>
          <w:rPr>
            <w:rFonts w:ascii="楷体" w:eastAsia="楷体" w:hAnsi="楷体" w:cs="楷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13147" w:history="1">
        <w:r w:rsidR="00CF5FE6">
          <w:rPr>
            <w:rFonts w:ascii="楷体" w:eastAsia="楷体" w:hAnsi="楷体" w:cs="楷体" w:hint="eastAsia"/>
            <w:noProof/>
            <w:sz w:val="32"/>
            <w:szCs w:val="32"/>
          </w:rPr>
          <w:t>（二）绩效评价原则、评价指标体系、评价方法</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_Toc13147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4</w:t>
        </w:r>
        <w:r>
          <w:rPr>
            <w:rFonts w:ascii="楷体" w:eastAsia="楷体" w:hAnsi="楷体" w:cs="楷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23637" w:history="1">
        <w:r w:rsidR="00CF5FE6">
          <w:rPr>
            <w:rFonts w:ascii="楷体" w:eastAsia="楷体" w:hAnsi="楷体" w:cs="楷体" w:hint="eastAsia"/>
            <w:noProof/>
            <w:sz w:val="32"/>
            <w:szCs w:val="32"/>
          </w:rPr>
          <w:t>（三）绩效评价工作过程</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_Toc23637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4</w:t>
        </w:r>
        <w:r>
          <w:rPr>
            <w:rFonts w:ascii="楷体" w:eastAsia="楷体" w:hAnsi="楷体" w:cs="楷体" w:hint="eastAsia"/>
            <w:noProof/>
            <w:sz w:val="32"/>
            <w:szCs w:val="32"/>
          </w:rPr>
          <w:fldChar w:fldCharType="end"/>
        </w:r>
      </w:hyperlink>
    </w:p>
    <w:p w:rsidR="00D61430" w:rsidRDefault="00A22D90">
      <w:pPr>
        <w:pStyle w:val="1"/>
        <w:tabs>
          <w:tab w:val="clear" w:pos="8296"/>
          <w:tab w:val="right" w:leader="dot" w:pos="8844"/>
        </w:tabs>
        <w:adjustRightInd w:val="0"/>
        <w:snapToGrid w:val="0"/>
        <w:spacing w:line="360" w:lineRule="auto"/>
        <w:rPr>
          <w:rFonts w:ascii="黑体" w:eastAsia="黑体" w:hAnsi="黑体" w:cs="黑体"/>
          <w:noProof/>
          <w:color w:val="000000"/>
          <w:sz w:val="32"/>
          <w:szCs w:val="32"/>
        </w:rPr>
      </w:pPr>
      <w:hyperlink w:anchor="_Toc15305" w:history="1">
        <w:r w:rsidR="00CF5FE6">
          <w:rPr>
            <w:rFonts w:ascii="黑体" w:eastAsia="黑体" w:hAnsi="黑体" w:cs="黑体" w:hint="eastAsia"/>
            <w:noProof/>
            <w:color w:val="000000"/>
            <w:sz w:val="32"/>
            <w:szCs w:val="32"/>
          </w:rPr>
          <w:t>三、综合评价情况及评价结论</w:t>
        </w:r>
        <w:r w:rsidR="00CF5FE6">
          <w:rPr>
            <w:rFonts w:ascii="黑体" w:eastAsia="黑体" w:hAnsi="黑体" w:cs="黑体" w:hint="eastAsia"/>
            <w:noProof/>
            <w:color w:val="000000"/>
            <w:sz w:val="32"/>
            <w:szCs w:val="32"/>
          </w:rPr>
          <w:tab/>
        </w:r>
        <w:r>
          <w:rPr>
            <w:rFonts w:ascii="黑体" w:eastAsia="黑体" w:hAnsi="黑体" w:cs="黑体" w:hint="eastAsia"/>
            <w:noProof/>
            <w:color w:val="000000"/>
            <w:sz w:val="32"/>
            <w:szCs w:val="32"/>
          </w:rPr>
          <w:fldChar w:fldCharType="begin"/>
        </w:r>
        <w:r w:rsidR="00CF5FE6">
          <w:rPr>
            <w:rFonts w:ascii="黑体" w:eastAsia="黑体" w:hAnsi="黑体" w:cs="黑体" w:hint="eastAsia"/>
            <w:noProof/>
            <w:color w:val="000000"/>
            <w:sz w:val="32"/>
            <w:szCs w:val="32"/>
          </w:rPr>
          <w:instrText xml:space="preserve"> PAGEREF _Toc15305 </w:instrText>
        </w:r>
        <w:r>
          <w:rPr>
            <w:rFonts w:ascii="黑体" w:eastAsia="黑体" w:hAnsi="黑体" w:cs="黑体" w:hint="eastAsia"/>
            <w:noProof/>
            <w:color w:val="000000"/>
            <w:sz w:val="32"/>
            <w:szCs w:val="32"/>
          </w:rPr>
          <w:fldChar w:fldCharType="separate"/>
        </w:r>
        <w:r w:rsidR="00A94828">
          <w:rPr>
            <w:rFonts w:ascii="黑体" w:eastAsia="黑体" w:hAnsi="黑体" w:cs="黑体"/>
            <w:noProof/>
            <w:color w:val="000000"/>
            <w:sz w:val="32"/>
            <w:szCs w:val="32"/>
          </w:rPr>
          <w:t>5</w:t>
        </w:r>
        <w:r>
          <w:rPr>
            <w:rFonts w:ascii="黑体" w:eastAsia="黑体" w:hAnsi="黑体" w:cs="黑体" w:hint="eastAsia"/>
            <w:noProof/>
            <w:color w:val="000000"/>
            <w:sz w:val="32"/>
            <w:szCs w:val="32"/>
          </w:rPr>
          <w:fldChar w:fldCharType="end"/>
        </w:r>
      </w:hyperlink>
    </w:p>
    <w:p w:rsidR="00D61430" w:rsidRDefault="00A22D90">
      <w:pPr>
        <w:pStyle w:val="1"/>
        <w:tabs>
          <w:tab w:val="clear" w:pos="8296"/>
          <w:tab w:val="right" w:leader="dot" w:pos="8844"/>
        </w:tabs>
        <w:adjustRightInd w:val="0"/>
        <w:snapToGrid w:val="0"/>
        <w:spacing w:line="360" w:lineRule="auto"/>
        <w:rPr>
          <w:rFonts w:ascii="黑体" w:eastAsia="黑体" w:hAnsi="黑体" w:cs="黑体"/>
          <w:noProof/>
          <w:color w:val="000000"/>
          <w:sz w:val="32"/>
          <w:szCs w:val="32"/>
        </w:rPr>
      </w:pPr>
      <w:hyperlink w:anchor="_Toc25779" w:history="1">
        <w:r w:rsidR="00CF5FE6">
          <w:rPr>
            <w:rFonts w:ascii="黑体" w:eastAsia="黑体" w:hAnsi="黑体" w:cs="黑体" w:hint="eastAsia"/>
            <w:noProof/>
            <w:color w:val="000000"/>
            <w:sz w:val="32"/>
            <w:szCs w:val="32"/>
          </w:rPr>
          <w:t>四、绩效评价指标分析</w:t>
        </w:r>
        <w:r w:rsidR="00CF5FE6">
          <w:rPr>
            <w:rFonts w:ascii="黑体" w:eastAsia="黑体" w:hAnsi="黑体" w:cs="黑体" w:hint="eastAsia"/>
            <w:noProof/>
            <w:color w:val="000000"/>
            <w:sz w:val="32"/>
            <w:szCs w:val="32"/>
          </w:rPr>
          <w:tab/>
        </w:r>
        <w:r>
          <w:rPr>
            <w:rFonts w:ascii="黑体" w:eastAsia="黑体" w:hAnsi="黑体" w:cs="黑体" w:hint="eastAsia"/>
            <w:noProof/>
            <w:color w:val="000000"/>
            <w:sz w:val="32"/>
            <w:szCs w:val="32"/>
          </w:rPr>
          <w:fldChar w:fldCharType="begin"/>
        </w:r>
        <w:r w:rsidR="00CF5FE6">
          <w:rPr>
            <w:rFonts w:ascii="黑体" w:eastAsia="黑体" w:hAnsi="黑体" w:cs="黑体" w:hint="eastAsia"/>
            <w:noProof/>
            <w:color w:val="000000"/>
            <w:sz w:val="32"/>
            <w:szCs w:val="32"/>
          </w:rPr>
          <w:instrText xml:space="preserve"> PAGEREF _Toc25779 </w:instrText>
        </w:r>
        <w:r>
          <w:rPr>
            <w:rFonts w:ascii="黑体" w:eastAsia="黑体" w:hAnsi="黑体" w:cs="黑体" w:hint="eastAsia"/>
            <w:noProof/>
            <w:color w:val="000000"/>
            <w:sz w:val="32"/>
            <w:szCs w:val="32"/>
          </w:rPr>
          <w:fldChar w:fldCharType="separate"/>
        </w:r>
        <w:r w:rsidR="00A94828">
          <w:rPr>
            <w:rFonts w:ascii="黑体" w:eastAsia="黑体" w:hAnsi="黑体" w:cs="黑体"/>
            <w:noProof/>
            <w:color w:val="000000"/>
            <w:sz w:val="32"/>
            <w:szCs w:val="32"/>
          </w:rPr>
          <w:t>5</w:t>
        </w:r>
        <w:r>
          <w:rPr>
            <w:rFonts w:ascii="黑体" w:eastAsia="黑体" w:hAnsi="黑体" w:cs="黑体" w:hint="eastAsia"/>
            <w:noProof/>
            <w:color w:val="000000"/>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20687" w:history="1">
        <w:r w:rsidR="00CF5FE6">
          <w:rPr>
            <w:rFonts w:ascii="楷体" w:eastAsia="楷体" w:hAnsi="楷体" w:cs="楷体" w:hint="eastAsia"/>
            <w:noProof/>
            <w:sz w:val="32"/>
            <w:szCs w:val="32"/>
          </w:rPr>
          <w:t>（一）项目决策情况</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_Toc20687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5</w:t>
        </w:r>
        <w:r>
          <w:rPr>
            <w:rFonts w:ascii="楷体" w:eastAsia="楷体" w:hAnsi="楷体" w:cs="楷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25055" w:history="1">
        <w:r w:rsidR="00CF5FE6">
          <w:rPr>
            <w:rFonts w:ascii="楷体" w:eastAsia="楷体" w:hAnsi="楷体" w:cs="楷体" w:hint="eastAsia"/>
            <w:noProof/>
            <w:sz w:val="32"/>
            <w:szCs w:val="32"/>
          </w:rPr>
          <w:t>（二）项目过程情况</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_Toc25055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6</w:t>
        </w:r>
        <w:r>
          <w:rPr>
            <w:rFonts w:ascii="楷体" w:eastAsia="楷体" w:hAnsi="楷体" w:cs="楷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20662" w:history="1">
        <w:r w:rsidR="00CF5FE6">
          <w:rPr>
            <w:rFonts w:ascii="楷体" w:eastAsia="楷体" w:hAnsi="楷体" w:cs="楷体" w:hint="eastAsia"/>
            <w:noProof/>
            <w:sz w:val="32"/>
            <w:szCs w:val="32"/>
          </w:rPr>
          <w:t>（三）项目产出情况</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_Toc20662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6</w:t>
        </w:r>
        <w:r>
          <w:rPr>
            <w:rFonts w:ascii="楷体" w:eastAsia="楷体" w:hAnsi="楷体" w:cs="楷体" w:hint="eastAsia"/>
            <w:noProof/>
            <w:sz w:val="32"/>
            <w:szCs w:val="32"/>
          </w:rPr>
          <w:fldChar w:fldCharType="end"/>
        </w:r>
      </w:hyperlink>
    </w:p>
    <w:p w:rsidR="00D61430" w:rsidRDefault="00A22D90">
      <w:pPr>
        <w:pStyle w:val="2"/>
        <w:tabs>
          <w:tab w:val="right" w:leader="dot" w:pos="8844"/>
        </w:tabs>
        <w:adjustRightInd w:val="0"/>
        <w:snapToGrid w:val="0"/>
        <w:spacing w:line="360" w:lineRule="auto"/>
        <w:rPr>
          <w:rFonts w:ascii="楷体" w:eastAsia="楷体" w:hAnsi="楷体" w:cs="楷体"/>
          <w:noProof/>
          <w:sz w:val="32"/>
          <w:szCs w:val="32"/>
        </w:rPr>
      </w:pPr>
      <w:hyperlink w:anchor="_Toc30603" w:history="1">
        <w:r w:rsidR="00CF5FE6">
          <w:rPr>
            <w:rFonts w:ascii="楷体" w:eastAsia="楷体" w:hAnsi="楷体" w:cs="楷体" w:hint="eastAsia"/>
            <w:noProof/>
            <w:sz w:val="32"/>
            <w:szCs w:val="32"/>
          </w:rPr>
          <w:t>（四）项目效益情况</w:t>
        </w:r>
        <w:r w:rsidR="00CF5FE6">
          <w:rPr>
            <w:rFonts w:ascii="楷体" w:eastAsia="楷体" w:hAnsi="楷体" w:cs="楷体" w:hint="eastAsia"/>
            <w:noProof/>
            <w:sz w:val="32"/>
            <w:szCs w:val="32"/>
          </w:rPr>
          <w:tab/>
        </w:r>
        <w:r>
          <w:rPr>
            <w:rFonts w:ascii="楷体" w:eastAsia="楷体" w:hAnsi="楷体" w:cs="楷体" w:hint="eastAsia"/>
            <w:noProof/>
            <w:sz w:val="32"/>
            <w:szCs w:val="32"/>
          </w:rPr>
          <w:fldChar w:fldCharType="begin"/>
        </w:r>
        <w:r w:rsidR="00CF5FE6">
          <w:rPr>
            <w:rFonts w:ascii="楷体" w:eastAsia="楷体" w:hAnsi="楷体" w:cs="楷体" w:hint="eastAsia"/>
            <w:noProof/>
            <w:sz w:val="32"/>
            <w:szCs w:val="32"/>
          </w:rPr>
          <w:instrText xml:space="preserve"> PAGEREF _Toc30603 </w:instrText>
        </w:r>
        <w:r>
          <w:rPr>
            <w:rFonts w:ascii="楷体" w:eastAsia="楷体" w:hAnsi="楷体" w:cs="楷体" w:hint="eastAsia"/>
            <w:noProof/>
            <w:sz w:val="32"/>
            <w:szCs w:val="32"/>
          </w:rPr>
          <w:fldChar w:fldCharType="separate"/>
        </w:r>
        <w:r w:rsidR="00A94828">
          <w:rPr>
            <w:rFonts w:ascii="楷体" w:eastAsia="楷体" w:hAnsi="楷体" w:cs="楷体"/>
            <w:noProof/>
            <w:sz w:val="32"/>
            <w:szCs w:val="32"/>
          </w:rPr>
          <w:t>6</w:t>
        </w:r>
        <w:r>
          <w:rPr>
            <w:rFonts w:ascii="楷体" w:eastAsia="楷体" w:hAnsi="楷体" w:cs="楷体" w:hint="eastAsia"/>
            <w:noProof/>
            <w:sz w:val="32"/>
            <w:szCs w:val="32"/>
          </w:rPr>
          <w:fldChar w:fldCharType="end"/>
        </w:r>
      </w:hyperlink>
    </w:p>
    <w:p w:rsidR="00D61430" w:rsidRDefault="00A22D90">
      <w:pPr>
        <w:pStyle w:val="1"/>
        <w:tabs>
          <w:tab w:val="clear" w:pos="8296"/>
          <w:tab w:val="right" w:leader="dot" w:pos="8844"/>
        </w:tabs>
        <w:adjustRightInd w:val="0"/>
        <w:snapToGrid w:val="0"/>
        <w:spacing w:line="360" w:lineRule="auto"/>
        <w:rPr>
          <w:rFonts w:ascii="黑体" w:eastAsia="黑体" w:hAnsi="黑体" w:cs="黑体"/>
          <w:noProof/>
          <w:sz w:val="32"/>
          <w:szCs w:val="32"/>
        </w:rPr>
      </w:pPr>
      <w:hyperlink w:anchor="_Toc23729" w:history="1">
        <w:r w:rsidR="00CF5FE6">
          <w:rPr>
            <w:rFonts w:ascii="黑体" w:eastAsia="黑体" w:hAnsi="黑体" w:cs="黑体" w:hint="eastAsia"/>
            <w:noProof/>
            <w:sz w:val="32"/>
            <w:szCs w:val="32"/>
          </w:rPr>
          <w:t>五、主要经验及做法</w:t>
        </w:r>
        <w:r w:rsidR="00CF5FE6">
          <w:rPr>
            <w:rFonts w:ascii="黑体" w:eastAsia="黑体" w:hAnsi="黑体" w:cs="黑体" w:hint="eastAsia"/>
            <w:noProof/>
            <w:sz w:val="32"/>
            <w:szCs w:val="32"/>
          </w:rPr>
          <w:tab/>
        </w:r>
        <w:r>
          <w:rPr>
            <w:rFonts w:ascii="黑体" w:eastAsia="黑体" w:hAnsi="黑体" w:cs="黑体" w:hint="eastAsia"/>
            <w:noProof/>
            <w:sz w:val="32"/>
            <w:szCs w:val="32"/>
          </w:rPr>
          <w:fldChar w:fldCharType="begin"/>
        </w:r>
        <w:r w:rsidR="00CF5FE6">
          <w:rPr>
            <w:rFonts w:ascii="黑体" w:eastAsia="黑体" w:hAnsi="黑体" w:cs="黑体" w:hint="eastAsia"/>
            <w:noProof/>
            <w:sz w:val="32"/>
            <w:szCs w:val="32"/>
          </w:rPr>
          <w:instrText xml:space="preserve"> PAGEREF _Toc23729 </w:instrText>
        </w:r>
        <w:r>
          <w:rPr>
            <w:rFonts w:ascii="黑体" w:eastAsia="黑体" w:hAnsi="黑体" w:cs="黑体" w:hint="eastAsia"/>
            <w:noProof/>
            <w:sz w:val="32"/>
            <w:szCs w:val="32"/>
          </w:rPr>
          <w:fldChar w:fldCharType="separate"/>
        </w:r>
        <w:r w:rsidR="00A94828">
          <w:rPr>
            <w:rFonts w:ascii="黑体" w:eastAsia="黑体" w:hAnsi="黑体" w:cs="黑体"/>
            <w:noProof/>
            <w:sz w:val="32"/>
            <w:szCs w:val="32"/>
          </w:rPr>
          <w:t>6</w:t>
        </w:r>
        <w:r>
          <w:rPr>
            <w:rFonts w:ascii="黑体" w:eastAsia="黑体" w:hAnsi="黑体" w:cs="黑体" w:hint="eastAsia"/>
            <w:noProof/>
            <w:sz w:val="32"/>
            <w:szCs w:val="32"/>
          </w:rPr>
          <w:fldChar w:fldCharType="end"/>
        </w:r>
      </w:hyperlink>
    </w:p>
    <w:p w:rsidR="00D61430" w:rsidRDefault="00A22D90">
      <w:pPr>
        <w:pStyle w:val="1"/>
        <w:tabs>
          <w:tab w:val="clear" w:pos="8296"/>
          <w:tab w:val="right" w:leader="dot" w:pos="8844"/>
        </w:tabs>
        <w:adjustRightInd w:val="0"/>
        <w:snapToGrid w:val="0"/>
        <w:spacing w:line="360" w:lineRule="auto"/>
        <w:rPr>
          <w:rFonts w:ascii="黑体" w:eastAsia="黑体" w:hAnsi="黑体" w:cs="黑体"/>
          <w:noProof/>
          <w:sz w:val="32"/>
          <w:szCs w:val="32"/>
        </w:rPr>
      </w:pPr>
      <w:hyperlink w:anchor="_Toc17729" w:history="1">
        <w:r w:rsidR="00CF5FE6">
          <w:rPr>
            <w:rFonts w:ascii="黑体" w:eastAsia="黑体" w:hAnsi="黑体" w:cs="黑体" w:hint="eastAsia"/>
            <w:bCs/>
            <w:noProof/>
            <w:sz w:val="32"/>
            <w:szCs w:val="32"/>
          </w:rPr>
          <w:t>六、存在的问题</w:t>
        </w:r>
        <w:r w:rsidR="00CF5FE6">
          <w:rPr>
            <w:rFonts w:ascii="黑体" w:eastAsia="黑体" w:hAnsi="黑体" w:cs="黑体" w:hint="eastAsia"/>
            <w:noProof/>
            <w:sz w:val="32"/>
            <w:szCs w:val="32"/>
          </w:rPr>
          <w:tab/>
        </w:r>
        <w:r>
          <w:rPr>
            <w:rFonts w:ascii="黑体" w:eastAsia="黑体" w:hAnsi="黑体" w:cs="黑体" w:hint="eastAsia"/>
            <w:noProof/>
            <w:sz w:val="32"/>
            <w:szCs w:val="32"/>
          </w:rPr>
          <w:fldChar w:fldCharType="begin"/>
        </w:r>
        <w:r w:rsidR="00CF5FE6">
          <w:rPr>
            <w:rFonts w:ascii="黑体" w:eastAsia="黑体" w:hAnsi="黑体" w:cs="黑体" w:hint="eastAsia"/>
            <w:noProof/>
            <w:sz w:val="32"/>
            <w:szCs w:val="32"/>
          </w:rPr>
          <w:instrText xml:space="preserve"> PAGEREF _Toc17729 </w:instrText>
        </w:r>
        <w:r>
          <w:rPr>
            <w:rFonts w:ascii="黑体" w:eastAsia="黑体" w:hAnsi="黑体" w:cs="黑体" w:hint="eastAsia"/>
            <w:noProof/>
            <w:sz w:val="32"/>
            <w:szCs w:val="32"/>
          </w:rPr>
          <w:fldChar w:fldCharType="separate"/>
        </w:r>
        <w:r w:rsidR="00A94828">
          <w:rPr>
            <w:rFonts w:ascii="黑体" w:eastAsia="黑体" w:hAnsi="黑体" w:cs="黑体"/>
            <w:noProof/>
            <w:sz w:val="32"/>
            <w:szCs w:val="32"/>
          </w:rPr>
          <w:t>9</w:t>
        </w:r>
        <w:r>
          <w:rPr>
            <w:rFonts w:ascii="黑体" w:eastAsia="黑体" w:hAnsi="黑体" w:cs="黑体" w:hint="eastAsia"/>
            <w:noProof/>
            <w:sz w:val="32"/>
            <w:szCs w:val="32"/>
          </w:rPr>
          <w:fldChar w:fldCharType="end"/>
        </w:r>
      </w:hyperlink>
    </w:p>
    <w:p w:rsidR="00D61430" w:rsidRDefault="00A22D90">
      <w:pPr>
        <w:pStyle w:val="1"/>
        <w:tabs>
          <w:tab w:val="clear" w:pos="8296"/>
          <w:tab w:val="right" w:leader="dot" w:pos="8844"/>
        </w:tabs>
        <w:adjustRightInd w:val="0"/>
        <w:snapToGrid w:val="0"/>
        <w:spacing w:line="360" w:lineRule="auto"/>
        <w:rPr>
          <w:rFonts w:ascii="黑体" w:eastAsia="黑体" w:hAnsi="黑体" w:cs="黑体"/>
          <w:noProof/>
          <w:sz w:val="32"/>
          <w:szCs w:val="32"/>
        </w:rPr>
      </w:pPr>
      <w:hyperlink w:anchor="_Toc5305" w:history="1">
        <w:r w:rsidR="00CF5FE6">
          <w:rPr>
            <w:rFonts w:ascii="黑体" w:eastAsia="黑体" w:hAnsi="黑体" w:cs="黑体" w:hint="eastAsia"/>
            <w:bCs/>
            <w:noProof/>
            <w:sz w:val="32"/>
            <w:szCs w:val="32"/>
          </w:rPr>
          <w:t>七、相关建议</w:t>
        </w:r>
        <w:r w:rsidR="00CF5FE6">
          <w:rPr>
            <w:rFonts w:ascii="黑体" w:eastAsia="黑体" w:hAnsi="黑体" w:cs="黑体" w:hint="eastAsia"/>
            <w:noProof/>
            <w:sz w:val="32"/>
            <w:szCs w:val="32"/>
          </w:rPr>
          <w:tab/>
        </w:r>
        <w:r>
          <w:rPr>
            <w:rFonts w:ascii="黑体" w:eastAsia="黑体" w:hAnsi="黑体" w:cs="黑体" w:hint="eastAsia"/>
            <w:noProof/>
            <w:sz w:val="32"/>
            <w:szCs w:val="32"/>
          </w:rPr>
          <w:fldChar w:fldCharType="begin"/>
        </w:r>
        <w:r w:rsidR="00CF5FE6">
          <w:rPr>
            <w:rFonts w:ascii="黑体" w:eastAsia="黑体" w:hAnsi="黑体" w:cs="黑体" w:hint="eastAsia"/>
            <w:noProof/>
            <w:sz w:val="32"/>
            <w:szCs w:val="32"/>
          </w:rPr>
          <w:instrText xml:space="preserve"> PAGEREF _Toc5305 </w:instrText>
        </w:r>
        <w:r>
          <w:rPr>
            <w:rFonts w:ascii="黑体" w:eastAsia="黑体" w:hAnsi="黑体" w:cs="黑体" w:hint="eastAsia"/>
            <w:noProof/>
            <w:sz w:val="32"/>
            <w:szCs w:val="32"/>
          </w:rPr>
          <w:fldChar w:fldCharType="separate"/>
        </w:r>
        <w:r w:rsidR="00A94828">
          <w:rPr>
            <w:rFonts w:ascii="黑体" w:eastAsia="黑体" w:hAnsi="黑体" w:cs="黑体"/>
            <w:noProof/>
            <w:sz w:val="32"/>
            <w:szCs w:val="32"/>
          </w:rPr>
          <w:t>9</w:t>
        </w:r>
        <w:r>
          <w:rPr>
            <w:rFonts w:ascii="黑体" w:eastAsia="黑体" w:hAnsi="黑体" w:cs="黑体" w:hint="eastAsia"/>
            <w:noProof/>
            <w:sz w:val="32"/>
            <w:szCs w:val="32"/>
          </w:rPr>
          <w:fldChar w:fldCharType="end"/>
        </w:r>
      </w:hyperlink>
    </w:p>
    <w:p w:rsidR="00D61430" w:rsidRDefault="00A22D90">
      <w:pPr>
        <w:spacing w:line="600" w:lineRule="exact"/>
        <w:rPr>
          <w:rFonts w:ascii="黑体" w:eastAsia="黑体" w:hAnsi="黑体" w:cs="黑体"/>
          <w:b/>
          <w:color w:val="000000"/>
          <w:sz w:val="32"/>
          <w:szCs w:val="32"/>
        </w:rPr>
      </w:pPr>
      <w:r>
        <w:rPr>
          <w:rFonts w:ascii="黑体" w:eastAsia="黑体" w:hAnsi="黑体" w:hint="eastAsia"/>
          <w:color w:val="000000"/>
          <w:sz w:val="32"/>
          <w:szCs w:val="32"/>
        </w:rPr>
        <w:fldChar w:fldCharType="end"/>
      </w:r>
    </w:p>
    <w:p w:rsidR="00D61430" w:rsidRDefault="00D61430">
      <w:pPr>
        <w:adjustRightInd w:val="0"/>
        <w:snapToGrid w:val="0"/>
        <w:spacing w:line="360" w:lineRule="auto"/>
        <w:ind w:firstLineChars="200" w:firstLine="640"/>
        <w:rPr>
          <w:rFonts w:ascii="黑体" w:eastAsia="黑体" w:hAnsi="黑体"/>
          <w:color w:val="000000"/>
          <w:sz w:val="32"/>
          <w:szCs w:val="32"/>
        </w:rPr>
      </w:pPr>
    </w:p>
    <w:p w:rsidR="00D61430" w:rsidRDefault="00D61430">
      <w:pPr>
        <w:pStyle w:val="1"/>
        <w:rPr>
          <w:rFonts w:ascii="黑体" w:eastAsia="黑体" w:hAnsi="黑体"/>
          <w:color w:val="000000"/>
          <w:sz w:val="32"/>
          <w:szCs w:val="32"/>
        </w:rPr>
      </w:pPr>
    </w:p>
    <w:p w:rsidR="00D61430" w:rsidRDefault="00D61430">
      <w:pPr>
        <w:spacing w:line="560" w:lineRule="exact"/>
        <w:jc w:val="center"/>
        <w:rPr>
          <w:rFonts w:ascii="方正小标宋_GBK" w:eastAsia="方正小标宋_GBK" w:hAnsi="宋体"/>
          <w:bCs/>
          <w:color w:val="000000"/>
          <w:sz w:val="44"/>
          <w:szCs w:val="44"/>
        </w:rPr>
        <w:sectPr w:rsidR="00D61430">
          <w:footerReference w:type="default" r:id="rId11"/>
          <w:pgSz w:w="11906" w:h="16838"/>
          <w:pgMar w:top="2098" w:right="1474" w:bottom="1985" w:left="1588" w:header="851" w:footer="992" w:gutter="0"/>
          <w:cols w:space="720"/>
          <w:docGrid w:type="lines" w:linePitch="312"/>
        </w:sectPr>
      </w:pPr>
    </w:p>
    <w:p w:rsidR="00D61430" w:rsidRDefault="00CF5FE6">
      <w:pPr>
        <w:spacing w:line="560" w:lineRule="exact"/>
        <w:jc w:val="center"/>
        <w:rPr>
          <w:rFonts w:ascii="方正小标宋_GBK" w:eastAsia="方正小标宋_GBK" w:hAnsi="宋体"/>
          <w:snapToGrid w:val="0"/>
          <w:color w:val="000000"/>
          <w:sz w:val="44"/>
          <w:szCs w:val="44"/>
        </w:rPr>
      </w:pPr>
      <w:r>
        <w:rPr>
          <w:rFonts w:ascii="方正小标宋_GBK" w:eastAsia="方正小标宋_GBK" w:hAnsi="宋体" w:hint="eastAsia"/>
          <w:bCs/>
          <w:color w:val="000000"/>
          <w:sz w:val="44"/>
          <w:szCs w:val="44"/>
        </w:rPr>
        <w:lastRenderedPageBreak/>
        <w:t>2020年度</w:t>
      </w:r>
      <w:r>
        <w:rPr>
          <w:rFonts w:ascii="方正小标宋_GBK" w:eastAsia="方正小标宋_GBK" w:hAnsi="Calibri" w:cs="文星简黑体" w:hint="eastAsia"/>
          <w:sz w:val="44"/>
          <w:szCs w:val="44"/>
        </w:rPr>
        <w:t>青岛市</w:t>
      </w:r>
      <w:r>
        <w:rPr>
          <w:rFonts w:ascii="方正小标宋_GBK" w:eastAsia="方正小标宋_GBK" w:hAnsi="宋体" w:hint="eastAsia"/>
          <w:snapToGrid w:val="0"/>
          <w:color w:val="000000"/>
          <w:sz w:val="44"/>
          <w:szCs w:val="44"/>
        </w:rPr>
        <w:t>扶贫协作专项经费</w:t>
      </w:r>
    </w:p>
    <w:p w:rsidR="00D61430" w:rsidRDefault="00CF5FE6">
      <w:pPr>
        <w:spacing w:line="560" w:lineRule="exact"/>
        <w:jc w:val="center"/>
        <w:rPr>
          <w:rFonts w:ascii="方正小标宋_GBK" w:eastAsia="方正小标宋_GBK" w:hAnsi="宋体"/>
          <w:bCs/>
          <w:color w:val="000000"/>
          <w:sz w:val="44"/>
          <w:szCs w:val="44"/>
        </w:rPr>
      </w:pPr>
      <w:r>
        <w:rPr>
          <w:rFonts w:ascii="方正小标宋_GBK" w:eastAsia="方正小标宋_GBK" w:hAnsi="宋体" w:hint="eastAsia"/>
          <w:snapToGrid w:val="0"/>
          <w:color w:val="000000"/>
          <w:sz w:val="44"/>
          <w:szCs w:val="44"/>
        </w:rPr>
        <w:t>绩效评价报告</w:t>
      </w:r>
    </w:p>
    <w:p w:rsidR="00D61430" w:rsidRDefault="00CF5FE6">
      <w:pPr>
        <w:spacing w:line="560" w:lineRule="exact"/>
        <w:ind w:firstLineChars="200" w:firstLine="640"/>
        <w:outlineLvl w:val="0"/>
        <w:rPr>
          <w:rFonts w:ascii="黑体" w:eastAsia="黑体" w:hAnsi="黑体"/>
          <w:color w:val="000000"/>
          <w:sz w:val="32"/>
          <w:szCs w:val="32"/>
        </w:rPr>
      </w:pPr>
      <w:bookmarkStart w:id="1" w:name="_Toc2833"/>
      <w:r>
        <w:rPr>
          <w:rFonts w:ascii="黑体" w:eastAsia="黑体" w:hAnsi="黑体" w:hint="eastAsia"/>
          <w:color w:val="000000"/>
          <w:sz w:val="32"/>
          <w:szCs w:val="32"/>
        </w:rPr>
        <w:t>一、基本情况</w:t>
      </w:r>
      <w:bookmarkEnd w:id="1"/>
    </w:p>
    <w:p w:rsidR="00D61430" w:rsidRDefault="00CF5FE6">
      <w:pPr>
        <w:adjustRightInd w:val="0"/>
        <w:snapToGrid w:val="0"/>
        <w:spacing w:line="560" w:lineRule="exact"/>
        <w:ind w:firstLineChars="150" w:firstLine="480"/>
        <w:outlineLvl w:val="1"/>
        <w:rPr>
          <w:rFonts w:ascii="楷体_GB2312" w:eastAsia="楷体_GB2312" w:hAnsi="黑体"/>
          <w:color w:val="000000"/>
          <w:sz w:val="32"/>
          <w:szCs w:val="32"/>
        </w:rPr>
      </w:pPr>
      <w:bookmarkStart w:id="2" w:name="_Toc16436"/>
      <w:r>
        <w:rPr>
          <w:rFonts w:ascii="楷体_GB2312" w:eastAsia="楷体_GB2312" w:hAnsi="楷体" w:hint="eastAsia"/>
          <w:color w:val="000000"/>
          <w:sz w:val="32"/>
          <w:szCs w:val="32"/>
        </w:rPr>
        <w:t>（一）项目概况</w:t>
      </w:r>
      <w:bookmarkEnd w:id="2"/>
    </w:p>
    <w:p w:rsidR="00D61430" w:rsidRDefault="00CF5FE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贯彻落实扶贫协作部署要求，研究拟订精准扶贫、精准脱贫、扶贫协作、对口支援工作规划、政策并组织实施；整合扶贫协作资源，协调组织扶贫协作工作；统筹管理扶贫协作和对口支援资金，拟订资金分配方案，协调安排资金项目，指导和监督资金使用；负责贫困对象信息采集、建档立卡、信息发布和扶贫协作信息库的规划建设、运行维护，搭建信息服务平台，开展统计分析和动态管理；承担有关扶贫开发协作培训工作，组织开展宣传；督促检查和组织考察扶贫协作工作责任制落实情况；承担市对口支援和扶贫协作工作领导小组日常工作。</w:t>
      </w:r>
    </w:p>
    <w:p w:rsidR="00D61430" w:rsidRDefault="00CF5FE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2020年度青岛市扶贫协作工作经费专项支出预算367万元；追加看望援藏工作经费50万元，追加“消费扶贫农特产品展销会”经费120万元；合计537万元。</w:t>
      </w:r>
    </w:p>
    <w:p w:rsidR="00D61430" w:rsidRDefault="00CF5FE6">
      <w:pPr>
        <w:numPr>
          <w:ilvl w:val="0"/>
          <w:numId w:val="1"/>
        </w:numPr>
        <w:adjustRightInd w:val="0"/>
        <w:snapToGrid w:val="0"/>
        <w:spacing w:line="560" w:lineRule="exact"/>
        <w:ind w:firstLineChars="150" w:firstLine="480"/>
        <w:outlineLvl w:val="1"/>
        <w:rPr>
          <w:rFonts w:ascii="黑体" w:eastAsia="黑体" w:hAnsi="黑体"/>
          <w:sz w:val="32"/>
          <w:szCs w:val="32"/>
        </w:rPr>
      </w:pPr>
      <w:bookmarkStart w:id="3" w:name="_Toc16306"/>
      <w:r>
        <w:rPr>
          <w:rFonts w:ascii="楷体_GB2312" w:eastAsia="楷体_GB2312" w:hAnsi="楷体" w:hint="eastAsia"/>
          <w:color w:val="000000"/>
          <w:sz w:val="32"/>
          <w:szCs w:val="32"/>
        </w:rPr>
        <w:t>项目绩效目标</w:t>
      </w:r>
      <w:bookmarkEnd w:id="3"/>
    </w:p>
    <w:p w:rsidR="00D61430" w:rsidRDefault="00CF5FE6">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保障</w:t>
      </w:r>
      <w:r>
        <w:rPr>
          <w:rFonts w:ascii="仿宋" w:eastAsia="仿宋" w:hAnsi="仿宋" w:hint="eastAsia"/>
          <w:sz w:val="32"/>
          <w:szCs w:val="32"/>
        </w:rPr>
        <w:t>青岛市扶贫协作工作正常开展</w:t>
      </w:r>
      <w:r>
        <w:rPr>
          <w:rFonts w:ascii="仿宋_GB2312" w:eastAsia="仿宋_GB2312" w:hAnsi="仿宋" w:hint="eastAsia"/>
          <w:color w:val="000000"/>
          <w:sz w:val="32"/>
          <w:szCs w:val="32"/>
        </w:rPr>
        <w:t>，充分发挥</w:t>
      </w:r>
      <w:r>
        <w:rPr>
          <w:rFonts w:ascii="仿宋" w:eastAsia="仿宋" w:hAnsi="仿宋" w:hint="eastAsia"/>
          <w:sz w:val="32"/>
          <w:szCs w:val="32"/>
        </w:rPr>
        <w:t>青岛市扶贫协作工作</w:t>
      </w:r>
      <w:r>
        <w:rPr>
          <w:rFonts w:ascii="仿宋_GB2312" w:eastAsia="仿宋_GB2312" w:hAnsi="仿宋" w:hint="eastAsia"/>
          <w:color w:val="000000"/>
          <w:sz w:val="32"/>
          <w:szCs w:val="32"/>
        </w:rPr>
        <w:t>的助推作用、桥梁纽带作用和督促协调作用,持续推进我市</w:t>
      </w:r>
      <w:r>
        <w:rPr>
          <w:rFonts w:ascii="仿宋" w:eastAsia="仿宋" w:hAnsi="仿宋" w:hint="eastAsia"/>
          <w:sz w:val="32"/>
          <w:szCs w:val="32"/>
        </w:rPr>
        <w:t>脱贫攻坚和东西部扶贫协作工作</w:t>
      </w:r>
      <w:r>
        <w:rPr>
          <w:rFonts w:ascii="仿宋_GB2312" w:eastAsia="仿宋_GB2312" w:hAnsi="仿宋" w:hint="eastAsia"/>
          <w:color w:val="000000"/>
          <w:sz w:val="32"/>
          <w:szCs w:val="32"/>
        </w:rPr>
        <w:t>发展。</w:t>
      </w:r>
    </w:p>
    <w:p w:rsidR="00D61430" w:rsidRDefault="00CF5FE6">
      <w:pPr>
        <w:adjustRightInd w:val="0"/>
        <w:snapToGrid w:val="0"/>
        <w:spacing w:line="560" w:lineRule="exact"/>
        <w:ind w:firstLineChars="200" w:firstLine="640"/>
        <w:outlineLvl w:val="0"/>
        <w:rPr>
          <w:rFonts w:ascii="黑体" w:eastAsia="黑体" w:hAnsi="黑体"/>
          <w:color w:val="000000"/>
          <w:sz w:val="32"/>
          <w:szCs w:val="32"/>
        </w:rPr>
      </w:pPr>
      <w:bookmarkStart w:id="4" w:name="_Toc14514"/>
      <w:r>
        <w:rPr>
          <w:rFonts w:ascii="黑体" w:eastAsia="黑体" w:hAnsi="黑体" w:hint="eastAsia"/>
          <w:color w:val="000000"/>
          <w:sz w:val="32"/>
          <w:szCs w:val="32"/>
        </w:rPr>
        <w:t>二、绩效评价工作开展情况</w:t>
      </w:r>
      <w:bookmarkEnd w:id="4"/>
    </w:p>
    <w:p w:rsidR="00D61430" w:rsidRDefault="00CF5FE6">
      <w:pPr>
        <w:adjustRightInd w:val="0"/>
        <w:snapToGrid w:val="0"/>
        <w:spacing w:line="560" w:lineRule="exact"/>
        <w:ind w:firstLineChars="150" w:firstLine="480"/>
        <w:outlineLvl w:val="1"/>
        <w:rPr>
          <w:rFonts w:ascii="楷体_GB2312" w:eastAsia="楷体_GB2312" w:hAnsi="楷体"/>
          <w:color w:val="000000"/>
          <w:sz w:val="32"/>
          <w:szCs w:val="32"/>
        </w:rPr>
      </w:pPr>
      <w:bookmarkStart w:id="5" w:name="_Toc10932"/>
      <w:r>
        <w:rPr>
          <w:rFonts w:ascii="楷体_GB2312" w:eastAsia="楷体_GB2312" w:hAnsi="楷体" w:hint="eastAsia"/>
          <w:color w:val="000000"/>
          <w:sz w:val="32"/>
          <w:szCs w:val="32"/>
        </w:rPr>
        <w:t>（一）绩效评价目的、对象和范围</w:t>
      </w:r>
      <w:bookmarkEnd w:id="5"/>
    </w:p>
    <w:p w:rsidR="00D61430" w:rsidRDefault="00CF5FE6">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本次绩效评价的目的主要是对2020年度青岛市扶贫协作工作经费专项支出的资金拨付使用情况以及取得的工作成效进行评价，认真总结经验，及时发现并分析存在的问题，提出改进意见与建议，从而提高资金使用效率和效益，最终达到</w:t>
      </w:r>
      <w:r w:rsidR="007D23D2">
        <w:rPr>
          <w:rFonts w:ascii="仿宋_GB2312" w:eastAsia="仿宋_GB2312" w:hAnsi="仿宋" w:hint="eastAsia"/>
          <w:color w:val="000000"/>
          <w:sz w:val="32"/>
          <w:szCs w:val="32"/>
        </w:rPr>
        <w:t>巩固拓展脱贫攻坚成果同乡村振兴</w:t>
      </w:r>
      <w:r w:rsidR="0060272F">
        <w:rPr>
          <w:rFonts w:ascii="仿宋_GB2312" w:eastAsia="仿宋_GB2312" w:hAnsi="仿宋" w:hint="eastAsia"/>
          <w:color w:val="000000"/>
          <w:sz w:val="32"/>
          <w:szCs w:val="32"/>
        </w:rPr>
        <w:t>有效</w:t>
      </w:r>
      <w:r w:rsidR="007D23D2">
        <w:rPr>
          <w:rFonts w:ascii="仿宋_GB2312" w:eastAsia="仿宋_GB2312" w:hAnsi="仿宋" w:hint="eastAsia"/>
          <w:color w:val="000000"/>
          <w:sz w:val="32"/>
          <w:szCs w:val="32"/>
        </w:rPr>
        <w:t>衔接</w:t>
      </w:r>
      <w:r w:rsidR="00D23845">
        <w:rPr>
          <w:rFonts w:ascii="仿宋_GB2312" w:eastAsia="仿宋_GB2312" w:hAnsi="仿宋" w:hint="eastAsia"/>
          <w:color w:val="000000"/>
          <w:sz w:val="32"/>
          <w:szCs w:val="32"/>
        </w:rPr>
        <w:t>的</w:t>
      </w:r>
      <w:r>
        <w:rPr>
          <w:rFonts w:ascii="仿宋_GB2312" w:eastAsia="仿宋_GB2312" w:hAnsi="仿宋" w:hint="eastAsia"/>
          <w:color w:val="000000"/>
          <w:sz w:val="32"/>
          <w:szCs w:val="32"/>
        </w:rPr>
        <w:t>目标。</w:t>
      </w:r>
    </w:p>
    <w:p w:rsidR="00D61430" w:rsidRDefault="00CF5FE6">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评价对象和范围为</w:t>
      </w:r>
      <w:r>
        <w:rPr>
          <w:rFonts w:ascii="仿宋" w:eastAsia="仿宋" w:hAnsi="仿宋" w:hint="eastAsia"/>
          <w:sz w:val="32"/>
          <w:szCs w:val="32"/>
        </w:rPr>
        <w:t>2020年度青岛市扶贫协作工作</w:t>
      </w:r>
      <w:r>
        <w:rPr>
          <w:rFonts w:ascii="仿宋_GB2312" w:eastAsia="仿宋_GB2312" w:hAnsi="仿宋" w:hint="eastAsia"/>
          <w:color w:val="000000"/>
          <w:sz w:val="32"/>
          <w:szCs w:val="32"/>
        </w:rPr>
        <w:t>专项</w:t>
      </w:r>
      <w:r>
        <w:rPr>
          <w:rFonts w:ascii="仿宋" w:eastAsia="仿宋" w:hAnsi="仿宋" w:hint="eastAsia"/>
          <w:sz w:val="32"/>
          <w:szCs w:val="32"/>
        </w:rPr>
        <w:t>经费</w:t>
      </w:r>
      <w:r>
        <w:rPr>
          <w:rFonts w:ascii="仿宋_GB2312" w:eastAsia="仿宋_GB2312" w:hAnsi="仿宋" w:hint="eastAsia"/>
          <w:color w:val="000000"/>
          <w:sz w:val="32"/>
          <w:szCs w:val="32"/>
        </w:rPr>
        <w:t>支出。</w:t>
      </w:r>
    </w:p>
    <w:p w:rsidR="00D61430" w:rsidRDefault="00CF5FE6">
      <w:pPr>
        <w:adjustRightInd w:val="0"/>
        <w:snapToGrid w:val="0"/>
        <w:spacing w:line="560" w:lineRule="exact"/>
        <w:ind w:firstLineChars="150" w:firstLine="480"/>
        <w:outlineLvl w:val="1"/>
        <w:rPr>
          <w:rFonts w:ascii="楷体_GB2312" w:eastAsia="楷体_GB2312" w:hAnsi="楷体"/>
          <w:color w:val="000000"/>
          <w:sz w:val="32"/>
          <w:szCs w:val="32"/>
        </w:rPr>
      </w:pPr>
      <w:bookmarkStart w:id="6" w:name="_Toc13147"/>
      <w:r>
        <w:rPr>
          <w:rFonts w:ascii="楷体_GB2312" w:eastAsia="楷体_GB2312" w:hAnsi="楷体" w:hint="eastAsia"/>
          <w:color w:val="000000"/>
          <w:sz w:val="32"/>
          <w:szCs w:val="32"/>
        </w:rPr>
        <w:t>（二）绩效评价原则、评价指标体系、评价方法</w:t>
      </w:r>
      <w:bookmarkEnd w:id="6"/>
    </w:p>
    <w:p w:rsidR="00D61430" w:rsidRDefault="00CF5FE6">
      <w:pPr>
        <w:adjustRightInd w:val="0"/>
        <w:snapToGrid w:val="0"/>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1.绩效评价原则</w:t>
      </w:r>
    </w:p>
    <w:p w:rsidR="00D61430" w:rsidRDefault="00CF5FE6">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按照统一标准、分类管理、客观公正、科学规范、实事求是为原则开展绩效评价。</w:t>
      </w:r>
    </w:p>
    <w:p w:rsidR="00D61430" w:rsidRDefault="00CF5FE6">
      <w:pPr>
        <w:adjustRightInd w:val="0"/>
        <w:snapToGrid w:val="0"/>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2.评价指标体系</w:t>
      </w:r>
    </w:p>
    <w:p w:rsidR="00D61430" w:rsidRDefault="00CF5FE6">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根据《市级项目支出部门绩效评价操作规程》（</w:t>
      </w:r>
      <w:proofErr w:type="gramStart"/>
      <w:r>
        <w:rPr>
          <w:rFonts w:ascii="仿宋_GB2312" w:eastAsia="仿宋_GB2312" w:hAnsi="仿宋" w:hint="eastAsia"/>
          <w:color w:val="000000"/>
          <w:sz w:val="32"/>
          <w:szCs w:val="32"/>
        </w:rPr>
        <w:t>青财绩</w:t>
      </w:r>
      <w:proofErr w:type="gramEnd"/>
      <w:r>
        <w:rPr>
          <w:rFonts w:ascii="仿宋_GB2312" w:eastAsia="仿宋_GB2312" w:hAnsi="仿宋" w:hint="eastAsia"/>
          <w:color w:val="000000"/>
          <w:sz w:val="32"/>
          <w:szCs w:val="32"/>
        </w:rPr>
        <w:t>〔2020〕8号）要求，设计项目的绩效评价指标体系。</w:t>
      </w:r>
    </w:p>
    <w:p w:rsidR="00D61430" w:rsidRDefault="00CF5FE6">
      <w:pPr>
        <w:adjustRightInd w:val="0"/>
        <w:snapToGrid w:val="0"/>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3.评价方法</w:t>
      </w:r>
    </w:p>
    <w:p w:rsidR="00D61430" w:rsidRDefault="00CF5FE6">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采取现场访谈、查证佐证材料相结合的方法进行绩效评价，评价重点主要包括项目预算编制是否合理、项目的资金使用是否合</w:t>
      </w:r>
      <w:proofErr w:type="gramStart"/>
      <w:r>
        <w:rPr>
          <w:rFonts w:ascii="仿宋_GB2312" w:eastAsia="仿宋_GB2312" w:hAnsi="仿宋" w:hint="eastAsia"/>
          <w:color w:val="000000"/>
          <w:sz w:val="32"/>
          <w:szCs w:val="32"/>
        </w:rPr>
        <w:t>规</w:t>
      </w:r>
      <w:proofErr w:type="gramEnd"/>
      <w:r>
        <w:rPr>
          <w:rFonts w:ascii="仿宋_GB2312" w:eastAsia="仿宋_GB2312" w:hAnsi="仿宋" w:hint="eastAsia"/>
          <w:color w:val="000000"/>
          <w:sz w:val="32"/>
          <w:szCs w:val="32"/>
        </w:rPr>
        <w:t>、项目绩效目标是否达到等内容。</w:t>
      </w:r>
    </w:p>
    <w:p w:rsidR="00D61430" w:rsidRDefault="00CF5FE6">
      <w:pPr>
        <w:adjustRightInd w:val="0"/>
        <w:snapToGrid w:val="0"/>
        <w:spacing w:line="560" w:lineRule="exact"/>
        <w:ind w:firstLineChars="150" w:firstLine="480"/>
        <w:outlineLvl w:val="1"/>
        <w:rPr>
          <w:rFonts w:ascii="楷体_GB2312" w:eastAsia="楷体_GB2312" w:hAnsi="楷体"/>
          <w:color w:val="000000"/>
          <w:sz w:val="32"/>
          <w:szCs w:val="32"/>
        </w:rPr>
      </w:pPr>
      <w:bookmarkStart w:id="7" w:name="_Toc23637"/>
      <w:r>
        <w:rPr>
          <w:rFonts w:ascii="楷体_GB2312" w:eastAsia="楷体_GB2312" w:hAnsi="楷体" w:hint="eastAsia"/>
          <w:color w:val="000000"/>
          <w:sz w:val="32"/>
          <w:szCs w:val="32"/>
        </w:rPr>
        <w:t>（三）绩效评价工作过程</w:t>
      </w:r>
      <w:bookmarkEnd w:id="7"/>
    </w:p>
    <w:p w:rsidR="00D61430" w:rsidRDefault="00CF5FE6">
      <w:pPr>
        <w:adjustRightInd w:val="0"/>
        <w:snapToGrid w:val="0"/>
        <w:spacing w:line="560" w:lineRule="exact"/>
        <w:ind w:firstLineChars="200" w:firstLine="640"/>
        <w:rPr>
          <w:rFonts w:ascii="仿宋_GB2312" w:eastAsia="仿宋_GB2312"/>
          <w:sz w:val="32"/>
          <w:szCs w:val="32"/>
        </w:rPr>
      </w:pPr>
      <w:r>
        <w:rPr>
          <w:rFonts w:ascii="仿宋_GB2312" w:eastAsia="仿宋_GB2312" w:hAnsi="仿宋" w:hint="eastAsia"/>
          <w:color w:val="000000"/>
          <w:sz w:val="32"/>
          <w:szCs w:val="32"/>
        </w:rPr>
        <w:t>1.</w:t>
      </w:r>
      <w:r>
        <w:rPr>
          <w:rFonts w:ascii="仿宋_GB2312" w:eastAsia="仿宋_GB2312" w:hint="eastAsia"/>
          <w:sz w:val="32"/>
          <w:szCs w:val="32"/>
        </w:rPr>
        <w:t>评价准备阶段。</w:t>
      </w:r>
      <w:r>
        <w:rPr>
          <w:rFonts w:ascii="仿宋_GB2312" w:eastAsia="仿宋_GB2312" w:hAnsi="仿宋" w:hint="eastAsia"/>
          <w:color w:val="000000"/>
          <w:sz w:val="32"/>
          <w:szCs w:val="32"/>
        </w:rPr>
        <w:t>成立项目绩效评价小组，</w:t>
      </w:r>
      <w:r>
        <w:rPr>
          <w:rFonts w:ascii="仿宋_GB2312" w:eastAsia="仿宋_GB2312" w:hint="eastAsia"/>
          <w:sz w:val="32"/>
          <w:szCs w:val="32"/>
        </w:rPr>
        <w:t>结合项目相关资料，有针对性的制定《</w:t>
      </w:r>
      <w:r>
        <w:rPr>
          <w:rFonts w:ascii="仿宋" w:eastAsia="仿宋" w:hAnsi="仿宋" w:hint="eastAsia"/>
          <w:sz w:val="32"/>
          <w:szCs w:val="32"/>
        </w:rPr>
        <w:t>2020年度青岛市扶贫协作工作</w:t>
      </w:r>
      <w:r>
        <w:rPr>
          <w:rFonts w:ascii="仿宋_GB2312" w:eastAsia="仿宋_GB2312" w:hAnsi="仿宋" w:hint="eastAsia"/>
          <w:color w:val="000000"/>
          <w:sz w:val="32"/>
          <w:szCs w:val="32"/>
        </w:rPr>
        <w:t>专项资金支出</w:t>
      </w:r>
      <w:r>
        <w:rPr>
          <w:rFonts w:ascii="仿宋_GB2312" w:eastAsia="仿宋_GB2312" w:hint="eastAsia"/>
          <w:sz w:val="32"/>
          <w:szCs w:val="32"/>
        </w:rPr>
        <w:t>绩效评价工作方案》，明确评价思路、指标体系、评价方法</w:t>
      </w:r>
      <w:r>
        <w:rPr>
          <w:rFonts w:ascii="仿宋_GB2312" w:eastAsia="仿宋_GB2312" w:hint="eastAsia"/>
          <w:sz w:val="32"/>
          <w:szCs w:val="32"/>
        </w:rPr>
        <w:lastRenderedPageBreak/>
        <w:t>等内容。</w:t>
      </w:r>
    </w:p>
    <w:p w:rsidR="00D61430" w:rsidRDefault="00CF5FE6">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2.评价实施阶段。对财政资金预算编制及使用情况、项目组织实施情况等评价资料，采用现场调研、座谈和调查问卷等形式进行现场查验核实取证，按照绩效评价指标体系进行综合评定打分。</w:t>
      </w:r>
    </w:p>
    <w:p w:rsidR="00D61430" w:rsidRDefault="00CF5FE6">
      <w:pPr>
        <w:tabs>
          <w:tab w:val="left" w:pos="312"/>
        </w:tabs>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3.出具报告阶段。撰写绩效评价报告，按期出具绩效评价报告结论。</w:t>
      </w:r>
    </w:p>
    <w:p w:rsidR="00D61430" w:rsidRDefault="00CF5FE6">
      <w:pPr>
        <w:adjustRightInd w:val="0"/>
        <w:snapToGrid w:val="0"/>
        <w:spacing w:line="560" w:lineRule="exact"/>
        <w:ind w:firstLineChars="200" w:firstLine="640"/>
        <w:outlineLvl w:val="0"/>
        <w:rPr>
          <w:rFonts w:ascii="黑体" w:eastAsia="黑体" w:hAnsi="黑体"/>
          <w:color w:val="000000"/>
          <w:sz w:val="32"/>
          <w:szCs w:val="32"/>
        </w:rPr>
      </w:pPr>
      <w:bookmarkStart w:id="8" w:name="_Toc15305"/>
      <w:r>
        <w:rPr>
          <w:rFonts w:ascii="黑体" w:eastAsia="黑体" w:hAnsi="黑体" w:hint="eastAsia"/>
          <w:color w:val="000000"/>
          <w:sz w:val="32"/>
          <w:szCs w:val="32"/>
        </w:rPr>
        <w:t>三、综合评价情况及评价结论</w:t>
      </w:r>
      <w:bookmarkEnd w:id="8"/>
    </w:p>
    <w:p w:rsidR="00D61430" w:rsidRDefault="00CF5FE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根据</w:t>
      </w:r>
      <w:r>
        <w:rPr>
          <w:rFonts w:ascii="仿宋" w:eastAsia="仿宋" w:hAnsi="仿宋" w:hint="eastAsia"/>
          <w:sz w:val="32"/>
          <w:szCs w:val="32"/>
        </w:rPr>
        <w:t>2020年度青岛市扶贫协作工作经费</w:t>
      </w:r>
      <w:r>
        <w:rPr>
          <w:rFonts w:ascii="仿宋_GB2312" w:eastAsia="仿宋_GB2312" w:hAnsi="仿宋" w:hint="eastAsia"/>
          <w:color w:val="000000"/>
          <w:sz w:val="32"/>
          <w:szCs w:val="32"/>
        </w:rPr>
        <w:t>专项</w:t>
      </w:r>
      <w:r>
        <w:rPr>
          <w:rFonts w:ascii="仿宋_GB2312" w:eastAsia="仿宋_GB2312" w:hint="eastAsia"/>
          <w:sz w:val="32"/>
          <w:szCs w:val="32"/>
        </w:rPr>
        <w:t>支出绩效评价指标评分表，绩效评价工作组从决策、过程、产出、效益四个方面进行了评价打分和分析。该部门整体绩效评价得分为9</w:t>
      </w:r>
      <w:r w:rsidRPr="007F6B2F">
        <w:rPr>
          <w:rFonts w:ascii="仿宋_GB2312" w:eastAsia="仿宋_GB2312" w:hint="eastAsia"/>
          <w:sz w:val="32"/>
          <w:szCs w:val="32"/>
        </w:rPr>
        <w:t>9.44</w:t>
      </w:r>
      <w:r>
        <w:rPr>
          <w:rFonts w:ascii="仿宋_GB2312" w:eastAsia="仿宋_GB2312" w:hint="eastAsia"/>
          <w:sz w:val="32"/>
          <w:szCs w:val="32"/>
        </w:rPr>
        <w:t xml:space="preserve">分，等级为“优”。绩效得分整体情况如下： </w:t>
      </w:r>
    </w:p>
    <w:p w:rsidR="00D61430" w:rsidRDefault="00CF5FE6">
      <w:pPr>
        <w:spacing w:line="560" w:lineRule="exact"/>
        <w:ind w:firstLineChars="800" w:firstLine="2560"/>
        <w:rPr>
          <w:rFonts w:eastAsia="仿宋_GB2312"/>
          <w:b/>
          <w:color w:val="000000" w:themeColor="text1"/>
          <w:sz w:val="32"/>
          <w:szCs w:val="32"/>
        </w:rPr>
      </w:pPr>
      <w:r>
        <w:rPr>
          <w:rFonts w:ascii="黑体" w:eastAsia="黑体" w:hAnsi="黑体" w:cs="黑体" w:hint="eastAsia"/>
          <w:bCs/>
          <w:color w:val="000000" w:themeColor="text1"/>
          <w:sz w:val="32"/>
          <w:szCs w:val="32"/>
        </w:rPr>
        <w:t>绩效得分整体情况表</w:t>
      </w:r>
    </w:p>
    <w:tbl>
      <w:tblPr>
        <w:tblpPr w:leftFromText="180" w:rightFromText="180" w:vertAnchor="text" w:horzAnchor="page" w:tblpX="1974" w:tblpY="158"/>
        <w:tblOverlap w:val="never"/>
        <w:tblW w:w="8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9"/>
        <w:gridCol w:w="2049"/>
        <w:gridCol w:w="2050"/>
        <w:gridCol w:w="2050"/>
      </w:tblGrid>
      <w:tr w:rsidR="00D61430">
        <w:trPr>
          <w:trHeight w:val="470"/>
        </w:trPr>
        <w:tc>
          <w:tcPr>
            <w:tcW w:w="2049" w:type="dxa"/>
            <w:noWrap/>
            <w:vAlign w:val="center"/>
          </w:tcPr>
          <w:p w:rsidR="00D61430" w:rsidRDefault="00CF5FE6">
            <w:pPr>
              <w:spacing w:line="360" w:lineRule="auto"/>
              <w:jc w:val="center"/>
              <w:rPr>
                <w:rFonts w:eastAsia="仿宋_GB2312"/>
                <w:b/>
                <w:bCs/>
                <w:color w:val="000000" w:themeColor="text1"/>
                <w:sz w:val="24"/>
              </w:rPr>
            </w:pPr>
            <w:r>
              <w:rPr>
                <w:rFonts w:eastAsia="仿宋_GB2312"/>
                <w:b/>
                <w:bCs/>
                <w:color w:val="000000" w:themeColor="text1"/>
                <w:sz w:val="24"/>
              </w:rPr>
              <w:t>指标</w:t>
            </w:r>
          </w:p>
        </w:tc>
        <w:tc>
          <w:tcPr>
            <w:tcW w:w="2049" w:type="dxa"/>
            <w:noWrap/>
            <w:vAlign w:val="center"/>
          </w:tcPr>
          <w:p w:rsidR="00D61430" w:rsidRDefault="00CF5FE6">
            <w:pPr>
              <w:spacing w:line="360" w:lineRule="auto"/>
              <w:jc w:val="center"/>
              <w:rPr>
                <w:rFonts w:eastAsia="仿宋_GB2312"/>
                <w:b/>
                <w:bCs/>
                <w:color w:val="000000" w:themeColor="text1"/>
                <w:sz w:val="24"/>
              </w:rPr>
            </w:pPr>
            <w:r>
              <w:rPr>
                <w:rFonts w:eastAsia="仿宋_GB2312"/>
                <w:b/>
                <w:bCs/>
                <w:color w:val="000000" w:themeColor="text1"/>
                <w:sz w:val="24"/>
              </w:rPr>
              <w:t>标准分值</w:t>
            </w:r>
          </w:p>
        </w:tc>
        <w:tc>
          <w:tcPr>
            <w:tcW w:w="2050" w:type="dxa"/>
            <w:noWrap/>
            <w:vAlign w:val="center"/>
          </w:tcPr>
          <w:p w:rsidR="00D61430" w:rsidRDefault="00CF5FE6">
            <w:pPr>
              <w:spacing w:line="360" w:lineRule="auto"/>
              <w:jc w:val="center"/>
              <w:rPr>
                <w:rFonts w:eastAsia="仿宋_GB2312"/>
                <w:b/>
                <w:bCs/>
                <w:color w:val="000000" w:themeColor="text1"/>
                <w:sz w:val="24"/>
              </w:rPr>
            </w:pPr>
            <w:r>
              <w:rPr>
                <w:rFonts w:eastAsia="仿宋_GB2312"/>
                <w:b/>
                <w:bCs/>
                <w:color w:val="000000" w:themeColor="text1"/>
                <w:sz w:val="24"/>
              </w:rPr>
              <w:t>实际得分</w:t>
            </w:r>
          </w:p>
        </w:tc>
        <w:tc>
          <w:tcPr>
            <w:tcW w:w="2050" w:type="dxa"/>
            <w:noWrap/>
            <w:vAlign w:val="center"/>
          </w:tcPr>
          <w:p w:rsidR="00D61430" w:rsidRDefault="00CF5FE6">
            <w:pPr>
              <w:spacing w:line="360" w:lineRule="auto"/>
              <w:jc w:val="center"/>
              <w:rPr>
                <w:rFonts w:eastAsia="仿宋_GB2312"/>
                <w:b/>
                <w:bCs/>
                <w:color w:val="000000" w:themeColor="text1"/>
                <w:sz w:val="24"/>
              </w:rPr>
            </w:pPr>
            <w:r>
              <w:rPr>
                <w:rFonts w:eastAsia="仿宋_GB2312"/>
                <w:b/>
                <w:bCs/>
                <w:color w:val="000000" w:themeColor="text1"/>
                <w:sz w:val="24"/>
              </w:rPr>
              <w:t>得分率</w:t>
            </w:r>
          </w:p>
        </w:tc>
      </w:tr>
      <w:tr w:rsidR="00D61430">
        <w:trPr>
          <w:trHeight w:val="470"/>
        </w:trPr>
        <w:tc>
          <w:tcPr>
            <w:tcW w:w="2049" w:type="dxa"/>
            <w:noWrap/>
            <w:vAlign w:val="center"/>
          </w:tcPr>
          <w:p w:rsidR="00D61430" w:rsidRDefault="00CF5FE6">
            <w:pPr>
              <w:spacing w:line="360" w:lineRule="auto"/>
              <w:jc w:val="center"/>
              <w:rPr>
                <w:rFonts w:eastAsia="仿宋_GB2312"/>
                <w:b/>
                <w:color w:val="000000" w:themeColor="text1"/>
                <w:sz w:val="24"/>
              </w:rPr>
            </w:pPr>
            <w:r>
              <w:rPr>
                <w:rFonts w:eastAsia="仿宋_GB2312" w:hint="eastAsia"/>
                <w:b/>
                <w:color w:val="000000" w:themeColor="text1"/>
                <w:sz w:val="24"/>
              </w:rPr>
              <w:t>决策</w:t>
            </w:r>
          </w:p>
        </w:tc>
        <w:tc>
          <w:tcPr>
            <w:tcW w:w="2049"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20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20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100</w:t>
            </w:r>
            <w:r>
              <w:rPr>
                <w:rFonts w:eastAsia="仿宋_GB2312"/>
                <w:color w:val="000000" w:themeColor="text1"/>
                <w:sz w:val="24"/>
              </w:rPr>
              <w:t>%</w:t>
            </w:r>
          </w:p>
        </w:tc>
      </w:tr>
      <w:tr w:rsidR="00D61430">
        <w:trPr>
          <w:trHeight w:val="470"/>
        </w:trPr>
        <w:tc>
          <w:tcPr>
            <w:tcW w:w="2049" w:type="dxa"/>
            <w:noWrap/>
            <w:vAlign w:val="center"/>
          </w:tcPr>
          <w:p w:rsidR="00D61430" w:rsidRDefault="00CF5FE6">
            <w:pPr>
              <w:spacing w:line="360" w:lineRule="auto"/>
              <w:jc w:val="center"/>
              <w:rPr>
                <w:rFonts w:eastAsia="仿宋_GB2312"/>
                <w:b/>
                <w:color w:val="000000" w:themeColor="text1"/>
                <w:sz w:val="24"/>
              </w:rPr>
            </w:pPr>
            <w:r>
              <w:rPr>
                <w:rFonts w:eastAsia="仿宋_GB2312"/>
                <w:b/>
                <w:color w:val="000000" w:themeColor="text1"/>
                <w:sz w:val="24"/>
              </w:rPr>
              <w:t>过程</w:t>
            </w:r>
          </w:p>
        </w:tc>
        <w:tc>
          <w:tcPr>
            <w:tcW w:w="2049"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20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20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100</w:t>
            </w:r>
            <w:r>
              <w:rPr>
                <w:rFonts w:eastAsia="仿宋_GB2312"/>
                <w:color w:val="000000" w:themeColor="text1"/>
                <w:sz w:val="24"/>
              </w:rPr>
              <w:t>%</w:t>
            </w:r>
          </w:p>
        </w:tc>
      </w:tr>
      <w:tr w:rsidR="00D61430">
        <w:trPr>
          <w:trHeight w:val="470"/>
        </w:trPr>
        <w:tc>
          <w:tcPr>
            <w:tcW w:w="2049" w:type="dxa"/>
            <w:noWrap/>
            <w:vAlign w:val="center"/>
          </w:tcPr>
          <w:p w:rsidR="00D61430" w:rsidRDefault="00CF5FE6">
            <w:pPr>
              <w:spacing w:line="360" w:lineRule="auto"/>
              <w:jc w:val="center"/>
              <w:rPr>
                <w:rFonts w:eastAsia="仿宋_GB2312"/>
                <w:b/>
                <w:color w:val="000000" w:themeColor="text1"/>
                <w:sz w:val="24"/>
              </w:rPr>
            </w:pPr>
            <w:r>
              <w:rPr>
                <w:rFonts w:eastAsia="仿宋_GB2312"/>
                <w:b/>
                <w:color w:val="000000" w:themeColor="text1"/>
                <w:sz w:val="24"/>
              </w:rPr>
              <w:t>产出</w:t>
            </w:r>
          </w:p>
        </w:tc>
        <w:tc>
          <w:tcPr>
            <w:tcW w:w="2049"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30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29.44</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98.1</w:t>
            </w:r>
            <w:r>
              <w:rPr>
                <w:rFonts w:eastAsia="仿宋_GB2312"/>
                <w:color w:val="000000" w:themeColor="text1"/>
                <w:sz w:val="24"/>
              </w:rPr>
              <w:t>%</w:t>
            </w:r>
          </w:p>
        </w:tc>
      </w:tr>
      <w:tr w:rsidR="00D61430">
        <w:trPr>
          <w:trHeight w:val="470"/>
        </w:trPr>
        <w:tc>
          <w:tcPr>
            <w:tcW w:w="2049" w:type="dxa"/>
            <w:noWrap/>
            <w:vAlign w:val="center"/>
          </w:tcPr>
          <w:p w:rsidR="00D61430" w:rsidRDefault="00CF5FE6">
            <w:pPr>
              <w:spacing w:line="360" w:lineRule="auto"/>
              <w:jc w:val="center"/>
              <w:rPr>
                <w:rFonts w:eastAsia="仿宋_GB2312"/>
                <w:b/>
                <w:color w:val="000000" w:themeColor="text1"/>
                <w:sz w:val="24"/>
              </w:rPr>
            </w:pPr>
            <w:r>
              <w:rPr>
                <w:rFonts w:eastAsia="仿宋_GB2312" w:hint="eastAsia"/>
                <w:b/>
                <w:color w:val="000000" w:themeColor="text1"/>
                <w:sz w:val="24"/>
              </w:rPr>
              <w:t>效果</w:t>
            </w:r>
          </w:p>
        </w:tc>
        <w:tc>
          <w:tcPr>
            <w:tcW w:w="2049"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30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30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100</w:t>
            </w:r>
            <w:r>
              <w:rPr>
                <w:rFonts w:eastAsia="仿宋_GB2312"/>
                <w:color w:val="000000" w:themeColor="text1"/>
                <w:sz w:val="24"/>
              </w:rPr>
              <w:t>%</w:t>
            </w:r>
          </w:p>
        </w:tc>
      </w:tr>
      <w:tr w:rsidR="00D61430">
        <w:trPr>
          <w:trHeight w:val="480"/>
        </w:trPr>
        <w:tc>
          <w:tcPr>
            <w:tcW w:w="2049" w:type="dxa"/>
            <w:noWrap/>
            <w:vAlign w:val="center"/>
          </w:tcPr>
          <w:p w:rsidR="00D61430" w:rsidRDefault="00CF5FE6">
            <w:pPr>
              <w:spacing w:line="360" w:lineRule="auto"/>
              <w:jc w:val="center"/>
              <w:rPr>
                <w:rFonts w:eastAsia="仿宋_GB2312"/>
                <w:b/>
                <w:color w:val="000000" w:themeColor="text1"/>
                <w:sz w:val="24"/>
              </w:rPr>
            </w:pPr>
            <w:r>
              <w:rPr>
                <w:rFonts w:eastAsia="仿宋_GB2312"/>
                <w:b/>
                <w:color w:val="000000" w:themeColor="text1"/>
                <w:sz w:val="24"/>
              </w:rPr>
              <w:t>综合绩效</w:t>
            </w:r>
          </w:p>
        </w:tc>
        <w:tc>
          <w:tcPr>
            <w:tcW w:w="2049" w:type="dxa"/>
            <w:noWrap/>
            <w:vAlign w:val="center"/>
          </w:tcPr>
          <w:p w:rsidR="00D61430" w:rsidRDefault="00CF5FE6">
            <w:pPr>
              <w:spacing w:line="360" w:lineRule="auto"/>
              <w:jc w:val="center"/>
              <w:rPr>
                <w:rFonts w:eastAsia="仿宋_GB2312"/>
                <w:color w:val="000000" w:themeColor="text1"/>
                <w:sz w:val="24"/>
              </w:rPr>
            </w:pPr>
            <w:r>
              <w:rPr>
                <w:rFonts w:eastAsia="仿宋_GB2312"/>
                <w:color w:val="000000" w:themeColor="text1"/>
                <w:sz w:val="24"/>
              </w:rPr>
              <w:t>100</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99.44</w:t>
            </w:r>
          </w:p>
        </w:tc>
        <w:tc>
          <w:tcPr>
            <w:tcW w:w="2050" w:type="dxa"/>
            <w:noWrap/>
            <w:vAlign w:val="center"/>
          </w:tcPr>
          <w:p w:rsidR="00D61430" w:rsidRDefault="00CF5FE6">
            <w:pPr>
              <w:spacing w:line="360" w:lineRule="auto"/>
              <w:jc w:val="center"/>
              <w:rPr>
                <w:rFonts w:eastAsia="仿宋_GB2312"/>
                <w:color w:val="000000" w:themeColor="text1"/>
                <w:sz w:val="24"/>
              </w:rPr>
            </w:pPr>
            <w:r>
              <w:rPr>
                <w:rFonts w:eastAsia="仿宋_GB2312" w:hint="eastAsia"/>
                <w:color w:val="000000" w:themeColor="text1"/>
                <w:sz w:val="24"/>
              </w:rPr>
              <w:t>99.44</w:t>
            </w:r>
            <w:r>
              <w:rPr>
                <w:rFonts w:eastAsia="仿宋_GB2312"/>
                <w:color w:val="000000" w:themeColor="text1"/>
                <w:sz w:val="24"/>
              </w:rPr>
              <w:t>%</w:t>
            </w:r>
          </w:p>
        </w:tc>
      </w:tr>
    </w:tbl>
    <w:p w:rsidR="00D61430" w:rsidRDefault="00D61430">
      <w:pPr>
        <w:spacing w:line="560" w:lineRule="exact"/>
        <w:ind w:firstLineChars="200" w:firstLine="640"/>
        <w:outlineLvl w:val="0"/>
        <w:rPr>
          <w:rFonts w:ascii="仿宋_GB2312" w:eastAsia="仿宋_GB2312" w:hAnsi="仿宋"/>
          <w:color w:val="000000"/>
          <w:sz w:val="32"/>
          <w:szCs w:val="32"/>
        </w:rPr>
      </w:pPr>
    </w:p>
    <w:p w:rsidR="00D61430" w:rsidRDefault="00CF5FE6">
      <w:pPr>
        <w:adjustRightInd w:val="0"/>
        <w:snapToGrid w:val="0"/>
        <w:spacing w:line="560" w:lineRule="exact"/>
        <w:ind w:firstLineChars="200" w:firstLine="640"/>
        <w:outlineLvl w:val="0"/>
        <w:rPr>
          <w:rFonts w:ascii="黑体" w:eastAsia="黑体" w:hAnsi="黑体"/>
          <w:color w:val="000000"/>
          <w:sz w:val="32"/>
          <w:szCs w:val="32"/>
        </w:rPr>
      </w:pPr>
      <w:bookmarkStart w:id="9" w:name="_Toc25779"/>
      <w:r>
        <w:rPr>
          <w:rFonts w:ascii="黑体" w:eastAsia="黑体" w:hAnsi="黑体" w:hint="eastAsia"/>
          <w:color w:val="000000"/>
          <w:sz w:val="32"/>
          <w:szCs w:val="32"/>
        </w:rPr>
        <w:t>四、绩效评价指标分析</w:t>
      </w:r>
      <w:bookmarkEnd w:id="9"/>
    </w:p>
    <w:p w:rsidR="00D61430" w:rsidRDefault="00CF5FE6">
      <w:pPr>
        <w:adjustRightInd w:val="0"/>
        <w:snapToGrid w:val="0"/>
        <w:spacing w:line="560" w:lineRule="exact"/>
        <w:ind w:firstLineChars="200" w:firstLine="640"/>
        <w:outlineLvl w:val="1"/>
        <w:rPr>
          <w:rFonts w:ascii="楷体_GB2312" w:eastAsia="楷体_GB2312" w:hAnsi="仿宋"/>
          <w:color w:val="000000"/>
          <w:sz w:val="32"/>
          <w:szCs w:val="32"/>
        </w:rPr>
      </w:pPr>
      <w:bookmarkStart w:id="10" w:name="_Toc20687"/>
      <w:r>
        <w:rPr>
          <w:rFonts w:ascii="楷体_GB2312" w:eastAsia="楷体_GB2312" w:hAnsi="仿宋" w:hint="eastAsia"/>
          <w:color w:val="000000"/>
          <w:sz w:val="32"/>
          <w:szCs w:val="32"/>
        </w:rPr>
        <w:t>（一）项目决策情况</w:t>
      </w:r>
      <w:bookmarkEnd w:id="10"/>
    </w:p>
    <w:p w:rsidR="00D61430" w:rsidRDefault="00CF5FE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项目决策程序规范，绩效目标及预算编制合理，部门依据三</w:t>
      </w:r>
      <w:r>
        <w:rPr>
          <w:rFonts w:ascii="仿宋_GB2312" w:eastAsia="仿宋_GB2312" w:hint="eastAsia"/>
          <w:sz w:val="32"/>
          <w:szCs w:val="32"/>
        </w:rPr>
        <w:lastRenderedPageBreak/>
        <w:t>定方案等制定了2020年部门重点工作任务，但绩效指标明确性、预算编制合理性还有待进一步提高。</w:t>
      </w:r>
    </w:p>
    <w:p w:rsidR="00D61430" w:rsidRDefault="00CF5FE6">
      <w:pPr>
        <w:adjustRightInd w:val="0"/>
        <w:snapToGrid w:val="0"/>
        <w:spacing w:line="560" w:lineRule="exact"/>
        <w:ind w:firstLineChars="200" w:firstLine="640"/>
        <w:outlineLvl w:val="1"/>
        <w:rPr>
          <w:rFonts w:ascii="楷体_GB2312" w:eastAsia="楷体_GB2312" w:hAnsi="仿宋"/>
          <w:color w:val="000000"/>
          <w:sz w:val="32"/>
          <w:szCs w:val="32"/>
        </w:rPr>
      </w:pPr>
      <w:bookmarkStart w:id="11" w:name="_Toc25055"/>
      <w:r>
        <w:rPr>
          <w:rFonts w:ascii="楷体_GB2312" w:eastAsia="楷体_GB2312" w:hAnsi="仿宋" w:hint="eastAsia"/>
          <w:color w:val="000000"/>
          <w:sz w:val="32"/>
          <w:szCs w:val="32"/>
        </w:rPr>
        <w:t>（二）项目过程情况</w:t>
      </w:r>
      <w:bookmarkEnd w:id="11"/>
    </w:p>
    <w:p w:rsidR="00D61430" w:rsidRDefault="00CF5FE6">
      <w:pPr>
        <w:adjustRightInd w:val="0"/>
        <w:snapToGrid w:val="0"/>
        <w:spacing w:line="560" w:lineRule="exact"/>
        <w:ind w:firstLineChars="200" w:firstLine="640"/>
        <w:rPr>
          <w:rFonts w:ascii="仿宋_GB2312" w:eastAsia="仿宋_GB2312"/>
          <w:sz w:val="32"/>
          <w:szCs w:val="32"/>
        </w:rPr>
      </w:pPr>
      <w:r>
        <w:rPr>
          <w:rFonts w:ascii="仿宋_GB2312" w:eastAsia="仿宋_GB2312" w:hAnsi="仿宋" w:hint="eastAsia"/>
          <w:color w:val="000000"/>
          <w:sz w:val="32"/>
          <w:szCs w:val="32"/>
        </w:rPr>
        <w:t>预算执行率78.21%，预算执行率偏低，因疫情原因2020年度</w:t>
      </w:r>
      <w:proofErr w:type="gramStart"/>
      <w:r>
        <w:rPr>
          <w:rFonts w:ascii="仿宋_GB2312" w:eastAsia="仿宋_GB2312" w:hAnsi="仿宋" w:hint="eastAsia"/>
          <w:color w:val="000000"/>
          <w:sz w:val="32"/>
          <w:szCs w:val="32"/>
        </w:rPr>
        <w:t>国家发改委</w:t>
      </w:r>
      <w:proofErr w:type="gramEnd"/>
      <w:r>
        <w:rPr>
          <w:rFonts w:ascii="仿宋_GB2312" w:eastAsia="仿宋_GB2312" w:hAnsi="仿宋" w:hint="eastAsia"/>
          <w:color w:val="000000"/>
          <w:sz w:val="32"/>
          <w:szCs w:val="32"/>
        </w:rPr>
        <w:t>没有下达西部大开发培训。预算管理方面，部门的</w:t>
      </w:r>
      <w:r>
        <w:rPr>
          <w:rFonts w:ascii="仿宋_GB2312" w:eastAsia="仿宋_GB2312" w:hint="eastAsia"/>
          <w:sz w:val="32"/>
          <w:szCs w:val="32"/>
        </w:rPr>
        <w:t>预算资金管理办法、财务管理制度、会计核算制度等较为完善，落实情况较好，但资产管理规范性需进一步加强。</w:t>
      </w:r>
    </w:p>
    <w:p w:rsidR="00D61430" w:rsidRDefault="00CF5FE6">
      <w:pPr>
        <w:adjustRightInd w:val="0"/>
        <w:snapToGrid w:val="0"/>
        <w:spacing w:line="560" w:lineRule="exact"/>
        <w:ind w:firstLineChars="200" w:firstLine="640"/>
        <w:outlineLvl w:val="1"/>
        <w:rPr>
          <w:rFonts w:ascii="楷体_GB2312" w:eastAsia="楷体_GB2312" w:hAnsi="仿宋"/>
          <w:color w:val="000000"/>
          <w:sz w:val="32"/>
          <w:szCs w:val="32"/>
        </w:rPr>
      </w:pPr>
      <w:bookmarkStart w:id="12" w:name="_Toc20662"/>
      <w:r>
        <w:rPr>
          <w:rFonts w:ascii="楷体_GB2312" w:eastAsia="楷体_GB2312" w:hAnsi="仿宋" w:hint="eastAsia"/>
          <w:color w:val="000000"/>
          <w:sz w:val="32"/>
          <w:szCs w:val="32"/>
        </w:rPr>
        <w:t>（三）项目产出情况</w:t>
      </w:r>
      <w:bookmarkEnd w:id="12"/>
    </w:p>
    <w:p w:rsidR="00D61430" w:rsidRDefault="00CF5FE6">
      <w:pPr>
        <w:adjustRightInd w:val="0"/>
        <w:snapToGrid w:val="0"/>
        <w:spacing w:line="560" w:lineRule="exact"/>
        <w:ind w:firstLineChars="200" w:firstLine="640"/>
        <w:rPr>
          <w:rFonts w:ascii="仿宋_GB2312" w:eastAsia="仿宋_GB2312"/>
          <w:sz w:val="32"/>
          <w:szCs w:val="32"/>
          <w:highlight w:val="yellow"/>
        </w:rPr>
      </w:pPr>
      <w:r>
        <w:rPr>
          <w:rFonts w:ascii="仿宋_GB2312" w:eastAsia="仿宋_GB2312" w:hint="eastAsia"/>
          <w:sz w:val="32"/>
          <w:szCs w:val="32"/>
        </w:rPr>
        <w:t>因为疫情原因，承担的国家4期西部大开发培训，</w:t>
      </w:r>
      <w:proofErr w:type="gramStart"/>
      <w:r>
        <w:rPr>
          <w:rFonts w:ascii="仿宋_GB2312" w:eastAsia="仿宋_GB2312" w:hint="eastAsia"/>
          <w:sz w:val="32"/>
          <w:szCs w:val="32"/>
        </w:rPr>
        <w:t>国家发改委</w:t>
      </w:r>
      <w:proofErr w:type="gramEnd"/>
      <w:r>
        <w:rPr>
          <w:rFonts w:ascii="仿宋_GB2312" w:eastAsia="仿宋_GB2312" w:hint="eastAsia"/>
          <w:sz w:val="32"/>
          <w:szCs w:val="32"/>
        </w:rPr>
        <w:t>没有下达2020年培训计划，故没有完成，培训资金返还财政；其他各项工作均已按计划完成，且完成及时，质量达标率较高，重点工作办结率达100%，完成情况较好。</w:t>
      </w:r>
    </w:p>
    <w:p w:rsidR="00D61430" w:rsidRDefault="00CF5FE6">
      <w:pPr>
        <w:adjustRightInd w:val="0"/>
        <w:snapToGrid w:val="0"/>
        <w:spacing w:line="560" w:lineRule="exact"/>
        <w:ind w:firstLineChars="200" w:firstLine="640"/>
        <w:outlineLvl w:val="1"/>
        <w:rPr>
          <w:rFonts w:ascii="楷体_GB2312" w:eastAsia="楷体_GB2312" w:hAnsi="仿宋"/>
          <w:color w:val="000000"/>
          <w:sz w:val="32"/>
          <w:szCs w:val="32"/>
        </w:rPr>
      </w:pPr>
      <w:bookmarkStart w:id="13" w:name="_Toc30603"/>
      <w:r>
        <w:rPr>
          <w:rFonts w:ascii="楷体_GB2312" w:eastAsia="楷体_GB2312" w:hAnsi="仿宋" w:hint="eastAsia"/>
          <w:color w:val="000000"/>
          <w:sz w:val="32"/>
          <w:szCs w:val="32"/>
        </w:rPr>
        <w:t>（四）项目效益情况</w:t>
      </w:r>
      <w:bookmarkEnd w:id="13"/>
    </w:p>
    <w:p w:rsidR="00D61430" w:rsidRDefault="00CF5FE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效益整体状况好，社会效益、可持续效益整体情况好，受益群体满意度很高。</w:t>
      </w:r>
    </w:p>
    <w:p w:rsidR="00D61430" w:rsidRDefault="00A94828">
      <w:pPr>
        <w:numPr>
          <w:ilvl w:val="0"/>
          <w:numId w:val="2"/>
        </w:numPr>
        <w:adjustRightInd w:val="0"/>
        <w:snapToGrid w:val="0"/>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主要经验及做法</w:t>
      </w:r>
    </w:p>
    <w:p w:rsidR="00D61430" w:rsidRDefault="00CF5FE6">
      <w:pPr>
        <w:spacing w:line="560" w:lineRule="exact"/>
        <w:ind w:firstLineChars="196" w:firstLine="627"/>
        <w:rPr>
          <w:rFonts w:ascii="仿宋_GB2312" w:eastAsia="仿宋_GB2312"/>
          <w:color w:val="FF0000"/>
          <w:sz w:val="32"/>
          <w:szCs w:val="32"/>
        </w:rPr>
      </w:pPr>
      <w:r>
        <w:rPr>
          <w:rFonts w:ascii="楷体_GB2312" w:eastAsia="楷体_GB2312" w:hAnsi="宋体" w:cs="仿宋_GB2312" w:hint="eastAsia"/>
          <w:bCs/>
          <w:sz w:val="32"/>
          <w:szCs w:val="32"/>
        </w:rPr>
        <w:t>（一）精准施策帮扶，巩固脱贫成果。</w:t>
      </w:r>
      <w:r>
        <w:rPr>
          <w:rFonts w:ascii="仿宋_GB2312" w:eastAsia="仿宋_GB2312" w:hAnsi="宋体" w:cs="仿宋_GB2312" w:hint="eastAsia"/>
          <w:sz w:val="32"/>
          <w:szCs w:val="32"/>
        </w:rPr>
        <w:t>紧盯高质量稳定脱贫，开展“标准化检视问题不留死角，规范化整改问题不留锅底，专班化规范档案不留破绽”专项行动，持续推动问题整改清零。建立动态监测机制，</w:t>
      </w:r>
      <w:r>
        <w:rPr>
          <w:rFonts w:ascii="仿宋_GB2312" w:eastAsia="仿宋_GB2312" w:hAnsi="宋体" w:cs="仿宋_GB2312" w:hint="eastAsia"/>
          <w:bCs/>
          <w:sz w:val="32"/>
          <w:szCs w:val="32"/>
        </w:rPr>
        <w:t>纳入疫情影响重点监测的1988户不稳定户全部消除返贫风险，纳入即时帮扶的44户边缘户全部消除致贫风险。</w:t>
      </w:r>
      <w:r>
        <w:rPr>
          <w:rFonts w:ascii="仿宋_GB2312" w:eastAsia="仿宋_GB2312" w:hAnsi="宋体" w:cs="仿宋_GB2312" w:hint="eastAsia"/>
          <w:sz w:val="32"/>
          <w:szCs w:val="32"/>
        </w:rPr>
        <w:t>全市“脱贫不脱政策”的1</w:t>
      </w:r>
      <w:r>
        <w:rPr>
          <w:rFonts w:ascii="仿宋_GB2312" w:eastAsia="仿宋_GB2312" w:hAnsi="华文中宋" w:cs="仿宋_GB2312" w:hint="eastAsia"/>
          <w:sz w:val="32"/>
          <w:szCs w:val="32"/>
        </w:rPr>
        <w:t>3408户、25080名贫困人口，人</w:t>
      </w:r>
      <w:r>
        <w:rPr>
          <w:rFonts w:ascii="仿宋_GB2312" w:eastAsia="仿宋_GB2312" w:hAnsi="华文中宋" w:cs="仿宋_GB2312" w:hint="eastAsia"/>
          <w:sz w:val="32"/>
          <w:szCs w:val="32"/>
        </w:rPr>
        <w:lastRenderedPageBreak/>
        <w:t>均可支配收入从2014年的3901元提高到2020年的11386元，“两不愁三保障”和饮水安全全部实现。</w:t>
      </w:r>
      <w:r>
        <w:rPr>
          <w:rFonts w:ascii="仿宋_GB2312" w:eastAsia="仿宋_GB2312" w:hAnsi="宋体" w:cs="仿宋_GB2312" w:hint="eastAsia"/>
          <w:sz w:val="32"/>
          <w:szCs w:val="32"/>
        </w:rPr>
        <w:t>510个</w:t>
      </w:r>
      <w:proofErr w:type="gramStart"/>
      <w:r>
        <w:rPr>
          <w:rFonts w:ascii="仿宋_GB2312" w:eastAsia="仿宋_GB2312" w:hAnsi="宋体" w:cs="仿宋_GB2312" w:hint="eastAsia"/>
          <w:sz w:val="32"/>
          <w:szCs w:val="32"/>
        </w:rPr>
        <w:t>贫弱村</w:t>
      </w:r>
      <w:proofErr w:type="gramEnd"/>
      <w:r>
        <w:rPr>
          <w:rFonts w:ascii="仿宋_GB2312" w:eastAsia="仿宋_GB2312" w:hAnsi="宋体" w:cs="仿宋_GB2312" w:hint="eastAsia"/>
          <w:sz w:val="32"/>
          <w:szCs w:val="32"/>
        </w:rPr>
        <w:t>全部实现“五通十有”，三分之二的省定贫困村集体经济收入超过10万元。</w:t>
      </w:r>
    </w:p>
    <w:p w:rsidR="00D61430" w:rsidRDefault="00CF5FE6">
      <w:pPr>
        <w:spacing w:line="560" w:lineRule="exact"/>
        <w:ind w:firstLineChars="200" w:firstLine="640"/>
        <w:rPr>
          <w:rFonts w:ascii="仿宋_GB2312" w:eastAsia="仿宋_GB2312" w:hAnsi="仿宋_GB2312" w:cs="仿宋_GB2312"/>
          <w:sz w:val="32"/>
          <w:szCs w:val="32"/>
        </w:rPr>
      </w:pPr>
      <w:r>
        <w:rPr>
          <w:rFonts w:ascii="楷体_GB2312" w:eastAsia="楷体_GB2312" w:hAnsi="宋体" w:cs="仿宋_GB2312" w:hint="eastAsia"/>
          <w:bCs/>
          <w:sz w:val="32"/>
          <w:szCs w:val="32"/>
        </w:rPr>
        <w:t>（二）</w:t>
      </w:r>
      <w:proofErr w:type="gramStart"/>
      <w:r>
        <w:rPr>
          <w:rFonts w:ascii="楷体_GB2312" w:eastAsia="楷体_GB2312" w:hAnsi="宋体" w:cs="仿宋_GB2312" w:hint="eastAsia"/>
          <w:bCs/>
          <w:sz w:val="32"/>
          <w:szCs w:val="32"/>
        </w:rPr>
        <w:t>实施志智双扶</w:t>
      </w:r>
      <w:proofErr w:type="gramEnd"/>
      <w:r>
        <w:rPr>
          <w:rFonts w:ascii="楷体_GB2312" w:eastAsia="楷体_GB2312" w:hAnsi="宋体" w:cs="仿宋_GB2312" w:hint="eastAsia"/>
          <w:bCs/>
          <w:sz w:val="32"/>
          <w:szCs w:val="32"/>
        </w:rPr>
        <w:t>，激发内生动力。</w:t>
      </w:r>
      <w:r>
        <w:rPr>
          <w:rFonts w:ascii="仿宋_GB2312" w:eastAsia="仿宋_GB2312" w:hAnsi="宋体" w:cs="仿宋_GB2312" w:hint="eastAsia"/>
          <w:sz w:val="32"/>
          <w:szCs w:val="32"/>
        </w:rPr>
        <w:t>实施环境脱贫行动，为9000多个贫困户改善了居住条件，打造了消除视觉贫困的“三净四无五有”模式。在510个</w:t>
      </w:r>
      <w:proofErr w:type="gramStart"/>
      <w:r>
        <w:rPr>
          <w:rFonts w:ascii="仿宋_GB2312" w:eastAsia="仿宋_GB2312" w:hAnsi="宋体" w:cs="仿宋_GB2312" w:hint="eastAsia"/>
          <w:sz w:val="32"/>
          <w:szCs w:val="32"/>
        </w:rPr>
        <w:t>贫弱村</w:t>
      </w:r>
      <w:proofErr w:type="gramEnd"/>
      <w:r>
        <w:rPr>
          <w:rFonts w:ascii="仿宋_GB2312" w:eastAsia="仿宋_GB2312" w:hAnsi="宋体" w:cs="仿宋_GB2312" w:hint="eastAsia"/>
          <w:sz w:val="32"/>
          <w:szCs w:val="32"/>
        </w:rPr>
        <w:t>率先开展美丽乡村建设，市级美丽乡村达标率100%，“厕所革命”全覆盖，生活垃圾定点存放清运率达到100%。一手抓精神扶贫和榜样引领，一手抓技能培训和就业扶持，鼓励贫困群众靠勤劳双手脱贫，涌现出</w:t>
      </w:r>
      <w:proofErr w:type="gramStart"/>
      <w:r>
        <w:rPr>
          <w:rFonts w:ascii="仿宋_GB2312" w:eastAsia="仿宋_GB2312" w:hAnsi="仿宋_GB2312" w:cs="仿宋_GB2312" w:hint="eastAsia"/>
          <w:sz w:val="32"/>
          <w:szCs w:val="32"/>
        </w:rPr>
        <w:t>扶贫</w:t>
      </w:r>
      <w:r>
        <w:rPr>
          <w:rFonts w:ascii="仿宋_GB2312" w:eastAsia="仿宋_GB2312" w:hAnsi="宋体" w:cs="宋体" w:hint="eastAsia"/>
          <w:color w:val="000000"/>
          <w:kern w:val="0"/>
          <w:sz w:val="32"/>
          <w:szCs w:val="32"/>
        </w:rPr>
        <w:t>孝善养老</w:t>
      </w:r>
      <w:proofErr w:type="gramEnd"/>
      <w:r>
        <w:rPr>
          <w:rFonts w:ascii="仿宋_GB2312" w:eastAsia="仿宋_GB2312" w:hAnsi="宋体" w:cs="宋体" w:hint="eastAsia"/>
          <w:color w:val="000000"/>
          <w:kern w:val="0"/>
          <w:sz w:val="32"/>
          <w:szCs w:val="32"/>
        </w:rPr>
        <w:t>、助贫道德银行、爱心服务驿站、脱贫积分超市、心理疏导队等一批</w:t>
      </w:r>
      <w:r>
        <w:rPr>
          <w:rFonts w:ascii="仿宋_GB2312" w:eastAsia="仿宋_GB2312" w:hAnsi="仿宋_GB2312" w:cs="仿宋_GB2312" w:hint="eastAsia"/>
          <w:sz w:val="32"/>
          <w:szCs w:val="32"/>
        </w:rPr>
        <w:t>先进典型。</w:t>
      </w:r>
    </w:p>
    <w:p w:rsidR="00D61430" w:rsidRDefault="00CF5FE6">
      <w:pPr>
        <w:spacing w:line="560" w:lineRule="exact"/>
        <w:ind w:firstLineChars="200" w:firstLine="640"/>
        <w:rPr>
          <w:rFonts w:ascii="仿宋_GB2312" w:eastAsia="仿宋_GB2312" w:hAnsi="宋体" w:cs="仿宋_GB2312"/>
          <w:sz w:val="32"/>
          <w:szCs w:val="32"/>
        </w:rPr>
      </w:pPr>
      <w:r>
        <w:rPr>
          <w:rFonts w:ascii="楷体_GB2312" w:eastAsia="楷体_GB2312" w:hAnsi="宋体" w:cs="仿宋_GB2312" w:hint="eastAsia"/>
          <w:sz w:val="32"/>
          <w:szCs w:val="32"/>
        </w:rPr>
        <w:t>（三）坚持从严从实，促进真抓实干。</w:t>
      </w:r>
      <w:r>
        <w:rPr>
          <w:rFonts w:ascii="仿宋_GB2312" w:eastAsia="仿宋_GB2312" w:hAnsi="宋体" w:cs="仿宋_GB2312" w:hint="eastAsia"/>
          <w:sz w:val="32"/>
          <w:szCs w:val="32"/>
        </w:rPr>
        <w:t>以全面从严治党统领脱贫攻坚，实施最严格的考核办法，较真碰硬，严督实考。深入开展扶贫领域腐败和作风问题专项整治，从严从快查处扶贫领域违纪违法行为。发起“决战决胜脱贫攻坚总攻八大攻势”，高标准组织自查评估和遍访核查，定期“四</w:t>
      </w:r>
      <w:proofErr w:type="gramStart"/>
      <w:r>
        <w:rPr>
          <w:rFonts w:ascii="仿宋_GB2312" w:eastAsia="仿宋_GB2312" w:hAnsi="宋体" w:cs="仿宋_GB2312" w:hint="eastAsia"/>
          <w:sz w:val="32"/>
          <w:szCs w:val="32"/>
        </w:rPr>
        <w:t>不</w:t>
      </w:r>
      <w:proofErr w:type="gramEnd"/>
      <w:r>
        <w:rPr>
          <w:rFonts w:ascii="仿宋_GB2312" w:eastAsia="仿宋_GB2312" w:hAnsi="宋体" w:cs="仿宋_GB2312" w:hint="eastAsia"/>
          <w:sz w:val="32"/>
          <w:szCs w:val="32"/>
        </w:rPr>
        <w:t>两直”进村入户查漏补缺。深化拓展“莱西经验”，针对</w:t>
      </w:r>
      <w:proofErr w:type="gramStart"/>
      <w:r>
        <w:rPr>
          <w:rFonts w:ascii="仿宋_GB2312" w:eastAsia="仿宋_GB2312" w:hAnsi="宋体" w:cs="仿宋_GB2312" w:hint="eastAsia"/>
          <w:sz w:val="32"/>
          <w:szCs w:val="32"/>
        </w:rPr>
        <w:t>贫弱村</w:t>
      </w:r>
      <w:proofErr w:type="gramEnd"/>
      <w:r>
        <w:rPr>
          <w:rFonts w:ascii="仿宋_GB2312" w:eastAsia="仿宋_GB2312" w:hAnsi="宋体" w:cs="仿宋_GB2312" w:hint="eastAsia"/>
          <w:sz w:val="32"/>
          <w:szCs w:val="32"/>
        </w:rPr>
        <w:t>“班子”贫弱的共性问题，强化党建引领促攻坚，把组织力转化为打好打赢的战斗力。</w:t>
      </w:r>
    </w:p>
    <w:p w:rsidR="00D61430" w:rsidRDefault="00CF5FE6">
      <w:pPr>
        <w:spacing w:line="560" w:lineRule="exact"/>
        <w:ind w:firstLineChars="200" w:firstLine="640"/>
        <w:rPr>
          <w:rFonts w:ascii="仿宋_GB2312" w:eastAsia="仿宋_GB2312" w:hAnsi="宋体" w:cs="仿宋_GB2312"/>
          <w:sz w:val="32"/>
          <w:szCs w:val="32"/>
        </w:rPr>
      </w:pPr>
      <w:r>
        <w:rPr>
          <w:rFonts w:ascii="楷体_GB2312" w:eastAsia="楷体_GB2312" w:hAnsi="宋体" w:cs="仿宋_GB2312" w:hint="eastAsia"/>
          <w:sz w:val="32"/>
          <w:szCs w:val="32"/>
        </w:rPr>
        <w:t>（四）持续加大投入力度，加快协作地精准脱贫进程。</w:t>
      </w:r>
      <w:r>
        <w:rPr>
          <w:rFonts w:ascii="仿宋_GB2312" w:eastAsia="仿宋_GB2312" w:hAnsi="宋体" w:cs="仿宋_GB2312" w:hint="eastAsia"/>
          <w:sz w:val="32"/>
          <w:szCs w:val="32"/>
        </w:rPr>
        <w:t>坚持真金白银、真帮实助。在今年</w:t>
      </w:r>
      <w:r>
        <w:rPr>
          <w:rFonts w:ascii="仿宋_GB2312" w:eastAsia="仿宋_GB2312" w:hint="eastAsia"/>
          <w:color w:val="000000"/>
          <w:sz w:val="32"/>
          <w:szCs w:val="32"/>
        </w:rPr>
        <w:t>我市一般公共预算收入增收压力前所未有情况下，新增安</w:t>
      </w:r>
      <w:r>
        <w:rPr>
          <w:rFonts w:ascii="仿宋_GB2312" w:eastAsia="仿宋_GB2312" w:hAnsi="宋体" w:cs="仿宋_GB2312" w:hint="eastAsia"/>
          <w:sz w:val="32"/>
          <w:szCs w:val="32"/>
        </w:rPr>
        <w:t>顺、陇南财政援助资金9.84亿元，同比</w:t>
      </w:r>
      <w:r>
        <w:rPr>
          <w:rFonts w:ascii="仿宋_GB2312" w:eastAsia="仿宋_GB2312" w:hAnsi="宋体" w:cs="仿宋_GB2312" w:hint="eastAsia"/>
          <w:sz w:val="32"/>
          <w:szCs w:val="32"/>
        </w:rPr>
        <w:lastRenderedPageBreak/>
        <w:t>增长14.69%，县均达到6551万元；新增援助菏泽财政资金1.74亿元。聚焦解决“两不愁三保障”和饮水安全突出短板，实施援建项目532个，助力协作地优先解决脱贫所需所迫。</w:t>
      </w:r>
    </w:p>
    <w:p w:rsidR="00D61430" w:rsidRDefault="00CF5FE6">
      <w:pPr>
        <w:spacing w:line="560" w:lineRule="exact"/>
        <w:ind w:firstLineChars="200" w:firstLine="640"/>
        <w:rPr>
          <w:rFonts w:ascii="仿宋_GB2312" w:eastAsia="仿宋_GB2312" w:hAnsi="宋体" w:cs="仿宋_GB2312"/>
          <w:sz w:val="32"/>
          <w:szCs w:val="32"/>
        </w:rPr>
      </w:pPr>
      <w:r>
        <w:rPr>
          <w:rFonts w:ascii="楷体_GB2312" w:eastAsia="楷体_GB2312" w:hAnsi="宋体" w:cs="仿宋_GB2312" w:hint="eastAsia"/>
          <w:sz w:val="32"/>
          <w:szCs w:val="32"/>
        </w:rPr>
        <w:t>（五）持续实施产业合作，夯实协作地脱贫致富基础。</w:t>
      </w:r>
      <w:r>
        <w:rPr>
          <w:rFonts w:ascii="仿宋_GB2312" w:eastAsia="仿宋_GB2312" w:hint="eastAsia"/>
          <w:color w:val="000000"/>
          <w:sz w:val="32"/>
          <w:szCs w:val="32"/>
        </w:rPr>
        <w:t>坚持用市场的逻辑谋事，用资本的力量做事</w:t>
      </w:r>
      <w:r>
        <w:rPr>
          <w:rFonts w:ascii="仿宋_GB2312" w:eastAsia="仿宋_GB2312" w:hAnsi="宋体" w:cs="仿宋_GB2312" w:hint="eastAsia"/>
          <w:sz w:val="32"/>
          <w:szCs w:val="32"/>
        </w:rPr>
        <w:t>。疫情期间，在东部城市中第一个开展网上签约，</w:t>
      </w:r>
      <w:r>
        <w:rPr>
          <w:rFonts w:ascii="仿宋_GB2312" w:eastAsia="仿宋_GB2312" w:hint="eastAsia"/>
          <w:color w:val="000000"/>
          <w:sz w:val="32"/>
          <w:szCs w:val="32"/>
        </w:rPr>
        <w:t>帮助安顺引进首个国内500强新希望六和集团生猪养殖项目。在青岛“国际客厅”为协作城市搭建对外开放新窗口，</w:t>
      </w:r>
      <w:r>
        <w:rPr>
          <w:rFonts w:ascii="仿宋_GB2312" w:eastAsia="仿宋_GB2312" w:hAnsi="宋体" w:cs="仿宋_GB2312" w:hint="eastAsia"/>
          <w:sz w:val="32"/>
          <w:szCs w:val="32"/>
        </w:rPr>
        <w:t>新增签约项目79个，实际到位资金28.93亿元。陇南“麻辣兔”、安顺“榕昕牧业”等特色产业帮扶模式在全国推广。</w:t>
      </w:r>
    </w:p>
    <w:p w:rsidR="00D61430" w:rsidRDefault="00CF5FE6">
      <w:pPr>
        <w:spacing w:line="560" w:lineRule="exact"/>
        <w:ind w:firstLineChars="200" w:firstLine="640"/>
        <w:rPr>
          <w:rFonts w:ascii="仿宋_GB2312" w:eastAsia="仿宋_GB2312"/>
          <w:color w:val="000000"/>
          <w:sz w:val="32"/>
          <w:szCs w:val="32"/>
        </w:rPr>
      </w:pPr>
      <w:r>
        <w:rPr>
          <w:rFonts w:ascii="楷体_GB2312" w:eastAsia="楷体_GB2312" w:hAnsi="宋体" w:cs="仿宋_GB2312" w:hint="eastAsia"/>
          <w:sz w:val="32"/>
          <w:szCs w:val="32"/>
        </w:rPr>
        <w:t>（六）持续强化人才支持，增强内生发展动力。</w:t>
      </w:r>
      <w:r>
        <w:rPr>
          <w:rFonts w:ascii="仿宋_GB2312" w:eastAsia="仿宋_GB2312" w:hint="eastAsia"/>
          <w:color w:val="000000"/>
          <w:sz w:val="32"/>
          <w:szCs w:val="32"/>
        </w:rPr>
        <w:t>选派挂职干部35人次，</w:t>
      </w:r>
      <w:proofErr w:type="gramStart"/>
      <w:r>
        <w:rPr>
          <w:rFonts w:ascii="仿宋_GB2312" w:eastAsia="仿宋_GB2312" w:hint="eastAsia"/>
          <w:color w:val="000000"/>
          <w:sz w:val="32"/>
          <w:szCs w:val="32"/>
        </w:rPr>
        <w:t>援派专业</w:t>
      </w:r>
      <w:proofErr w:type="gramEnd"/>
      <w:r>
        <w:rPr>
          <w:rFonts w:ascii="仿宋_GB2312" w:eastAsia="仿宋_GB2312" w:hint="eastAsia"/>
          <w:color w:val="000000"/>
          <w:sz w:val="32"/>
          <w:szCs w:val="32"/>
        </w:rPr>
        <w:t>技术人员861名，培训党政干部1.28万人次、专业技术人员5.4万人次，引进新技术新项目93个，促进人员互动、技术互学、观念互通、作风互鉴。在全国率先组织28名退役军人到协作地开展智力志愿扶贫。青岛“支教岛”经验入选全国50个志愿扶贫优秀案例。</w:t>
      </w:r>
    </w:p>
    <w:p w:rsidR="00D61430" w:rsidRDefault="00CF5FE6">
      <w:pPr>
        <w:spacing w:line="560" w:lineRule="exact"/>
        <w:ind w:firstLineChars="200" w:firstLine="640"/>
        <w:rPr>
          <w:rFonts w:ascii="仿宋_GB2312" w:eastAsia="仿宋_GB2312"/>
          <w:color w:val="000000"/>
          <w:sz w:val="32"/>
          <w:szCs w:val="32"/>
        </w:rPr>
      </w:pPr>
      <w:r>
        <w:rPr>
          <w:rFonts w:ascii="楷体_GB2312" w:eastAsia="楷体_GB2312" w:hAnsi="宋体" w:cs="仿宋_GB2312" w:hint="eastAsia"/>
          <w:sz w:val="32"/>
          <w:szCs w:val="32"/>
        </w:rPr>
        <w:t>（七）持续加强精准对接，促进劳务就业稳岗。</w:t>
      </w:r>
      <w:proofErr w:type="gramStart"/>
      <w:r>
        <w:rPr>
          <w:rFonts w:ascii="仿宋_GB2312" w:eastAsia="仿宋_GB2312" w:hint="eastAsia"/>
          <w:color w:val="000000"/>
          <w:sz w:val="32"/>
          <w:szCs w:val="32"/>
        </w:rPr>
        <w:t>采取稳岗补贴</w:t>
      </w:r>
      <w:proofErr w:type="gramEnd"/>
      <w:r>
        <w:rPr>
          <w:rFonts w:ascii="仿宋_GB2312" w:eastAsia="仿宋_GB2312" w:hint="eastAsia"/>
          <w:color w:val="000000"/>
          <w:sz w:val="32"/>
          <w:szCs w:val="32"/>
        </w:rPr>
        <w:t>激励、爱心岗位托底等办法，“点对点、一站式”</w:t>
      </w:r>
      <w:proofErr w:type="gramStart"/>
      <w:r>
        <w:rPr>
          <w:rFonts w:ascii="仿宋_GB2312" w:eastAsia="仿宋_GB2312" w:hint="eastAsia"/>
          <w:color w:val="000000"/>
          <w:sz w:val="32"/>
          <w:szCs w:val="32"/>
        </w:rPr>
        <w:t>输转劳务</w:t>
      </w:r>
      <w:proofErr w:type="gramEnd"/>
      <w:r>
        <w:rPr>
          <w:rFonts w:ascii="仿宋_GB2312" w:eastAsia="仿宋_GB2312" w:hint="eastAsia"/>
          <w:color w:val="000000"/>
          <w:sz w:val="32"/>
          <w:szCs w:val="32"/>
        </w:rPr>
        <w:t>。在疫情缓解后，组织我省第一架跨省复工就业包机，采取包车直达等形式，帮助务工人员从“家门口”直接到青岛“厂门口”。今年，帮助安顺、陇南来鲁到</w:t>
      </w:r>
      <w:proofErr w:type="gramStart"/>
      <w:r>
        <w:rPr>
          <w:rFonts w:ascii="仿宋_GB2312" w:eastAsia="仿宋_GB2312" w:hint="eastAsia"/>
          <w:color w:val="000000"/>
          <w:sz w:val="32"/>
          <w:szCs w:val="32"/>
        </w:rPr>
        <w:t>青就业</w:t>
      </w:r>
      <w:proofErr w:type="gramEnd"/>
      <w:r>
        <w:rPr>
          <w:rFonts w:ascii="仿宋_GB2312" w:eastAsia="仿宋_GB2312" w:hint="eastAsia"/>
          <w:color w:val="000000"/>
          <w:sz w:val="32"/>
          <w:szCs w:val="32"/>
        </w:rPr>
        <w:t>1164人次，就近就业11288人次；引入即发集团等纺织企业帮助菏泽2.6万劳动力在家门口</w:t>
      </w:r>
      <w:r>
        <w:rPr>
          <w:rFonts w:ascii="仿宋_GB2312" w:eastAsia="仿宋_GB2312" w:hint="eastAsia"/>
          <w:color w:val="000000"/>
          <w:sz w:val="32"/>
          <w:szCs w:val="32"/>
        </w:rPr>
        <w:lastRenderedPageBreak/>
        <w:t>就业。</w:t>
      </w:r>
    </w:p>
    <w:p w:rsidR="00D61430" w:rsidRDefault="00CF5FE6">
      <w:pPr>
        <w:pStyle w:val="a3"/>
        <w:adjustRightInd w:val="0"/>
        <w:spacing w:after="0" w:line="560" w:lineRule="exact"/>
        <w:ind w:leftChars="0" w:left="0" w:firstLineChars="200" w:firstLine="640"/>
        <w:contextualSpacing/>
        <w:rPr>
          <w:rFonts w:ascii="仿宋_GB2312" w:eastAsia="仿宋_GB2312"/>
          <w:color w:val="000000"/>
          <w:sz w:val="32"/>
          <w:szCs w:val="32"/>
        </w:rPr>
      </w:pPr>
      <w:r>
        <w:rPr>
          <w:rFonts w:ascii="楷体_GB2312" w:eastAsia="楷体_GB2312" w:hint="eastAsia"/>
          <w:color w:val="000000"/>
          <w:sz w:val="32"/>
          <w:szCs w:val="32"/>
        </w:rPr>
        <w:t>（八）持续创新社会帮扶，巩固提升脱贫成效。</w:t>
      </w:r>
      <w:r>
        <w:rPr>
          <w:rFonts w:ascii="仿宋_GB2312" w:eastAsia="仿宋_GB2312" w:hint="eastAsia"/>
          <w:color w:val="000000"/>
          <w:sz w:val="32"/>
          <w:szCs w:val="32"/>
        </w:rPr>
        <w:t>构建政府、市场、社会“三位一体”大扶贫协作格局。我市在与协作地与协作地221个镇（街道）、1721个贫困村、597所学校、185家医院结对帮扶，社会力量新增捐款捐物2.6亿元。在全国率先携手扶贫协作城市开展“心耳康复·光明行动”，募集社会资金2600万元，已有1806名先心病患儿、失聪儿童、患白内障老人获得免费手术救治，产生强烈社会反响。在东部城市中率先发出倡议，组织100多家企业和社会组织捐资2473万元、捐物222万元，结对帮扶国家挂牌督战陇南的53个深度贫困村，携手啃下了最后的“硬骨头”。</w:t>
      </w:r>
    </w:p>
    <w:p w:rsidR="00D61430" w:rsidRDefault="00CF5FE6">
      <w:pPr>
        <w:overflowPunct w:val="0"/>
        <w:autoSpaceDE w:val="0"/>
        <w:autoSpaceDN w:val="0"/>
        <w:adjustRightInd w:val="0"/>
        <w:snapToGrid w:val="0"/>
        <w:spacing w:line="560" w:lineRule="exact"/>
        <w:ind w:firstLine="641"/>
        <w:textAlignment w:val="baseline"/>
        <w:outlineLvl w:val="0"/>
        <w:rPr>
          <w:rFonts w:eastAsia="黑体"/>
          <w:bCs/>
          <w:sz w:val="32"/>
          <w:szCs w:val="32"/>
        </w:rPr>
      </w:pPr>
      <w:bookmarkStart w:id="14" w:name="_Toc17729"/>
      <w:bookmarkStart w:id="15" w:name="_Toc22430"/>
      <w:r>
        <w:rPr>
          <w:rFonts w:eastAsia="黑体" w:hint="eastAsia"/>
          <w:bCs/>
          <w:sz w:val="32"/>
          <w:szCs w:val="32"/>
        </w:rPr>
        <w:t>六</w:t>
      </w:r>
      <w:r>
        <w:rPr>
          <w:rFonts w:eastAsia="黑体"/>
          <w:bCs/>
          <w:sz w:val="32"/>
          <w:szCs w:val="32"/>
        </w:rPr>
        <w:t>、存在的问题</w:t>
      </w:r>
      <w:bookmarkEnd w:id="14"/>
      <w:bookmarkEnd w:id="15"/>
    </w:p>
    <w:p w:rsidR="00D61430" w:rsidRDefault="00CF5FE6">
      <w:pPr>
        <w:adjustRightInd w:val="0"/>
        <w:snapToGrid w:val="0"/>
        <w:spacing w:line="560" w:lineRule="exact"/>
        <w:ind w:firstLineChars="200" w:firstLine="640"/>
        <w:rPr>
          <w:rFonts w:ascii="仿宋_GB2312" w:eastAsia="仿宋_GB2312"/>
          <w:sz w:val="32"/>
          <w:szCs w:val="32"/>
        </w:rPr>
      </w:pPr>
      <w:bookmarkStart w:id="16" w:name="_Toc52324511"/>
      <w:bookmarkStart w:id="17" w:name="_Toc9228"/>
      <w:bookmarkStart w:id="18" w:name="_Toc26276"/>
      <w:bookmarkStart w:id="19" w:name="_Toc24209"/>
      <w:bookmarkStart w:id="20" w:name="_Toc5996"/>
      <w:r>
        <w:rPr>
          <w:rFonts w:ascii="仿宋_GB2312" w:eastAsia="仿宋_GB2312" w:hint="eastAsia"/>
          <w:sz w:val="32"/>
          <w:szCs w:val="32"/>
        </w:rPr>
        <w:t>因为疫情原因预算执行率偏低；需进一步加强队伍建设，</w:t>
      </w:r>
      <w:proofErr w:type="gramStart"/>
      <w:r>
        <w:rPr>
          <w:rFonts w:ascii="仿宋_GB2312" w:eastAsia="仿宋_GB2312" w:hint="eastAsia"/>
          <w:sz w:val="32"/>
          <w:szCs w:val="32"/>
        </w:rPr>
        <w:t>提升攻坚</w:t>
      </w:r>
      <w:proofErr w:type="gramEnd"/>
      <w:r>
        <w:rPr>
          <w:rFonts w:ascii="仿宋_GB2312" w:eastAsia="仿宋_GB2312" w:hint="eastAsia"/>
          <w:sz w:val="32"/>
          <w:szCs w:val="32"/>
        </w:rPr>
        <w:t>能力。</w:t>
      </w:r>
    </w:p>
    <w:p w:rsidR="00D61430" w:rsidRDefault="00CF5FE6">
      <w:pPr>
        <w:overflowPunct w:val="0"/>
        <w:autoSpaceDE w:val="0"/>
        <w:autoSpaceDN w:val="0"/>
        <w:adjustRightInd w:val="0"/>
        <w:snapToGrid w:val="0"/>
        <w:spacing w:line="560" w:lineRule="exact"/>
        <w:ind w:firstLine="640"/>
        <w:textAlignment w:val="baseline"/>
        <w:outlineLvl w:val="0"/>
        <w:rPr>
          <w:rFonts w:eastAsia="黑体"/>
          <w:bCs/>
          <w:sz w:val="32"/>
          <w:szCs w:val="32"/>
        </w:rPr>
      </w:pPr>
      <w:bookmarkStart w:id="21" w:name="_Toc5305"/>
      <w:bookmarkEnd w:id="16"/>
      <w:bookmarkEnd w:id="17"/>
      <w:bookmarkEnd w:id="18"/>
      <w:bookmarkEnd w:id="19"/>
      <w:r>
        <w:rPr>
          <w:rFonts w:eastAsia="黑体" w:hint="eastAsia"/>
          <w:bCs/>
          <w:sz w:val="32"/>
          <w:szCs w:val="32"/>
        </w:rPr>
        <w:t>七、相关建议</w:t>
      </w:r>
      <w:bookmarkEnd w:id="20"/>
      <w:bookmarkEnd w:id="21"/>
    </w:p>
    <w:p w:rsidR="00D61430" w:rsidRDefault="00CF5FE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按项目时间节点抓好预算执行，并建立相应的监督管理措施，规范预算执行，提高预算执行率；加强队伍建设，</w:t>
      </w:r>
      <w:proofErr w:type="gramStart"/>
      <w:r>
        <w:rPr>
          <w:rFonts w:ascii="仿宋_GB2312" w:eastAsia="仿宋_GB2312" w:hint="eastAsia"/>
          <w:sz w:val="32"/>
          <w:szCs w:val="32"/>
        </w:rPr>
        <w:t>提升攻坚</w:t>
      </w:r>
      <w:proofErr w:type="gramEnd"/>
      <w:r>
        <w:rPr>
          <w:rFonts w:ascii="仿宋_GB2312" w:eastAsia="仿宋_GB2312" w:hint="eastAsia"/>
          <w:sz w:val="32"/>
          <w:szCs w:val="32"/>
        </w:rPr>
        <w:t>能力。</w:t>
      </w:r>
    </w:p>
    <w:p w:rsidR="00D61430" w:rsidRDefault="00D61430">
      <w:pPr>
        <w:adjustRightInd w:val="0"/>
        <w:snapToGrid w:val="0"/>
        <w:spacing w:line="560" w:lineRule="exact"/>
        <w:ind w:firstLineChars="200" w:firstLine="640"/>
        <w:rPr>
          <w:rFonts w:ascii="仿宋_GB2312" w:eastAsia="仿宋_GB2312"/>
          <w:sz w:val="32"/>
          <w:szCs w:val="32"/>
        </w:rPr>
      </w:pPr>
    </w:p>
    <w:p w:rsidR="00D61430" w:rsidRDefault="00CF5FE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附件：2020年度青岛市扶贫协作工作经费绩效评价打分表</w:t>
      </w:r>
    </w:p>
    <w:p w:rsidR="00D61430" w:rsidRDefault="00D61430">
      <w:pPr>
        <w:spacing w:line="560" w:lineRule="exact"/>
        <w:ind w:firstLineChars="200" w:firstLine="640"/>
        <w:jc w:val="right"/>
        <w:rPr>
          <w:rFonts w:ascii="仿宋_GB2312" w:eastAsia="仿宋_GB2312"/>
          <w:sz w:val="32"/>
          <w:szCs w:val="32"/>
        </w:rPr>
      </w:pPr>
    </w:p>
    <w:p w:rsidR="00D61430" w:rsidRDefault="00CF5FE6">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青岛市扶贫协作工作办公室</w:t>
      </w:r>
    </w:p>
    <w:p w:rsidR="00D61430" w:rsidRDefault="00CF5FE6">
      <w:pPr>
        <w:spacing w:line="560" w:lineRule="exact"/>
        <w:ind w:firstLineChars="200"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2021年5月</w:t>
      </w:r>
    </w:p>
    <w:p w:rsidR="00D61430" w:rsidRDefault="00D61430">
      <w:pPr>
        <w:spacing w:line="560" w:lineRule="exact"/>
        <w:rPr>
          <w:rFonts w:ascii="仿宋_GB2312" w:eastAsia="仿宋_GB2312" w:hAnsi="仿宋"/>
          <w:color w:val="000000"/>
          <w:sz w:val="32"/>
          <w:szCs w:val="32"/>
        </w:rPr>
        <w:sectPr w:rsidR="00D61430">
          <w:footerReference w:type="default" r:id="rId12"/>
          <w:pgSz w:w="11906" w:h="16838"/>
          <w:pgMar w:top="2098" w:right="1474" w:bottom="1985" w:left="1588" w:header="851" w:footer="992" w:gutter="0"/>
          <w:pgNumType w:fmt="numberInDash" w:start="3"/>
          <w:cols w:space="720"/>
          <w:docGrid w:type="lines" w:linePitch="312"/>
        </w:sectPr>
      </w:pPr>
    </w:p>
    <w:tbl>
      <w:tblPr>
        <w:tblW w:w="15158" w:type="dxa"/>
        <w:tblLayout w:type="fixed"/>
        <w:tblCellMar>
          <w:left w:w="0" w:type="dxa"/>
          <w:right w:w="0" w:type="dxa"/>
        </w:tblCellMar>
        <w:tblLook w:val="04A0"/>
      </w:tblPr>
      <w:tblGrid>
        <w:gridCol w:w="477"/>
        <w:gridCol w:w="525"/>
        <w:gridCol w:w="585"/>
        <w:gridCol w:w="615"/>
        <w:gridCol w:w="660"/>
        <w:gridCol w:w="3465"/>
        <w:gridCol w:w="870"/>
        <w:gridCol w:w="6795"/>
        <w:gridCol w:w="450"/>
        <w:gridCol w:w="716"/>
      </w:tblGrid>
      <w:tr w:rsidR="00D61430">
        <w:trPr>
          <w:trHeight w:val="570"/>
        </w:trPr>
        <w:tc>
          <w:tcPr>
            <w:tcW w:w="15158" w:type="dxa"/>
            <w:gridSpan w:val="10"/>
            <w:tcBorders>
              <w:top w:val="nil"/>
              <w:left w:val="nil"/>
              <w:bottom w:val="nil"/>
              <w:right w:val="nil"/>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32"/>
                <w:szCs w:val="32"/>
              </w:rPr>
            </w:pPr>
            <w:r>
              <w:rPr>
                <w:rFonts w:ascii="仿宋_GB2312" w:eastAsia="仿宋_GB2312" w:hAnsi="Tahoma" w:cs="仿宋_GB2312" w:hint="eastAsia"/>
                <w:b/>
                <w:color w:val="000000"/>
                <w:kern w:val="0"/>
                <w:sz w:val="32"/>
                <w:szCs w:val="32"/>
              </w:rPr>
              <w:lastRenderedPageBreak/>
              <w:t>2020</w:t>
            </w:r>
            <w:r>
              <w:rPr>
                <w:rFonts w:ascii="仿宋_GB2312" w:eastAsia="仿宋_GB2312" w:hAnsi="Tahoma" w:cs="仿宋_GB2312"/>
                <w:b/>
                <w:color w:val="000000"/>
                <w:kern w:val="0"/>
                <w:sz w:val="32"/>
                <w:szCs w:val="32"/>
              </w:rPr>
              <w:t>年度青岛市扶贫协作工作</w:t>
            </w:r>
            <w:r>
              <w:rPr>
                <w:rFonts w:ascii="仿宋_GB2312" w:eastAsia="仿宋_GB2312" w:hAnsi="Tahoma" w:cs="仿宋_GB2312" w:hint="eastAsia"/>
                <w:b/>
                <w:color w:val="000000"/>
                <w:kern w:val="0"/>
                <w:sz w:val="32"/>
                <w:szCs w:val="32"/>
              </w:rPr>
              <w:t>专项</w:t>
            </w:r>
            <w:r>
              <w:rPr>
                <w:rFonts w:ascii="仿宋_GB2312" w:eastAsia="仿宋_GB2312" w:hAnsi="Tahoma" w:cs="仿宋_GB2312"/>
                <w:b/>
                <w:color w:val="000000"/>
                <w:kern w:val="0"/>
                <w:sz w:val="32"/>
                <w:szCs w:val="32"/>
              </w:rPr>
              <w:t>经费绩效评价</w:t>
            </w:r>
            <w:proofErr w:type="gramStart"/>
            <w:r>
              <w:rPr>
                <w:rFonts w:ascii="仿宋_GB2312" w:eastAsia="仿宋_GB2312" w:hAnsi="Tahoma" w:cs="仿宋_GB2312"/>
                <w:b/>
                <w:color w:val="000000"/>
                <w:kern w:val="0"/>
                <w:sz w:val="32"/>
                <w:szCs w:val="32"/>
              </w:rPr>
              <w:t>打分表</w:t>
            </w:r>
            <w:proofErr w:type="gramEnd"/>
          </w:p>
        </w:tc>
      </w:tr>
      <w:tr w:rsidR="00D61430">
        <w:trPr>
          <w:trHeight w:val="795"/>
        </w:trPr>
        <w:tc>
          <w:tcPr>
            <w:tcW w:w="477"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一级</w:t>
            </w:r>
            <w:r>
              <w:rPr>
                <w:rFonts w:ascii="仿宋_GB2312" w:eastAsia="仿宋_GB2312" w:hAnsi="Tahoma" w:cs="仿宋_GB2312"/>
                <w:b/>
                <w:color w:val="000000"/>
                <w:kern w:val="0"/>
                <w:sz w:val="22"/>
                <w:szCs w:val="22"/>
              </w:rPr>
              <w:br/>
              <w:t>指标</w:t>
            </w:r>
          </w:p>
        </w:tc>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二级指标</w:t>
            </w:r>
          </w:p>
        </w:tc>
        <w:tc>
          <w:tcPr>
            <w:tcW w:w="585"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三级指标</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四级指标</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权重</w:t>
            </w:r>
          </w:p>
        </w:tc>
        <w:tc>
          <w:tcPr>
            <w:tcW w:w="3465"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指标解释</w:t>
            </w:r>
          </w:p>
        </w:tc>
        <w:tc>
          <w:tcPr>
            <w:tcW w:w="87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标杆值</w:t>
            </w:r>
          </w:p>
        </w:tc>
        <w:tc>
          <w:tcPr>
            <w:tcW w:w="6795"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评分标准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得分</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得分率</w:t>
            </w:r>
          </w:p>
        </w:tc>
      </w:tr>
      <w:tr w:rsidR="00D61430">
        <w:trPr>
          <w:trHeight w:val="2520"/>
        </w:trPr>
        <w:tc>
          <w:tcPr>
            <w:tcW w:w="477"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决策</w:t>
            </w:r>
            <w:r>
              <w:rPr>
                <w:rFonts w:ascii="仿宋_GB2312" w:eastAsia="仿宋_GB2312" w:hAnsi="Tahoma" w:cs="仿宋_GB2312"/>
                <w:color w:val="000000"/>
                <w:kern w:val="0"/>
                <w:sz w:val="22"/>
                <w:szCs w:val="22"/>
              </w:rPr>
              <w:br/>
              <w:t>（20分）</w:t>
            </w:r>
          </w:p>
        </w:tc>
        <w:tc>
          <w:tcPr>
            <w:tcW w:w="525"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项目立项（6分）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立项依据</w:t>
            </w:r>
            <w:r>
              <w:rPr>
                <w:rFonts w:ascii="仿宋_GB2312" w:eastAsia="仿宋_GB2312" w:hAnsi="Tahoma" w:cs="仿宋_GB2312"/>
                <w:color w:val="000000"/>
                <w:kern w:val="0"/>
                <w:sz w:val="22"/>
                <w:szCs w:val="22"/>
              </w:rPr>
              <w:br/>
              <w:t>充分性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3</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项目立项是否符合法律法规、相关政策、发展规划以及部门职责，用以反映和考核项目立项依据情况。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充分</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项目立项是否符合国家法律法规、国民经济发展规划和相关政策；</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项目立项是否符合行业发展规划和政策要求；</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项目立项是否与部门职责范围相符，属于部门履职所需；</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④</w:t>
            </w:r>
            <w:r>
              <w:rPr>
                <w:rFonts w:ascii="仿宋_GB2312" w:eastAsia="仿宋_GB2312" w:hAnsi="Tahoma" w:cs="仿宋_GB2312"/>
                <w:color w:val="000000"/>
                <w:kern w:val="0"/>
                <w:sz w:val="22"/>
                <w:szCs w:val="22"/>
              </w:rPr>
              <w:t>项目是否属于公共财政支持范围，是否符合中央、地方事权支出责任划分原则；</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⑤</w:t>
            </w:r>
            <w:r>
              <w:rPr>
                <w:rFonts w:ascii="仿宋_GB2312" w:eastAsia="仿宋_GB2312" w:hAnsi="Tahoma" w:cs="仿宋_GB2312"/>
                <w:color w:val="000000"/>
                <w:kern w:val="0"/>
                <w:sz w:val="22"/>
                <w:szCs w:val="22"/>
              </w:rPr>
              <w:t>项目是否与相关部门同类项目或部门内部相关项目不重复。</w:t>
            </w:r>
            <w:r>
              <w:rPr>
                <w:rFonts w:ascii="仿宋_GB2312" w:eastAsia="仿宋_GB2312" w:hAnsi="Tahoma" w:cs="仿宋_GB2312"/>
                <w:color w:val="000000"/>
                <w:kern w:val="0"/>
                <w:sz w:val="22"/>
                <w:szCs w:val="22"/>
              </w:rPr>
              <w:br/>
              <w:t>5项各占1/5权重分，每有一项不满足，则扣除相应权重分。</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3</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96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立项程序</w:t>
            </w:r>
            <w:r>
              <w:rPr>
                <w:rFonts w:ascii="仿宋_GB2312" w:eastAsia="仿宋_GB2312" w:hAnsi="Tahoma" w:cs="仿宋_GB2312"/>
                <w:color w:val="000000"/>
                <w:kern w:val="0"/>
                <w:sz w:val="22"/>
                <w:szCs w:val="22"/>
              </w:rPr>
              <w:br/>
              <w:t>规范性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3</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项目的申请、设立过程是否符合相关要求，用以反映和考核项目立项的规范情况。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规范</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项目按照规定的程序申请设立；</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所提交的文件、材料符合相关要求；</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事前已经过必要的可行性研究、专家论证、风险评估、绩效评估、集体决策等。</w:t>
            </w:r>
            <w:r>
              <w:rPr>
                <w:rFonts w:ascii="仿宋_GB2312" w:eastAsia="仿宋_GB2312" w:hAnsi="Tahoma" w:cs="仿宋_GB2312"/>
                <w:color w:val="000000"/>
                <w:kern w:val="0"/>
                <w:sz w:val="22"/>
                <w:szCs w:val="22"/>
              </w:rPr>
              <w:br/>
              <w:t>若</w:t>
            </w:r>
            <w:r>
              <w:rPr>
                <w:rFonts w:ascii="仿宋_GB2312" w:eastAsia="仿宋_GB2312" w:hAnsi="Tahoma" w:cs="仿宋_GB2312"/>
                <w:color w:val="000000"/>
                <w:kern w:val="0"/>
                <w:sz w:val="22"/>
                <w:szCs w:val="22"/>
              </w:rPr>
              <w:t>①②③</w:t>
            </w:r>
            <w:r>
              <w:rPr>
                <w:rFonts w:ascii="仿宋_GB2312" w:eastAsia="仿宋_GB2312" w:hAnsi="Tahoma" w:cs="仿宋_GB2312"/>
                <w:color w:val="000000"/>
                <w:kern w:val="0"/>
                <w:sz w:val="22"/>
                <w:szCs w:val="22"/>
              </w:rPr>
              <w:t>齐全得权重100%；如不符合</w:t>
            </w: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得0分；缺</w:t>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扣权重1/3；缺</w:t>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扣权重1/3。</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3</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68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绩效目标（6分）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绩效目标</w:t>
            </w:r>
            <w:r>
              <w:rPr>
                <w:rFonts w:ascii="仿宋_GB2312" w:eastAsia="仿宋_GB2312" w:hAnsi="Tahoma" w:cs="仿宋_GB2312"/>
                <w:color w:val="000000"/>
                <w:kern w:val="0"/>
                <w:sz w:val="22"/>
                <w:szCs w:val="22"/>
              </w:rPr>
              <w:br/>
              <w:t>合理性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3</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项目所设定的绩效目标是否依据充分，是否符合客观实际，用以反映和考核项目绩效目标与项目实施的相符情况。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合理</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项目有绩效目标；</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项目绩效目标与实际工作内容具有相关性；</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项目预期产出效益和效果符合正常的业绩水平；</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④</w:t>
            </w:r>
            <w:r>
              <w:rPr>
                <w:rFonts w:ascii="仿宋_GB2312" w:eastAsia="仿宋_GB2312" w:hAnsi="Tahoma" w:cs="仿宋_GB2312"/>
                <w:color w:val="000000"/>
                <w:kern w:val="0"/>
                <w:sz w:val="22"/>
                <w:szCs w:val="22"/>
              </w:rPr>
              <w:t>绩效目标与预算确定的项目投资额或资金量相匹配。</w:t>
            </w:r>
            <w:r>
              <w:rPr>
                <w:rFonts w:ascii="仿宋_GB2312" w:eastAsia="仿宋_GB2312" w:hAnsi="Tahoma" w:cs="仿宋_GB2312"/>
                <w:color w:val="000000"/>
                <w:kern w:val="0"/>
                <w:sz w:val="22"/>
                <w:szCs w:val="22"/>
              </w:rPr>
              <w:br/>
              <w:t>4项各占1/4权重分，每有一项不满足，则扣除相应权重分。</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1.5</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50.00%</w:t>
            </w:r>
          </w:p>
        </w:tc>
      </w:tr>
      <w:tr w:rsidR="00D61430">
        <w:trPr>
          <w:trHeight w:val="140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绩效指标</w:t>
            </w:r>
            <w:r>
              <w:rPr>
                <w:rFonts w:ascii="仿宋_GB2312" w:eastAsia="仿宋_GB2312" w:hAnsi="Tahoma" w:cs="仿宋_GB2312"/>
                <w:color w:val="000000"/>
                <w:kern w:val="0"/>
                <w:sz w:val="22"/>
                <w:szCs w:val="22"/>
              </w:rPr>
              <w:br/>
              <w:t>明确性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3</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依据绩效目标设定的绩效指标是否清晰、细化、可衡量等，用以反映和考核项目绩效目标的</w:t>
            </w:r>
            <w:proofErr w:type="gramStart"/>
            <w:r>
              <w:rPr>
                <w:rFonts w:ascii="仿宋_GB2312" w:eastAsia="仿宋_GB2312" w:hAnsi="Tahoma" w:cs="仿宋_GB2312"/>
                <w:color w:val="000000"/>
                <w:kern w:val="0"/>
                <w:sz w:val="22"/>
                <w:szCs w:val="22"/>
              </w:rPr>
              <w:t>明细化</w:t>
            </w:r>
            <w:proofErr w:type="gramEnd"/>
            <w:r>
              <w:rPr>
                <w:rFonts w:ascii="仿宋_GB2312" w:eastAsia="仿宋_GB2312" w:hAnsi="Tahoma" w:cs="仿宋_GB2312"/>
                <w:color w:val="000000"/>
                <w:kern w:val="0"/>
                <w:sz w:val="22"/>
                <w:szCs w:val="22"/>
              </w:rPr>
              <w:t>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明确</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将项目绩效目标细化分解为具体的绩效指标；</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指标值清晰、可衡量；</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指标值与项目年度任务数或计划数相对应。</w:t>
            </w:r>
            <w:r>
              <w:rPr>
                <w:rFonts w:ascii="仿宋_GB2312" w:eastAsia="仿宋_GB2312" w:hAnsi="Tahoma" w:cs="仿宋_GB2312"/>
                <w:color w:val="000000"/>
                <w:kern w:val="0"/>
                <w:sz w:val="22"/>
                <w:szCs w:val="22"/>
              </w:rPr>
              <w:br/>
              <w:t>3项各占1/3权重分，每有一项不满足，则扣除相应权重分。</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lastRenderedPageBreak/>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lastRenderedPageBreak/>
              <w:t>1.5</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50.00%</w:t>
            </w:r>
          </w:p>
        </w:tc>
      </w:tr>
      <w:tr w:rsidR="00D61430">
        <w:trPr>
          <w:trHeight w:val="168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资金投入（8分）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预算编制</w:t>
            </w:r>
            <w:r>
              <w:rPr>
                <w:rFonts w:ascii="仿宋_GB2312" w:eastAsia="仿宋_GB2312" w:hAnsi="Tahoma" w:cs="仿宋_GB2312"/>
                <w:color w:val="000000"/>
                <w:kern w:val="0"/>
                <w:sz w:val="22"/>
                <w:szCs w:val="22"/>
              </w:rPr>
              <w:br/>
              <w:t>科学性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项目预算编制是否经过科学论证、有明确标准，资金额度与年度目标是否相适应，用以反映和考核项目预算编制的科学性、合理性情况。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科学</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预算编制经过科学论证；</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预算内容与项目内容匹配；</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预算额度测算依据充分，按照标准编制；</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④</w:t>
            </w:r>
            <w:r>
              <w:rPr>
                <w:rFonts w:ascii="仿宋_GB2312" w:eastAsia="仿宋_GB2312" w:hAnsi="Tahoma" w:cs="仿宋_GB2312"/>
                <w:color w:val="000000"/>
                <w:kern w:val="0"/>
                <w:sz w:val="22"/>
                <w:szCs w:val="22"/>
              </w:rPr>
              <w:t>预算确定的项目投资额或资金量与工作任务相匹配。</w:t>
            </w:r>
            <w:r>
              <w:rPr>
                <w:rFonts w:ascii="仿宋_GB2312" w:eastAsia="仿宋_GB2312" w:hAnsi="Tahoma" w:cs="仿宋_GB2312"/>
                <w:color w:val="000000"/>
                <w:kern w:val="0"/>
                <w:sz w:val="22"/>
                <w:szCs w:val="22"/>
              </w:rPr>
              <w:br/>
              <w:t>4项各占1/4权重分，每有一项不满足，则扣除相应权重分。</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w:t>
            </w:r>
            <w:r>
              <w:rPr>
                <w:rFonts w:ascii="仿宋_GB2312" w:eastAsia="仿宋_GB2312" w:hAnsi="Tahoma" w:cs="仿宋_GB2312"/>
                <w:color w:val="000000"/>
                <w:kern w:val="0"/>
                <w:sz w:val="22"/>
                <w:szCs w:val="22"/>
              </w:rPr>
              <w:t>.00%</w:t>
            </w:r>
          </w:p>
        </w:tc>
      </w:tr>
      <w:tr w:rsidR="00D61430">
        <w:trPr>
          <w:trHeight w:val="112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资金分配</w:t>
            </w:r>
            <w:r>
              <w:rPr>
                <w:rFonts w:ascii="仿宋_GB2312" w:eastAsia="仿宋_GB2312" w:hAnsi="Tahoma" w:cs="仿宋_GB2312"/>
                <w:color w:val="000000"/>
                <w:kern w:val="0"/>
                <w:sz w:val="22"/>
                <w:szCs w:val="22"/>
              </w:rPr>
              <w:br/>
              <w:t>合理性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考察项目资金分配是否有测算依据，预算安排内容与专项资金的设立目的及年度工作重点是否一致，用以反映和考核项目预算资金分配的科学性、合理性。</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合理</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项目资金分配有测算依据得1/2权重分；</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根据预算安排内容与专项资金的设立目的及年度工作重点的匹配程度判断，分别得年度剩余权重的100%、75%、50%、25%和0%。</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120"/>
        </w:trPr>
        <w:tc>
          <w:tcPr>
            <w:tcW w:w="477"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过程</w:t>
            </w:r>
            <w:r>
              <w:rPr>
                <w:rFonts w:ascii="仿宋_GB2312" w:eastAsia="仿宋_GB2312" w:hAnsi="Tahoma" w:cs="仿宋_GB2312"/>
                <w:color w:val="000000"/>
                <w:kern w:val="0"/>
                <w:sz w:val="22"/>
                <w:szCs w:val="22"/>
              </w:rPr>
              <w:br/>
              <w:t>（20分）</w:t>
            </w:r>
          </w:p>
        </w:tc>
        <w:tc>
          <w:tcPr>
            <w:tcW w:w="525"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资金管理（8分）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资金到位率</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2</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实际到位资金与预算资金的比率，用以反映和考核</w:t>
            </w:r>
            <w:r>
              <w:rPr>
                <w:rFonts w:ascii="仿宋_GB2312" w:eastAsia="仿宋_GB2312" w:hAnsi="Tahoma" w:cs="仿宋_GB2312" w:hint="eastAsia"/>
                <w:color w:val="000000"/>
                <w:kern w:val="0"/>
                <w:sz w:val="22"/>
                <w:szCs w:val="22"/>
              </w:rPr>
              <w:t>2020</w:t>
            </w:r>
            <w:r>
              <w:rPr>
                <w:rFonts w:ascii="仿宋_GB2312" w:eastAsia="仿宋_GB2312" w:hAnsi="Tahoma" w:cs="仿宋_GB2312"/>
                <w:color w:val="000000"/>
                <w:kern w:val="0"/>
                <w:sz w:val="22"/>
                <w:szCs w:val="22"/>
              </w:rPr>
              <w:t>年度资金落实情况对项目实施的总体保障程度。资金到位率=（实际到位资金/预算资金）</w:t>
            </w:r>
            <w:r>
              <w:rPr>
                <w:rFonts w:ascii="仿宋_GB2312" w:eastAsia="仿宋_GB2312" w:hAnsi="Tahoma" w:cs="仿宋_GB2312" w:hint="eastAsia"/>
                <w:color w:val="000000"/>
                <w:kern w:val="0"/>
                <w:sz w:val="22"/>
                <w:szCs w:val="22"/>
              </w:rPr>
              <w:t>×</w:t>
            </w:r>
            <w:r>
              <w:rPr>
                <w:rFonts w:ascii="仿宋_GB2312" w:eastAsia="仿宋_GB2312" w:hAnsi="Tahoma" w:cs="仿宋_GB2312"/>
                <w:color w:val="000000"/>
                <w:kern w:val="0"/>
                <w:sz w:val="22"/>
                <w:szCs w:val="22"/>
              </w:rPr>
              <w:t>100%。</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资金到位率达100%得相应权重的100%，每下降1%扣</w:t>
            </w:r>
            <w:r>
              <w:rPr>
                <w:rFonts w:ascii="仿宋_GB2312" w:eastAsia="仿宋_GB2312" w:hAnsi="Tahoma" w:cs="仿宋_GB2312" w:hint="eastAsia"/>
                <w:color w:val="000000"/>
                <w:kern w:val="0"/>
                <w:sz w:val="22"/>
                <w:szCs w:val="22"/>
              </w:rPr>
              <w:t>1</w:t>
            </w:r>
            <w:r>
              <w:rPr>
                <w:rFonts w:ascii="仿宋_GB2312" w:eastAsia="仿宋_GB2312" w:hAnsi="Tahoma" w:cs="仿宋_GB2312"/>
                <w:color w:val="000000"/>
                <w:kern w:val="0"/>
                <w:sz w:val="22"/>
                <w:szCs w:val="22"/>
              </w:rPr>
              <w:t>%权重，扣完相应权重为止。</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2</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84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预算执行率</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2</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项目预算资金是否按照计划执行，用以反映或考核项目预算执行情况。预算执行率=（实际支出金额/实际到位资金）</w:t>
            </w:r>
            <w:r>
              <w:rPr>
                <w:rFonts w:ascii="仿宋_GB2312" w:eastAsia="仿宋_GB2312" w:hAnsi="Tahoma" w:cs="仿宋_GB2312"/>
                <w:color w:val="000000"/>
                <w:kern w:val="0"/>
                <w:sz w:val="22"/>
                <w:szCs w:val="22"/>
              </w:rPr>
              <w:t>×</w:t>
            </w:r>
            <w:r>
              <w:rPr>
                <w:rFonts w:ascii="仿宋_GB2312" w:eastAsia="仿宋_GB2312" w:hAnsi="Tahoma" w:cs="仿宋_GB2312"/>
                <w:color w:val="000000"/>
                <w:kern w:val="0"/>
                <w:sz w:val="22"/>
                <w:szCs w:val="22"/>
              </w:rPr>
              <w:t>100%。</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100</w:t>
            </w:r>
            <w:r>
              <w:rPr>
                <w:rFonts w:ascii="仿宋_GB2312" w:eastAsia="仿宋_GB2312" w:hAnsi="Tahoma" w:cs="仿宋_GB2312"/>
                <w:color w:val="000000"/>
                <w:kern w:val="0"/>
                <w:sz w:val="22"/>
                <w:szCs w:val="22"/>
              </w:rPr>
              <w:t>%</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预算执行率达</w:t>
            </w:r>
            <w:r>
              <w:rPr>
                <w:rFonts w:ascii="仿宋_GB2312" w:eastAsia="仿宋_GB2312" w:hAnsi="Tahoma" w:cs="仿宋_GB2312" w:hint="eastAsia"/>
                <w:color w:val="000000"/>
                <w:kern w:val="0"/>
                <w:sz w:val="22"/>
                <w:szCs w:val="22"/>
              </w:rPr>
              <w:t>100</w:t>
            </w:r>
            <w:r>
              <w:rPr>
                <w:rFonts w:ascii="仿宋_GB2312" w:eastAsia="仿宋_GB2312" w:hAnsi="Tahoma" w:cs="仿宋_GB2312"/>
                <w:color w:val="000000"/>
                <w:kern w:val="0"/>
                <w:sz w:val="22"/>
                <w:szCs w:val="22"/>
              </w:rPr>
              <w:t>%，则得满分，每降低1%扣</w:t>
            </w:r>
            <w:r>
              <w:rPr>
                <w:rFonts w:ascii="仿宋_GB2312" w:eastAsia="仿宋_GB2312" w:hAnsi="Tahoma" w:cs="仿宋_GB2312" w:hint="eastAsia"/>
                <w:color w:val="000000"/>
                <w:kern w:val="0"/>
                <w:sz w:val="22"/>
                <w:szCs w:val="22"/>
              </w:rPr>
              <w:t>1</w:t>
            </w:r>
            <w:r>
              <w:rPr>
                <w:rFonts w:ascii="仿宋_GB2312" w:eastAsia="仿宋_GB2312" w:hAnsi="Tahoma" w:cs="仿宋_GB2312"/>
                <w:color w:val="000000"/>
                <w:kern w:val="0"/>
                <w:sz w:val="22"/>
                <w:szCs w:val="22"/>
              </w:rPr>
              <w:t>%权重分，扣完为止。</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1.56</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78.21%</w:t>
            </w:r>
          </w:p>
        </w:tc>
      </w:tr>
      <w:tr w:rsidR="00D61430">
        <w:trPr>
          <w:trHeight w:val="252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资金使用</w:t>
            </w:r>
            <w:r>
              <w:rPr>
                <w:rFonts w:ascii="仿宋_GB2312" w:eastAsia="仿宋_GB2312" w:hAnsi="Tahoma" w:cs="仿宋_GB2312"/>
                <w:color w:val="000000"/>
                <w:kern w:val="0"/>
                <w:sz w:val="22"/>
                <w:szCs w:val="22"/>
              </w:rPr>
              <w:br/>
              <w:t>合</w:t>
            </w:r>
            <w:proofErr w:type="gramStart"/>
            <w:r>
              <w:rPr>
                <w:rFonts w:ascii="仿宋_GB2312" w:eastAsia="仿宋_GB2312" w:hAnsi="Tahoma" w:cs="仿宋_GB2312"/>
                <w:color w:val="000000"/>
                <w:kern w:val="0"/>
                <w:sz w:val="22"/>
                <w:szCs w:val="22"/>
              </w:rPr>
              <w:t>规</w:t>
            </w:r>
            <w:proofErr w:type="gramEnd"/>
            <w:r>
              <w:rPr>
                <w:rFonts w:ascii="仿宋_GB2312" w:eastAsia="仿宋_GB2312" w:hAnsi="Tahoma" w:cs="仿宋_GB2312"/>
                <w:color w:val="000000"/>
                <w:kern w:val="0"/>
                <w:sz w:val="22"/>
                <w:szCs w:val="22"/>
              </w:rPr>
              <w:t>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项目资金使用是否符合相关的财务管理制度规定，用以反映和考核项目资金的规范运行情况。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合</w:t>
            </w:r>
            <w:proofErr w:type="gramStart"/>
            <w:r>
              <w:rPr>
                <w:rFonts w:ascii="仿宋_GB2312" w:eastAsia="仿宋_GB2312" w:hAnsi="Tahoma" w:cs="仿宋_GB2312"/>
                <w:color w:val="000000"/>
                <w:kern w:val="0"/>
                <w:sz w:val="22"/>
                <w:szCs w:val="22"/>
              </w:rPr>
              <w:t>规</w:t>
            </w:r>
            <w:proofErr w:type="gramEnd"/>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符合国家财经法规和财务管理制度以及有关专项资金管理办法的规定；</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资金的拨付有完整的审批程序和手续；</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符合项目预算批复或合同规定的用途；</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④</w:t>
            </w:r>
            <w:r>
              <w:rPr>
                <w:rFonts w:ascii="仿宋_GB2312" w:eastAsia="仿宋_GB2312" w:hAnsi="Tahoma" w:cs="仿宋_GB2312"/>
                <w:color w:val="000000"/>
                <w:kern w:val="0"/>
                <w:sz w:val="22"/>
                <w:szCs w:val="22"/>
              </w:rPr>
              <w:t>不存在截留、挤占、挪用、虚列支出等情况。</w:t>
            </w:r>
            <w:r>
              <w:rPr>
                <w:rFonts w:ascii="仿宋_GB2312" w:eastAsia="仿宋_GB2312" w:hAnsi="Tahoma" w:cs="仿宋_GB2312"/>
                <w:color w:val="000000"/>
                <w:kern w:val="0"/>
                <w:sz w:val="22"/>
                <w:szCs w:val="22"/>
              </w:rPr>
              <w:br/>
              <w:t>4项全部符合视为使用合</w:t>
            </w:r>
            <w:proofErr w:type="gramStart"/>
            <w:r>
              <w:rPr>
                <w:rFonts w:ascii="仿宋_GB2312" w:eastAsia="仿宋_GB2312" w:hAnsi="Tahoma" w:cs="仿宋_GB2312"/>
                <w:color w:val="000000"/>
                <w:kern w:val="0"/>
                <w:sz w:val="22"/>
                <w:szCs w:val="22"/>
              </w:rPr>
              <w:t>规</w:t>
            </w:r>
            <w:proofErr w:type="gramEnd"/>
            <w:r>
              <w:rPr>
                <w:rFonts w:ascii="仿宋_GB2312" w:eastAsia="仿宋_GB2312" w:hAnsi="Tahoma" w:cs="仿宋_GB2312"/>
                <w:color w:val="000000"/>
                <w:kern w:val="0"/>
                <w:sz w:val="22"/>
                <w:szCs w:val="22"/>
              </w:rPr>
              <w:t>，得满分；存在</w:t>
            </w: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或</w:t>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或</w:t>
            </w:r>
            <w:r>
              <w:rPr>
                <w:rFonts w:ascii="仿宋_GB2312" w:eastAsia="仿宋_GB2312" w:hAnsi="Tahoma" w:cs="仿宋_GB2312"/>
                <w:color w:val="000000"/>
                <w:kern w:val="0"/>
                <w:sz w:val="22"/>
                <w:szCs w:val="22"/>
              </w:rPr>
              <w:t>④</w:t>
            </w:r>
            <w:r>
              <w:rPr>
                <w:rFonts w:ascii="仿宋_GB2312" w:eastAsia="仿宋_GB2312" w:hAnsi="Tahoma" w:cs="仿宋_GB2312"/>
                <w:color w:val="000000"/>
                <w:kern w:val="0"/>
                <w:sz w:val="22"/>
                <w:szCs w:val="22"/>
              </w:rPr>
              <w:t>不满足时属于严重违规事项，本项指标不得分；在</w:t>
            </w:r>
            <w:r>
              <w:rPr>
                <w:rFonts w:ascii="仿宋_GB2312" w:eastAsia="仿宋_GB2312" w:hAnsi="Tahoma" w:cs="仿宋_GB2312"/>
                <w:color w:val="000000"/>
                <w:kern w:val="0"/>
                <w:sz w:val="22"/>
                <w:szCs w:val="22"/>
              </w:rPr>
              <w:t>①③④</w:t>
            </w:r>
            <w:r>
              <w:rPr>
                <w:rFonts w:ascii="仿宋_GB2312" w:eastAsia="仿宋_GB2312" w:hAnsi="Tahoma" w:cs="仿宋_GB2312"/>
                <w:color w:val="000000"/>
                <w:kern w:val="0"/>
                <w:sz w:val="22"/>
                <w:szCs w:val="22"/>
              </w:rPr>
              <w:t>同时符合，</w:t>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不符合时，本项指标得75%权重分；</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68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 xml:space="preserve">组织实施（12分） </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 xml:space="preserve"> 管理制度</w:t>
            </w:r>
            <w:r>
              <w:rPr>
                <w:rFonts w:ascii="仿宋_GB2312" w:eastAsia="仿宋_GB2312" w:hAnsi="Tahoma" w:cs="仿宋_GB2312"/>
                <w:color w:val="000000"/>
                <w:kern w:val="0"/>
                <w:sz w:val="22"/>
                <w:szCs w:val="22"/>
              </w:rPr>
              <w:br/>
              <w:t>健全性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6</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项目实施单位的管理制度是否健全，是否已制定或具有相应的财务和业务管理制度，财务和业务管理制度是否合法、合</w:t>
            </w:r>
            <w:proofErr w:type="gramStart"/>
            <w:r>
              <w:rPr>
                <w:rFonts w:ascii="仿宋_GB2312" w:eastAsia="仿宋_GB2312" w:hAnsi="Tahoma" w:cs="仿宋_GB2312"/>
                <w:color w:val="000000"/>
                <w:kern w:val="0"/>
                <w:sz w:val="22"/>
                <w:szCs w:val="22"/>
              </w:rPr>
              <w:t>规</w:t>
            </w:r>
            <w:proofErr w:type="gramEnd"/>
            <w:r>
              <w:rPr>
                <w:rFonts w:ascii="仿宋_GB2312" w:eastAsia="仿宋_GB2312" w:hAnsi="Tahoma" w:cs="仿宋_GB2312"/>
                <w:color w:val="000000"/>
                <w:kern w:val="0"/>
                <w:sz w:val="22"/>
                <w:szCs w:val="22"/>
              </w:rPr>
              <w:t>、完整。用以反映和考核财务和业务管理制度对项目顺利实施的保障情况。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健全</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制定或具有相应的财务管理制度；</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制定或具有相应的业务管理制度；</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财务管理制度合法、合</w:t>
            </w:r>
            <w:proofErr w:type="gramStart"/>
            <w:r>
              <w:rPr>
                <w:rFonts w:ascii="仿宋_GB2312" w:eastAsia="仿宋_GB2312" w:hAnsi="Tahoma" w:cs="仿宋_GB2312"/>
                <w:color w:val="000000"/>
                <w:kern w:val="0"/>
                <w:sz w:val="22"/>
                <w:szCs w:val="22"/>
              </w:rPr>
              <w:t>规</w:t>
            </w:r>
            <w:proofErr w:type="gramEnd"/>
            <w:r>
              <w:rPr>
                <w:rFonts w:ascii="仿宋_GB2312" w:eastAsia="仿宋_GB2312" w:hAnsi="Tahoma" w:cs="仿宋_GB2312"/>
                <w:color w:val="000000"/>
                <w:kern w:val="0"/>
                <w:sz w:val="22"/>
                <w:szCs w:val="22"/>
              </w:rPr>
              <w:t>、完整；</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④</w:t>
            </w:r>
            <w:r>
              <w:rPr>
                <w:rFonts w:ascii="仿宋_GB2312" w:eastAsia="仿宋_GB2312" w:hAnsi="Tahoma" w:cs="仿宋_GB2312"/>
                <w:color w:val="000000"/>
                <w:kern w:val="0"/>
                <w:sz w:val="22"/>
                <w:szCs w:val="22"/>
              </w:rPr>
              <w:t>业务管理制度合法、合</w:t>
            </w:r>
            <w:proofErr w:type="gramStart"/>
            <w:r>
              <w:rPr>
                <w:rFonts w:ascii="仿宋_GB2312" w:eastAsia="仿宋_GB2312" w:hAnsi="Tahoma" w:cs="仿宋_GB2312"/>
                <w:color w:val="000000"/>
                <w:kern w:val="0"/>
                <w:sz w:val="22"/>
                <w:szCs w:val="22"/>
              </w:rPr>
              <w:t>规</w:t>
            </w:r>
            <w:proofErr w:type="gramEnd"/>
            <w:r>
              <w:rPr>
                <w:rFonts w:ascii="仿宋_GB2312" w:eastAsia="仿宋_GB2312" w:hAnsi="Tahoma" w:cs="仿宋_GB2312"/>
                <w:color w:val="000000"/>
                <w:kern w:val="0"/>
                <w:sz w:val="22"/>
                <w:szCs w:val="22"/>
              </w:rPr>
              <w:t>、完整。</w:t>
            </w:r>
            <w:r>
              <w:rPr>
                <w:rFonts w:ascii="仿宋_GB2312" w:eastAsia="仿宋_GB2312" w:hAnsi="Tahoma" w:cs="仿宋_GB2312"/>
                <w:color w:val="000000"/>
                <w:kern w:val="0"/>
                <w:sz w:val="22"/>
                <w:szCs w:val="22"/>
              </w:rPr>
              <w:br/>
              <w:t>4项各占1/4权重分，每有一项不满足，则扣除相应权重分。</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6</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68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制度执行</w:t>
            </w:r>
            <w:r>
              <w:rPr>
                <w:rFonts w:ascii="仿宋_GB2312" w:eastAsia="仿宋_GB2312" w:hAnsi="Tahoma" w:cs="仿宋_GB2312"/>
                <w:color w:val="000000"/>
                <w:kern w:val="0"/>
                <w:sz w:val="22"/>
                <w:szCs w:val="22"/>
              </w:rPr>
              <w:br/>
              <w:t>有效性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6</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项目实施是否符合相关管理规定，用以反映和考核相关管理制度的有效执行情况。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有效</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①</w:t>
            </w:r>
            <w:r>
              <w:rPr>
                <w:rFonts w:ascii="仿宋_GB2312" w:eastAsia="仿宋_GB2312" w:hAnsi="Tahoma" w:cs="仿宋_GB2312"/>
                <w:color w:val="000000"/>
                <w:kern w:val="0"/>
                <w:sz w:val="22"/>
                <w:szCs w:val="22"/>
              </w:rPr>
              <w:t>遵守相关法律法规和相关管理规定；</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②</w:t>
            </w:r>
            <w:r>
              <w:rPr>
                <w:rFonts w:ascii="仿宋_GB2312" w:eastAsia="仿宋_GB2312" w:hAnsi="Tahoma" w:cs="仿宋_GB2312"/>
                <w:color w:val="000000"/>
                <w:kern w:val="0"/>
                <w:sz w:val="22"/>
                <w:szCs w:val="22"/>
              </w:rPr>
              <w:t>项目调整及支出调整手续完备；</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③</w:t>
            </w:r>
            <w:r>
              <w:rPr>
                <w:rFonts w:ascii="仿宋_GB2312" w:eastAsia="仿宋_GB2312" w:hAnsi="Tahoma" w:cs="仿宋_GB2312"/>
                <w:color w:val="000000"/>
                <w:kern w:val="0"/>
                <w:sz w:val="22"/>
                <w:szCs w:val="22"/>
              </w:rPr>
              <w:t>项目合同书、验收报告、技术鉴定等资料齐全并及时归档；</w:t>
            </w:r>
            <w:r>
              <w:rPr>
                <w:rFonts w:ascii="仿宋_GB2312" w:eastAsia="仿宋_GB2312" w:hAnsi="Tahoma" w:cs="仿宋_GB2312"/>
                <w:color w:val="000000"/>
                <w:kern w:val="0"/>
                <w:sz w:val="22"/>
                <w:szCs w:val="22"/>
              </w:rPr>
              <w:br/>
            </w:r>
            <w:r>
              <w:rPr>
                <w:rFonts w:ascii="仿宋_GB2312" w:eastAsia="仿宋_GB2312" w:hAnsi="Tahoma" w:cs="仿宋_GB2312"/>
                <w:color w:val="000000"/>
                <w:kern w:val="0"/>
                <w:sz w:val="22"/>
                <w:szCs w:val="22"/>
              </w:rPr>
              <w:t>④</w:t>
            </w:r>
            <w:r>
              <w:rPr>
                <w:rFonts w:ascii="仿宋_GB2312" w:eastAsia="仿宋_GB2312" w:hAnsi="Tahoma" w:cs="仿宋_GB2312"/>
                <w:color w:val="000000"/>
                <w:kern w:val="0"/>
                <w:sz w:val="22"/>
                <w:szCs w:val="22"/>
              </w:rPr>
              <w:t>项目实施的人员条件、场地设备、信息支撑等落实到位。</w:t>
            </w:r>
            <w:r>
              <w:rPr>
                <w:rFonts w:ascii="仿宋_GB2312" w:eastAsia="仿宋_GB2312" w:hAnsi="Tahoma" w:cs="仿宋_GB2312"/>
                <w:color w:val="000000"/>
                <w:kern w:val="0"/>
                <w:sz w:val="22"/>
                <w:szCs w:val="22"/>
              </w:rPr>
              <w:br/>
              <w:t>4项各占1/4权重分，每有一项不满足，则扣除相应权重分。</w:t>
            </w:r>
            <w:r>
              <w:rPr>
                <w:rFonts w:ascii="仿宋_GB2312" w:eastAsia="仿宋_GB2312" w:hAnsi="Tahoma" w:cs="仿宋_GB2312"/>
                <w:color w:val="000000"/>
                <w:kern w:val="0"/>
                <w:sz w:val="22"/>
                <w:szCs w:val="22"/>
              </w:rPr>
              <w:br/>
              <w:t>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6</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2240"/>
        </w:trPr>
        <w:tc>
          <w:tcPr>
            <w:tcW w:w="477"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产出</w:t>
            </w:r>
            <w:r>
              <w:rPr>
                <w:rFonts w:ascii="仿宋_GB2312" w:eastAsia="仿宋_GB2312" w:hAnsi="Tahoma" w:cs="仿宋_GB2312"/>
                <w:color w:val="000000"/>
                <w:kern w:val="0"/>
                <w:sz w:val="22"/>
                <w:szCs w:val="22"/>
              </w:rPr>
              <w:br/>
              <w:t>(35分)</w:t>
            </w:r>
          </w:p>
        </w:tc>
        <w:tc>
          <w:tcPr>
            <w:tcW w:w="5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产出数量（15分）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实际完成率</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15</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项目实施的实际产出数与计划产出数的比率，用以反映和考核项目产出数量目标的实现程度。实际完成率=（实际产出数/计划产出数）</w:t>
            </w:r>
            <w:r>
              <w:rPr>
                <w:rFonts w:ascii="仿宋_GB2312" w:eastAsia="仿宋_GB2312" w:hAnsi="Tahoma" w:cs="仿宋_GB2312"/>
                <w:color w:val="000000"/>
                <w:kern w:val="0"/>
                <w:sz w:val="22"/>
                <w:szCs w:val="22"/>
              </w:rPr>
              <w:t>×</w:t>
            </w:r>
            <w:r>
              <w:rPr>
                <w:rFonts w:ascii="仿宋_GB2312" w:eastAsia="仿宋_GB2312" w:hAnsi="Tahoma" w:cs="仿宋_GB2312"/>
                <w:color w:val="000000"/>
                <w:kern w:val="0"/>
                <w:sz w:val="22"/>
                <w:szCs w:val="22"/>
              </w:rPr>
              <w:t>100%。</w:t>
            </w:r>
            <w:r>
              <w:rPr>
                <w:rFonts w:ascii="仿宋_GB2312" w:eastAsia="仿宋_GB2312" w:hAnsi="Tahoma" w:cs="仿宋_GB2312"/>
                <w:color w:val="000000"/>
                <w:kern w:val="0"/>
                <w:sz w:val="22"/>
                <w:szCs w:val="22"/>
              </w:rPr>
              <w:br/>
              <w:t>实际产出数：一定时期（本年度或项目期）内项目实际产出的产品或提供的服务数量。</w:t>
            </w:r>
            <w:r>
              <w:rPr>
                <w:rFonts w:ascii="仿宋_GB2312" w:eastAsia="仿宋_GB2312" w:hAnsi="Tahoma" w:cs="仿宋_GB2312"/>
                <w:color w:val="000000"/>
                <w:kern w:val="0"/>
                <w:sz w:val="22"/>
                <w:szCs w:val="22"/>
              </w:rPr>
              <w:br/>
              <w:t>计划产出数：项目绩效目标确定的在一定时期（本年度或项目期）内计划</w:t>
            </w:r>
            <w:r>
              <w:rPr>
                <w:rFonts w:ascii="仿宋_GB2312" w:eastAsia="仿宋_GB2312" w:hAnsi="Tahoma" w:cs="仿宋_GB2312"/>
                <w:color w:val="000000"/>
                <w:kern w:val="0"/>
                <w:sz w:val="22"/>
                <w:szCs w:val="22"/>
              </w:rPr>
              <w:lastRenderedPageBreak/>
              <w:t>产出的产品或提供的服务数量。</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lastRenderedPageBreak/>
              <w:t>100%</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实际完成率达100%，则得满分，每低于1%，扣除5%权重分，扣完为止。</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15</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82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产出质量（10分）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质量达标率</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项目完成的质量达标产出数与实际产出数的比率，用以反映和考核项目产出质量目标的实现程度。质量达标率=（质量达标产出数/实际产出数）</w:t>
            </w:r>
            <w:r>
              <w:rPr>
                <w:rFonts w:ascii="仿宋_GB2312" w:eastAsia="仿宋_GB2312" w:hAnsi="Tahoma" w:cs="仿宋_GB2312"/>
                <w:color w:val="000000"/>
                <w:kern w:val="0"/>
                <w:sz w:val="22"/>
                <w:szCs w:val="22"/>
              </w:rPr>
              <w:t>×</w:t>
            </w:r>
            <w:r>
              <w:rPr>
                <w:rFonts w:ascii="仿宋_GB2312" w:eastAsia="仿宋_GB2312" w:hAnsi="Tahoma" w:cs="仿宋_GB2312"/>
                <w:color w:val="000000"/>
                <w:kern w:val="0"/>
                <w:sz w:val="22"/>
                <w:szCs w:val="22"/>
              </w:rPr>
              <w:t>100%。</w:t>
            </w:r>
            <w:r>
              <w:rPr>
                <w:rFonts w:ascii="仿宋_GB2312" w:eastAsia="仿宋_GB2312" w:hAnsi="Tahoma" w:cs="仿宋_GB2312"/>
                <w:color w:val="000000"/>
                <w:kern w:val="0"/>
                <w:sz w:val="22"/>
                <w:szCs w:val="22"/>
              </w:rPr>
              <w:b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质量达标率达100%，则得满分，每低于1%，扣除5%权重分，扣完为止。按照各项资金金额占比，加权平均算出最终得分。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12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产出时效</w:t>
            </w:r>
            <w:r>
              <w:rPr>
                <w:rFonts w:ascii="仿宋_GB2312" w:eastAsia="仿宋_GB2312" w:hAnsi="Tahoma" w:cs="仿宋_GB2312"/>
                <w:color w:val="000000"/>
                <w:kern w:val="0"/>
                <w:sz w:val="22"/>
                <w:szCs w:val="22"/>
              </w:rPr>
              <w:br/>
              <w:t>（5分）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完成及时率</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5</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各项</w:t>
            </w:r>
            <w:proofErr w:type="gramStart"/>
            <w:r>
              <w:rPr>
                <w:rFonts w:ascii="仿宋_GB2312" w:eastAsia="仿宋_GB2312" w:hAnsi="Tahoma" w:cs="仿宋_GB2312"/>
                <w:color w:val="000000"/>
                <w:kern w:val="0"/>
                <w:sz w:val="22"/>
                <w:szCs w:val="22"/>
              </w:rPr>
              <w:t>目是否</w:t>
            </w:r>
            <w:proofErr w:type="gramEnd"/>
            <w:r>
              <w:rPr>
                <w:rFonts w:ascii="仿宋_GB2312" w:eastAsia="仿宋_GB2312" w:hAnsi="Tahoma" w:cs="仿宋_GB2312"/>
                <w:color w:val="000000"/>
                <w:kern w:val="0"/>
                <w:sz w:val="22"/>
                <w:szCs w:val="22"/>
              </w:rPr>
              <w:t>均按照计划、文件批复等相关规定及时完成，用以反映和考核项目产出时效目标的实现程度。项目完成及时率=及时完成的产出数/实际产出数</w:t>
            </w:r>
            <w:r>
              <w:rPr>
                <w:rFonts w:ascii="仿宋_GB2312" w:eastAsia="仿宋_GB2312" w:hAnsi="Tahoma" w:cs="仿宋_GB2312" w:hint="eastAsia"/>
                <w:color w:val="000000"/>
                <w:kern w:val="0"/>
                <w:sz w:val="22"/>
                <w:szCs w:val="22"/>
              </w:rPr>
              <w:t>×</w:t>
            </w:r>
            <w:r>
              <w:rPr>
                <w:rFonts w:ascii="仿宋_GB2312" w:eastAsia="仿宋_GB2312" w:hAnsi="Tahoma" w:cs="仿宋_GB2312"/>
                <w:color w:val="000000"/>
                <w:kern w:val="0"/>
                <w:sz w:val="22"/>
                <w:szCs w:val="22"/>
              </w:rPr>
              <w:t>100%</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完成及时率达100%，则得满分，每低于1%，扣除5%权重分，扣完为止。按照各项资金金额占比，加权平均算出最终得分。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5</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2520"/>
        </w:trPr>
        <w:tc>
          <w:tcPr>
            <w:tcW w:w="477"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产出成本</w:t>
            </w:r>
            <w:r>
              <w:rPr>
                <w:rFonts w:ascii="仿宋_GB2312" w:eastAsia="仿宋_GB2312" w:hAnsi="Tahoma" w:cs="仿宋_GB2312"/>
                <w:color w:val="000000"/>
                <w:kern w:val="0"/>
                <w:sz w:val="22"/>
                <w:szCs w:val="22"/>
              </w:rPr>
              <w:br/>
              <w:t>（5分）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成本节约率</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5</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完成项目计划工作目标的实际节约成本与计划成本的比率，用以反映和考核项目的成本节约程度。成本节约率=[（计划成本-实际成本）/计划成本]</w:t>
            </w:r>
            <w:r>
              <w:rPr>
                <w:rFonts w:ascii="仿宋_GB2312" w:eastAsia="仿宋_GB2312" w:hAnsi="Tahoma" w:cs="仿宋_GB2312"/>
                <w:color w:val="000000"/>
                <w:kern w:val="0"/>
                <w:sz w:val="22"/>
                <w:szCs w:val="22"/>
              </w:rPr>
              <w:t>×</w:t>
            </w:r>
            <w:r>
              <w:rPr>
                <w:rFonts w:ascii="仿宋_GB2312" w:eastAsia="仿宋_GB2312" w:hAnsi="Tahoma" w:cs="仿宋_GB2312"/>
                <w:color w:val="000000"/>
                <w:kern w:val="0"/>
                <w:sz w:val="22"/>
                <w:szCs w:val="22"/>
              </w:rPr>
              <w:t>100%。</w:t>
            </w:r>
            <w:r>
              <w:rPr>
                <w:rFonts w:ascii="仿宋_GB2312" w:eastAsia="仿宋_GB2312" w:hAnsi="Tahoma" w:cs="仿宋_GB2312"/>
                <w:color w:val="000000"/>
                <w:kern w:val="0"/>
                <w:sz w:val="22"/>
                <w:szCs w:val="22"/>
              </w:rPr>
              <w:br/>
              <w:t>实际成本：项目实施单位如期、保质、保量完成既定工作目标实际所耗费的支出。</w:t>
            </w:r>
            <w:r>
              <w:rPr>
                <w:rFonts w:ascii="仿宋_GB2312" w:eastAsia="仿宋_GB2312" w:hAnsi="Tahoma" w:cs="仿宋_GB2312"/>
                <w:color w:val="000000"/>
                <w:kern w:val="0"/>
                <w:sz w:val="22"/>
                <w:szCs w:val="22"/>
              </w:rPr>
              <w:br/>
              <w:t>计划成本：项目实施单位为完成工作目标计划安排的支出，一般以项目预算为参考。</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0%-15%</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成本节约率大于0%且低于15%，则得满分，每高于（15%）或低于（0%）1%，扣除5%权重分，扣完为止，项目没有执行的不得分。按照各项资金金额占比，加权平均算出最终得分。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5</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140"/>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效益（</w:t>
            </w:r>
            <w:r>
              <w:rPr>
                <w:rFonts w:ascii="仿宋_GB2312" w:eastAsia="仿宋_GB2312" w:hAnsi="Tahoma" w:cs="仿宋_GB2312" w:hint="eastAsia"/>
                <w:color w:val="000000"/>
                <w:kern w:val="0"/>
                <w:sz w:val="22"/>
                <w:szCs w:val="22"/>
              </w:rPr>
              <w:t>30</w:t>
            </w:r>
            <w:r>
              <w:rPr>
                <w:rFonts w:ascii="仿宋_GB2312" w:eastAsia="仿宋_GB2312" w:hAnsi="Tahoma" w:cs="仿宋_GB2312"/>
                <w:color w:val="000000"/>
                <w:kern w:val="0"/>
                <w:sz w:val="22"/>
                <w:szCs w:val="22"/>
              </w:rPr>
              <w:t>分）</w:t>
            </w:r>
          </w:p>
        </w:tc>
        <w:tc>
          <w:tcPr>
            <w:tcW w:w="525" w:type="dxa"/>
            <w:vMerge w:val="restart"/>
            <w:tcBorders>
              <w:top w:val="nil"/>
              <w:left w:val="single" w:sz="4" w:space="0" w:color="000000"/>
              <w:bottom w:val="nil"/>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项目效益（15分）</w:t>
            </w:r>
          </w:p>
        </w:tc>
        <w:tc>
          <w:tcPr>
            <w:tcW w:w="585"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社会效益</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宋体" w:hAnsi="宋体" w:cs="宋体"/>
                <w:color w:val="000000"/>
                <w:sz w:val="22"/>
                <w:szCs w:val="22"/>
              </w:rPr>
            </w:pPr>
            <w:r>
              <w:rPr>
                <w:rFonts w:ascii="仿宋_GB2312" w:eastAsia="仿宋_GB2312" w:hAnsi="Tahoma" w:cs="仿宋_GB2312" w:hint="eastAsia"/>
                <w:color w:val="000000"/>
                <w:kern w:val="0"/>
                <w:sz w:val="22"/>
                <w:szCs w:val="22"/>
              </w:rPr>
              <w:t>协作地农产品销售</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spacing w:line="280" w:lineRule="exact"/>
              <w:jc w:val="left"/>
              <w:textAlignment w:val="center"/>
              <w:rPr>
                <w:rFonts w:asciiTheme="majorEastAsia" w:eastAsia="仿宋_GB2312" w:hAnsiTheme="majorEastAsia" w:cstheme="majorEastAsia"/>
                <w:color w:val="000000"/>
                <w:kern w:val="0"/>
                <w:szCs w:val="21"/>
              </w:rPr>
            </w:pPr>
            <w:r>
              <w:rPr>
                <w:rFonts w:ascii="仿宋_GB2312" w:eastAsia="仿宋_GB2312" w:hint="eastAsia"/>
                <w:kern w:val="0"/>
                <w:sz w:val="24"/>
              </w:rPr>
              <w:t>通过消费扶贫直接带动安顺、陇南、菏泽贫困人口脱贫数量</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spacing w:line="280" w:lineRule="exact"/>
              <w:ind w:firstLineChars="100" w:firstLine="220"/>
              <w:jc w:val="left"/>
              <w:textAlignment w:val="center"/>
              <w:rPr>
                <w:rFonts w:asciiTheme="majorEastAsia" w:eastAsiaTheme="majorEastAsia" w:hAnsiTheme="majorEastAsia" w:cstheme="majorEastAsia"/>
                <w:color w:val="000000"/>
                <w:kern w:val="0"/>
                <w:szCs w:val="21"/>
              </w:rPr>
            </w:pPr>
            <w:r>
              <w:rPr>
                <w:rFonts w:ascii="仿宋_GB2312" w:eastAsia="仿宋_GB2312" w:hAnsi="Tahoma" w:cs="仿宋_GB2312" w:hint="eastAsia"/>
                <w:color w:val="000000"/>
                <w:kern w:val="0"/>
                <w:sz w:val="22"/>
                <w:szCs w:val="22"/>
              </w:rPr>
              <w:t>6亿</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完成则得满分，每低于1%，扣除5%权重分，扣完为止，项目没有执行的不得分。按照各项资金金额占比，加权平均算出最终得分。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140"/>
        </w:trPr>
        <w:tc>
          <w:tcPr>
            <w:tcW w:w="477"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nil"/>
              <w:left w:val="single" w:sz="4" w:space="0" w:color="000000"/>
              <w:bottom w:val="nil"/>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新媒体平台运行</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完成新媒体运行的数量</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3个</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完成则得满分，每低于1%，扣除5%权重分，扣完为止，项目没有执行的不得分。按照各项资金金额占比，加权平均算出最终得分。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500"/>
        </w:trPr>
        <w:tc>
          <w:tcPr>
            <w:tcW w:w="477"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nil"/>
              <w:left w:val="single" w:sz="4" w:space="0" w:color="000000"/>
              <w:bottom w:val="nil"/>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帮助协作地引进项目</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统计帮助安顺、陇南引进项目数量</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kern w:val="0"/>
                <w:sz w:val="22"/>
                <w:szCs w:val="22"/>
              </w:rPr>
              <w:t>6</w:t>
            </w:r>
            <w:r>
              <w:rPr>
                <w:rFonts w:ascii="仿宋_GB2312" w:eastAsia="仿宋_GB2312" w:hAnsi="Tahoma" w:cs="仿宋_GB2312"/>
                <w:color w:val="000000"/>
                <w:kern w:val="0"/>
                <w:sz w:val="22"/>
                <w:szCs w:val="22"/>
              </w:rPr>
              <w:t>0</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完成则得满分，每低于1%，扣除5%权重分，扣完为止，项目没有执行的不得分。按照各项资金金额占比，加权平均算出最终得分。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1140"/>
        </w:trPr>
        <w:tc>
          <w:tcPr>
            <w:tcW w:w="477"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nil"/>
              <w:left w:val="single" w:sz="4" w:space="0" w:color="000000"/>
              <w:bottom w:val="nil"/>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加强队伍建设</w:t>
            </w:r>
          </w:p>
        </w:tc>
        <w:tc>
          <w:tcPr>
            <w:tcW w:w="660" w:type="dxa"/>
            <w:tcBorders>
              <w:top w:val="nil"/>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3</w:t>
            </w:r>
          </w:p>
        </w:tc>
        <w:tc>
          <w:tcPr>
            <w:tcW w:w="3465" w:type="dxa"/>
            <w:tcBorders>
              <w:top w:val="nil"/>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反映项目实施直接产生和带动的社会经济效益，主要通过具体效果性基础信息项反映。</w:t>
            </w:r>
          </w:p>
        </w:tc>
        <w:tc>
          <w:tcPr>
            <w:tcW w:w="870" w:type="dxa"/>
            <w:tcBorders>
              <w:top w:val="nil"/>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效果显著</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社会效益显著提升得满分，未显著提升判断可得75%、50%、25%、0的权重分，项目没有执行的不得分。按照各项资金金额占比，加权平均算出最终得分。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2.1</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70.00%</w:t>
            </w:r>
          </w:p>
        </w:tc>
      </w:tr>
      <w:tr w:rsidR="00D61430">
        <w:trPr>
          <w:trHeight w:val="1340"/>
        </w:trPr>
        <w:tc>
          <w:tcPr>
            <w:tcW w:w="477"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可持续</w:t>
            </w:r>
            <w:r>
              <w:rPr>
                <w:rFonts w:ascii="仿宋_GB2312" w:eastAsia="仿宋_GB2312" w:hAnsi="Tahoma" w:cs="仿宋_GB2312"/>
                <w:color w:val="000000"/>
                <w:kern w:val="0"/>
                <w:sz w:val="22"/>
                <w:szCs w:val="22"/>
              </w:rPr>
              <w:br/>
              <w:t>影响</w:t>
            </w:r>
            <w:r>
              <w:rPr>
                <w:rFonts w:ascii="仿宋_GB2312" w:eastAsia="仿宋_GB2312" w:hAnsi="Tahoma" w:cs="仿宋_GB2312"/>
                <w:color w:val="000000"/>
                <w:kern w:val="0"/>
                <w:sz w:val="22"/>
                <w:szCs w:val="22"/>
              </w:rPr>
              <w:br/>
              <w:t>（</w:t>
            </w:r>
            <w:r>
              <w:rPr>
                <w:rFonts w:ascii="仿宋_GB2312" w:eastAsia="仿宋_GB2312" w:hAnsi="Tahoma" w:cs="仿宋_GB2312" w:hint="eastAsia"/>
                <w:color w:val="000000"/>
                <w:kern w:val="0"/>
                <w:sz w:val="22"/>
                <w:szCs w:val="22"/>
              </w:rPr>
              <w:t>7</w:t>
            </w:r>
            <w:r>
              <w:rPr>
                <w:rFonts w:ascii="仿宋_GB2312" w:eastAsia="仿宋_GB2312" w:hAnsi="Tahoma" w:cs="仿宋_GB2312"/>
                <w:color w:val="000000"/>
                <w:kern w:val="0"/>
                <w:sz w:val="22"/>
                <w:szCs w:val="22"/>
              </w:rPr>
              <w:t>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政策</w:t>
            </w:r>
            <w:r>
              <w:rPr>
                <w:rFonts w:ascii="仿宋_GB2312" w:eastAsia="仿宋_GB2312" w:hAnsi="Tahoma" w:cs="仿宋_GB2312"/>
                <w:color w:val="000000"/>
                <w:kern w:val="0"/>
                <w:sz w:val="22"/>
                <w:szCs w:val="22"/>
              </w:rPr>
              <w:br/>
              <w:t>可持续性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4</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考察项目后续运行及成效发挥的可持续影响情况。</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项目政策能够使项目后续运行及成效发挥得到可持续发展</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项目政策能够使项目后续运行及成效发挥得到可持续发展得满分，未得到可持续发展则可根据专家判断可得75%、50%、25%、0的权重分，项目没有执行的不得分。按照各项资金金额占比，加权平均算出最终得分。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100%</w:t>
            </w:r>
          </w:p>
        </w:tc>
      </w:tr>
      <w:tr w:rsidR="00D61430">
        <w:trPr>
          <w:trHeight w:val="1340"/>
        </w:trPr>
        <w:tc>
          <w:tcPr>
            <w:tcW w:w="477"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项目发展机制可持续性</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3</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考察项目运转是否形成了可持续发展的机制。</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项目运转形成了可持续发展的机制</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项目运转形成了可持续发展的机制则得满分，未形成则可根据专家判断可得75%、50%、25%、0的权重分，项目没有执行的不得分。按照各项资金金额占比，加权平均算出最终得分。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4</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hint="eastAsia"/>
                <w:color w:val="000000"/>
                <w:sz w:val="22"/>
                <w:szCs w:val="22"/>
              </w:rPr>
              <w:t>100%</w:t>
            </w:r>
          </w:p>
        </w:tc>
      </w:tr>
      <w:tr w:rsidR="00D61430">
        <w:trPr>
          <w:trHeight w:val="840"/>
        </w:trPr>
        <w:tc>
          <w:tcPr>
            <w:tcW w:w="477" w:type="dxa"/>
            <w:vMerge/>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52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满意度</w:t>
            </w:r>
            <w:r>
              <w:rPr>
                <w:rFonts w:ascii="仿宋_GB2312" w:eastAsia="仿宋_GB2312" w:hAnsi="Tahoma" w:cs="仿宋_GB2312"/>
                <w:color w:val="000000"/>
                <w:kern w:val="0"/>
                <w:sz w:val="22"/>
                <w:szCs w:val="22"/>
              </w:rPr>
              <w:br/>
              <w:t>（8分）</w:t>
            </w:r>
          </w:p>
        </w:tc>
        <w:tc>
          <w:tcPr>
            <w:tcW w:w="58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服务对象</w:t>
            </w:r>
            <w:r>
              <w:rPr>
                <w:rFonts w:ascii="仿宋_GB2312" w:eastAsia="仿宋_GB2312" w:hAnsi="Tahoma" w:cs="仿宋_GB2312"/>
                <w:color w:val="000000"/>
                <w:kern w:val="0"/>
                <w:sz w:val="22"/>
                <w:szCs w:val="22"/>
              </w:rPr>
              <w:br/>
              <w:t>满意度</w:t>
            </w:r>
          </w:p>
        </w:tc>
        <w:tc>
          <w:tcPr>
            <w:tcW w:w="61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8</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考察社会公众或服务对象对项目实施效果的满意程度。</w:t>
            </w: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95%</w:t>
            </w: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left"/>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服务对象满意度达90%，则得满分，每降低1%，扣除5%权重分，项目没有执行的不得分。按照各项资金金额占比，加权平均算出最终得分。</w:t>
            </w: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8</w:t>
            </w: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color w:val="000000"/>
                <w:sz w:val="22"/>
                <w:szCs w:val="22"/>
              </w:rPr>
            </w:pPr>
            <w:r>
              <w:rPr>
                <w:rFonts w:ascii="仿宋_GB2312" w:eastAsia="仿宋_GB2312" w:hAnsi="Tahoma" w:cs="仿宋_GB2312"/>
                <w:color w:val="000000"/>
                <w:kern w:val="0"/>
                <w:sz w:val="22"/>
                <w:szCs w:val="22"/>
              </w:rPr>
              <w:t>100.00%</w:t>
            </w:r>
          </w:p>
        </w:tc>
      </w:tr>
      <w:tr w:rsidR="00D61430">
        <w:trPr>
          <w:trHeight w:val="510"/>
        </w:trPr>
        <w:tc>
          <w:tcPr>
            <w:tcW w:w="2202" w:type="dxa"/>
            <w:gridSpan w:val="4"/>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合计</w:t>
            </w:r>
          </w:p>
        </w:tc>
        <w:tc>
          <w:tcPr>
            <w:tcW w:w="66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CF5FE6">
            <w:pPr>
              <w:widowControl/>
              <w:jc w:val="center"/>
              <w:textAlignment w:val="center"/>
              <w:rPr>
                <w:rFonts w:ascii="仿宋_GB2312" w:eastAsia="仿宋_GB2312" w:hAnsi="Tahoma" w:cs="仿宋_GB2312"/>
                <w:b/>
                <w:color w:val="000000"/>
                <w:sz w:val="22"/>
                <w:szCs w:val="22"/>
              </w:rPr>
            </w:pPr>
            <w:r>
              <w:rPr>
                <w:rFonts w:ascii="仿宋_GB2312" w:eastAsia="仿宋_GB2312" w:hAnsi="Tahoma" w:cs="仿宋_GB2312"/>
                <w:b/>
                <w:color w:val="000000"/>
                <w:kern w:val="0"/>
                <w:sz w:val="22"/>
                <w:szCs w:val="22"/>
              </w:rPr>
              <w:t>100</w:t>
            </w:r>
          </w:p>
        </w:tc>
        <w:tc>
          <w:tcPr>
            <w:tcW w:w="34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left"/>
              <w:rPr>
                <w:rFonts w:ascii="仿宋_GB2312" w:eastAsia="仿宋_GB2312" w:hAnsi="Tahoma" w:cs="仿宋_GB2312"/>
                <w:b/>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b/>
                <w:color w:val="000000"/>
                <w:sz w:val="22"/>
                <w:szCs w:val="22"/>
              </w:rPr>
            </w:pPr>
          </w:p>
        </w:tc>
        <w:tc>
          <w:tcPr>
            <w:tcW w:w="679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jc w:val="center"/>
              <w:rPr>
                <w:rFonts w:ascii="仿宋_GB2312" w:eastAsia="仿宋_GB2312" w:hAnsi="Tahoma" w:cs="仿宋_GB2312"/>
                <w:b/>
                <w:color w:val="000000"/>
                <w:sz w:val="22"/>
                <w:szCs w:val="22"/>
              </w:rPr>
            </w:pPr>
          </w:p>
        </w:tc>
        <w:tc>
          <w:tcPr>
            <w:tcW w:w="4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widowControl/>
              <w:jc w:val="center"/>
              <w:textAlignment w:val="center"/>
              <w:rPr>
                <w:rFonts w:ascii="仿宋_GB2312" w:eastAsia="仿宋_GB2312" w:hAnsi="Tahoma" w:cs="仿宋_GB2312"/>
                <w:b/>
                <w:color w:val="000000"/>
                <w:sz w:val="22"/>
                <w:szCs w:val="22"/>
              </w:rPr>
            </w:pPr>
          </w:p>
        </w:tc>
        <w:tc>
          <w:tcPr>
            <w:tcW w:w="71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D61430" w:rsidRDefault="00D61430">
            <w:pPr>
              <w:widowControl/>
              <w:jc w:val="center"/>
              <w:textAlignment w:val="center"/>
              <w:rPr>
                <w:rFonts w:ascii="仿宋_GB2312" w:eastAsia="仿宋_GB2312" w:hAnsi="Tahoma" w:cs="仿宋_GB2312"/>
                <w:color w:val="000000"/>
                <w:sz w:val="22"/>
                <w:szCs w:val="22"/>
              </w:rPr>
            </w:pPr>
          </w:p>
        </w:tc>
      </w:tr>
    </w:tbl>
    <w:p w:rsidR="00D61430" w:rsidRDefault="00D61430">
      <w:pPr>
        <w:pStyle w:val="1"/>
      </w:pPr>
    </w:p>
    <w:sectPr w:rsidR="00D61430" w:rsidSect="006C39B5">
      <w:pgSz w:w="16838" w:h="11906" w:orient="landscape"/>
      <w:pgMar w:top="850" w:right="850" w:bottom="850" w:left="850" w:header="851" w:footer="992" w:gutter="0"/>
      <w:pgNumType w:fmt="numberInDash"/>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130" w:rsidRDefault="00450130">
      <w:r>
        <w:separator/>
      </w:r>
    </w:p>
  </w:endnote>
  <w:endnote w:type="continuationSeparator" w:id="1">
    <w:p w:rsidR="00450130" w:rsidRDefault="00450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embedRegular r:id="rId1" w:subsetted="1" w:fontKey="{77FDCD33-FBE6-478C-8921-5AF6266E170D}"/>
  </w:font>
  <w:font w:name="Calibri">
    <w:panose1 w:val="020F0502020204030204"/>
    <w:charset w:val="00"/>
    <w:family w:val="swiss"/>
    <w:pitch w:val="variable"/>
    <w:sig w:usb0="A00002EF" w:usb1="4000207B" w:usb2="00000000" w:usb3="00000000" w:csb0="0000009F" w:csb1="00000000"/>
  </w:font>
  <w:font w:name="文星简黑体">
    <w:altName w:val="黑体"/>
    <w:charset w:val="86"/>
    <w:family w:val="roma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embedRegular r:id="rId2" w:subsetted="1" w:fontKey="{41F7E302-EB80-4695-A3DC-C18014899ED4}"/>
    <w:embedBold r:id="rId3" w:subsetted="1" w:fontKey="{9607A6E0-10B3-44D9-828C-2A3397BB9C74}"/>
  </w:font>
  <w:font w:name="楷体">
    <w:charset w:val="86"/>
    <w:family w:val="modern"/>
    <w:pitch w:val="fixed"/>
    <w:sig w:usb0="800002BF" w:usb1="38CF7CFA" w:usb2="00000016" w:usb3="00000000" w:csb0="00040001" w:csb1="00000000"/>
    <w:embedRegular r:id="rId4" w:subsetted="1" w:fontKey="{81DEAC37-4350-46E3-86DD-43300747DAD8}"/>
  </w:font>
  <w:font w:name="楷体_GB2312">
    <w:panose1 w:val="02010609030101010101"/>
    <w:charset w:val="86"/>
    <w:family w:val="modern"/>
    <w:pitch w:val="fixed"/>
    <w:sig w:usb0="00000001" w:usb1="080E0000" w:usb2="00000010" w:usb3="00000000" w:csb0="00040000" w:csb1="00000000"/>
    <w:embedRegular r:id="rId5" w:subsetted="1" w:fontKey="{FF9BDEB0-926D-4EF9-9636-8B3F765D9260}"/>
  </w:font>
  <w:font w:name="仿宋_GB2312">
    <w:panose1 w:val="02010609030101010101"/>
    <w:charset w:val="86"/>
    <w:family w:val="modern"/>
    <w:pitch w:val="fixed"/>
    <w:sig w:usb0="00000001" w:usb1="080E0000" w:usb2="00000010" w:usb3="00000000" w:csb0="00040000" w:csb1="00000000"/>
    <w:embedRegular r:id="rId6" w:subsetted="1" w:fontKey="{13D462E2-A880-4100-913F-7594F804CFAE}"/>
    <w:embedBold r:id="rId7" w:subsetted="1" w:fontKey="{4F518550-4A10-467C-A553-C2627FB8375B}"/>
  </w:font>
  <w:font w:name="仿宋">
    <w:charset w:val="86"/>
    <w:family w:val="modern"/>
    <w:pitch w:val="fixed"/>
    <w:sig w:usb0="800002BF" w:usb1="38CF7CFA" w:usb2="00000016" w:usb3="00000000" w:csb0="00040001" w:csb1="00000000"/>
    <w:embedRegular r:id="rId8" w:subsetted="1" w:fontKey="{0AD65260-3069-4706-8B3C-7EEBBB1814D2}"/>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embedRegular r:id="rId9" w:subsetted="1" w:fontKey="{DE5BBEB7-8272-4CFA-8133-09BB149E1FB5}"/>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30" w:rsidRDefault="00D61430">
    <w:pPr>
      <w:pStyle w:val="a6"/>
      <w:jc w:val="center"/>
      <w:rPr>
        <w:sz w:val="30"/>
        <w:szCs w:val="3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30" w:rsidRDefault="00D6143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30" w:rsidRDefault="00A22D90">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764.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D61430" w:rsidRDefault="00A22D90">
                <w:pPr>
                  <w:pStyle w:val="a6"/>
                  <w:jc w:val="center"/>
                </w:pPr>
                <w:r>
                  <w:fldChar w:fldCharType="begin"/>
                </w:r>
                <w:r w:rsidR="00CF5FE6">
                  <w:rPr>
                    <w:rStyle w:val="a9"/>
                  </w:rPr>
                  <w:instrText xml:space="preserve"> PAGE </w:instrText>
                </w:r>
                <w:r>
                  <w:fldChar w:fldCharType="separate"/>
                </w:r>
                <w:r w:rsidR="00DE7ECE">
                  <w:rPr>
                    <w:rStyle w:val="a9"/>
                    <w:noProof/>
                  </w:rPr>
                  <w:t>- 3 -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130" w:rsidRDefault="00450130">
      <w:r>
        <w:separator/>
      </w:r>
    </w:p>
  </w:footnote>
  <w:footnote w:type="continuationSeparator" w:id="1">
    <w:p w:rsidR="00450130" w:rsidRDefault="00450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2F" w:rsidRDefault="007F6B2F" w:rsidP="00E6454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A26A"/>
    <w:multiLevelType w:val="singleLevel"/>
    <w:tmpl w:val="1EABA26A"/>
    <w:lvl w:ilvl="0">
      <w:start w:val="2"/>
      <w:numFmt w:val="chineseCounting"/>
      <w:suff w:val="nothing"/>
      <w:lvlText w:val="（%1）"/>
      <w:lvlJc w:val="left"/>
      <w:rPr>
        <w:rFonts w:hint="eastAsia"/>
      </w:rPr>
    </w:lvl>
  </w:abstractNum>
  <w:abstractNum w:abstractNumId="1">
    <w:nsid w:val="6BB302B1"/>
    <w:multiLevelType w:val="singleLevel"/>
    <w:tmpl w:val="6BB302B1"/>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8"/>
  <w:noPunctuationKerning/>
  <w:characterSpacingControl w:val="compressPunctuation"/>
  <w:hdrShapeDefaults>
    <o:shapedefaults v:ext="edit" spidmax="2050"/>
    <o:shapelayout v:ext="edit">
      <o:idmap v:ext="edit" data="1"/>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279"/>
    <w:rsid w:val="000562CD"/>
    <w:rsid w:val="000701AA"/>
    <w:rsid w:val="00083715"/>
    <w:rsid w:val="00094F9D"/>
    <w:rsid w:val="000A4B4B"/>
    <w:rsid w:val="000B19BE"/>
    <w:rsid w:val="000B53BA"/>
    <w:rsid w:val="000B7C4C"/>
    <w:rsid w:val="000D296B"/>
    <w:rsid w:val="000D6CFA"/>
    <w:rsid w:val="000E090B"/>
    <w:rsid w:val="000F5568"/>
    <w:rsid w:val="001018D5"/>
    <w:rsid w:val="001446A1"/>
    <w:rsid w:val="001457DE"/>
    <w:rsid w:val="00151945"/>
    <w:rsid w:val="001561FE"/>
    <w:rsid w:val="00167343"/>
    <w:rsid w:val="0017087E"/>
    <w:rsid w:val="001759BA"/>
    <w:rsid w:val="00191A3C"/>
    <w:rsid w:val="00195436"/>
    <w:rsid w:val="001966D0"/>
    <w:rsid w:val="001B1661"/>
    <w:rsid w:val="001B6327"/>
    <w:rsid w:val="001D0186"/>
    <w:rsid w:val="001E20BF"/>
    <w:rsid w:val="001E7E87"/>
    <w:rsid w:val="001F21CA"/>
    <w:rsid w:val="00224A89"/>
    <w:rsid w:val="0022566F"/>
    <w:rsid w:val="00233257"/>
    <w:rsid w:val="00234BF4"/>
    <w:rsid w:val="0024192F"/>
    <w:rsid w:val="0024603F"/>
    <w:rsid w:val="00252F7F"/>
    <w:rsid w:val="002768DF"/>
    <w:rsid w:val="00281954"/>
    <w:rsid w:val="002B513B"/>
    <w:rsid w:val="002B5701"/>
    <w:rsid w:val="002C3162"/>
    <w:rsid w:val="002C6249"/>
    <w:rsid w:val="002E15BD"/>
    <w:rsid w:val="003203C6"/>
    <w:rsid w:val="00332E3D"/>
    <w:rsid w:val="003367DB"/>
    <w:rsid w:val="00366C06"/>
    <w:rsid w:val="00367FA2"/>
    <w:rsid w:val="00370BDD"/>
    <w:rsid w:val="00385374"/>
    <w:rsid w:val="00387A9C"/>
    <w:rsid w:val="003A08AC"/>
    <w:rsid w:val="003A4996"/>
    <w:rsid w:val="003D3018"/>
    <w:rsid w:val="003E12E0"/>
    <w:rsid w:val="003E6DA3"/>
    <w:rsid w:val="003F4A07"/>
    <w:rsid w:val="003F63D3"/>
    <w:rsid w:val="00401216"/>
    <w:rsid w:val="00401FAF"/>
    <w:rsid w:val="00446859"/>
    <w:rsid w:val="00450130"/>
    <w:rsid w:val="00450235"/>
    <w:rsid w:val="00464AAD"/>
    <w:rsid w:val="00485C47"/>
    <w:rsid w:val="004860B6"/>
    <w:rsid w:val="00491C06"/>
    <w:rsid w:val="004A7840"/>
    <w:rsid w:val="004B4581"/>
    <w:rsid w:val="004B6070"/>
    <w:rsid w:val="004B785A"/>
    <w:rsid w:val="004C2370"/>
    <w:rsid w:val="004D43F1"/>
    <w:rsid w:val="004E7D16"/>
    <w:rsid w:val="004F5F75"/>
    <w:rsid w:val="00512E01"/>
    <w:rsid w:val="00522647"/>
    <w:rsid w:val="00525ACD"/>
    <w:rsid w:val="00527672"/>
    <w:rsid w:val="00554DC4"/>
    <w:rsid w:val="00555ED5"/>
    <w:rsid w:val="00561591"/>
    <w:rsid w:val="005A0250"/>
    <w:rsid w:val="005A1EE5"/>
    <w:rsid w:val="005B118B"/>
    <w:rsid w:val="005C18B5"/>
    <w:rsid w:val="005C50C4"/>
    <w:rsid w:val="005D05E1"/>
    <w:rsid w:val="005D067D"/>
    <w:rsid w:val="005E2293"/>
    <w:rsid w:val="005E72D0"/>
    <w:rsid w:val="005F44BC"/>
    <w:rsid w:val="0060272F"/>
    <w:rsid w:val="006147A5"/>
    <w:rsid w:val="00621008"/>
    <w:rsid w:val="00624992"/>
    <w:rsid w:val="006254E1"/>
    <w:rsid w:val="0063753D"/>
    <w:rsid w:val="00652AA8"/>
    <w:rsid w:val="0065702B"/>
    <w:rsid w:val="00661279"/>
    <w:rsid w:val="006760AB"/>
    <w:rsid w:val="00680C3C"/>
    <w:rsid w:val="00686555"/>
    <w:rsid w:val="00686A09"/>
    <w:rsid w:val="006909AE"/>
    <w:rsid w:val="00692484"/>
    <w:rsid w:val="00694D3C"/>
    <w:rsid w:val="00696671"/>
    <w:rsid w:val="006B31F0"/>
    <w:rsid w:val="006C39B5"/>
    <w:rsid w:val="006C3ECE"/>
    <w:rsid w:val="006E690E"/>
    <w:rsid w:val="006E7B9A"/>
    <w:rsid w:val="006F1EBE"/>
    <w:rsid w:val="006F249C"/>
    <w:rsid w:val="006F394E"/>
    <w:rsid w:val="0071329B"/>
    <w:rsid w:val="007421CB"/>
    <w:rsid w:val="00750532"/>
    <w:rsid w:val="007511CE"/>
    <w:rsid w:val="00766099"/>
    <w:rsid w:val="0079720E"/>
    <w:rsid w:val="007A1E41"/>
    <w:rsid w:val="007D23D2"/>
    <w:rsid w:val="007E030B"/>
    <w:rsid w:val="007E1D03"/>
    <w:rsid w:val="007E2656"/>
    <w:rsid w:val="007F2ABB"/>
    <w:rsid w:val="007F6B2F"/>
    <w:rsid w:val="00800899"/>
    <w:rsid w:val="00811D7D"/>
    <w:rsid w:val="00826DF9"/>
    <w:rsid w:val="008323F5"/>
    <w:rsid w:val="008426B4"/>
    <w:rsid w:val="008433DB"/>
    <w:rsid w:val="00853966"/>
    <w:rsid w:val="0085493B"/>
    <w:rsid w:val="00891E3D"/>
    <w:rsid w:val="0089666A"/>
    <w:rsid w:val="00897614"/>
    <w:rsid w:val="00897E13"/>
    <w:rsid w:val="008B499C"/>
    <w:rsid w:val="008C1931"/>
    <w:rsid w:val="008C6E92"/>
    <w:rsid w:val="008D2FD8"/>
    <w:rsid w:val="0091603D"/>
    <w:rsid w:val="00921980"/>
    <w:rsid w:val="00926C79"/>
    <w:rsid w:val="00950B14"/>
    <w:rsid w:val="00957F7A"/>
    <w:rsid w:val="00963215"/>
    <w:rsid w:val="0097501C"/>
    <w:rsid w:val="009813E7"/>
    <w:rsid w:val="009D1115"/>
    <w:rsid w:val="009D3532"/>
    <w:rsid w:val="009D4F3D"/>
    <w:rsid w:val="009E18BC"/>
    <w:rsid w:val="009F6186"/>
    <w:rsid w:val="00A02B15"/>
    <w:rsid w:val="00A03118"/>
    <w:rsid w:val="00A11775"/>
    <w:rsid w:val="00A13552"/>
    <w:rsid w:val="00A15374"/>
    <w:rsid w:val="00A16896"/>
    <w:rsid w:val="00A22D90"/>
    <w:rsid w:val="00A31C98"/>
    <w:rsid w:val="00A33187"/>
    <w:rsid w:val="00A36130"/>
    <w:rsid w:val="00A57F25"/>
    <w:rsid w:val="00A825C4"/>
    <w:rsid w:val="00A82FB3"/>
    <w:rsid w:val="00A94828"/>
    <w:rsid w:val="00A96988"/>
    <w:rsid w:val="00AA36A9"/>
    <w:rsid w:val="00AC1458"/>
    <w:rsid w:val="00AD334F"/>
    <w:rsid w:val="00AE01E7"/>
    <w:rsid w:val="00AE4F2F"/>
    <w:rsid w:val="00AE7395"/>
    <w:rsid w:val="00B01EC5"/>
    <w:rsid w:val="00B0203F"/>
    <w:rsid w:val="00B11606"/>
    <w:rsid w:val="00B239CC"/>
    <w:rsid w:val="00B31305"/>
    <w:rsid w:val="00B327A7"/>
    <w:rsid w:val="00B42B25"/>
    <w:rsid w:val="00B44DD2"/>
    <w:rsid w:val="00B46429"/>
    <w:rsid w:val="00B56460"/>
    <w:rsid w:val="00B65834"/>
    <w:rsid w:val="00B67720"/>
    <w:rsid w:val="00B802E6"/>
    <w:rsid w:val="00B803AC"/>
    <w:rsid w:val="00B85B66"/>
    <w:rsid w:val="00BC609E"/>
    <w:rsid w:val="00BD5D7C"/>
    <w:rsid w:val="00BE38CB"/>
    <w:rsid w:val="00BE78FE"/>
    <w:rsid w:val="00BF1121"/>
    <w:rsid w:val="00BF3740"/>
    <w:rsid w:val="00C041E6"/>
    <w:rsid w:val="00C170B1"/>
    <w:rsid w:val="00C20497"/>
    <w:rsid w:val="00C25276"/>
    <w:rsid w:val="00C27220"/>
    <w:rsid w:val="00C31A78"/>
    <w:rsid w:val="00C43F73"/>
    <w:rsid w:val="00C771C0"/>
    <w:rsid w:val="00C82D32"/>
    <w:rsid w:val="00C97C65"/>
    <w:rsid w:val="00CA0416"/>
    <w:rsid w:val="00CA20EF"/>
    <w:rsid w:val="00CB09A2"/>
    <w:rsid w:val="00CC0F7B"/>
    <w:rsid w:val="00CC4190"/>
    <w:rsid w:val="00CC5BA3"/>
    <w:rsid w:val="00CC6272"/>
    <w:rsid w:val="00CD1798"/>
    <w:rsid w:val="00CD2C8D"/>
    <w:rsid w:val="00CD42F0"/>
    <w:rsid w:val="00CE0EA0"/>
    <w:rsid w:val="00CE3919"/>
    <w:rsid w:val="00CF1A19"/>
    <w:rsid w:val="00CF1F83"/>
    <w:rsid w:val="00CF2DC4"/>
    <w:rsid w:val="00CF5FE6"/>
    <w:rsid w:val="00D04DC2"/>
    <w:rsid w:val="00D058F4"/>
    <w:rsid w:val="00D07A52"/>
    <w:rsid w:val="00D211FE"/>
    <w:rsid w:val="00D23845"/>
    <w:rsid w:val="00D32F3B"/>
    <w:rsid w:val="00D4219C"/>
    <w:rsid w:val="00D61430"/>
    <w:rsid w:val="00D6208C"/>
    <w:rsid w:val="00D66D4B"/>
    <w:rsid w:val="00D74B61"/>
    <w:rsid w:val="00DA669B"/>
    <w:rsid w:val="00DA70FF"/>
    <w:rsid w:val="00DB0B44"/>
    <w:rsid w:val="00DD1438"/>
    <w:rsid w:val="00DE7ECE"/>
    <w:rsid w:val="00DF27B3"/>
    <w:rsid w:val="00DF369E"/>
    <w:rsid w:val="00DF4F00"/>
    <w:rsid w:val="00E03258"/>
    <w:rsid w:val="00E0415D"/>
    <w:rsid w:val="00E1582B"/>
    <w:rsid w:val="00E15CFB"/>
    <w:rsid w:val="00E24C6B"/>
    <w:rsid w:val="00E35A10"/>
    <w:rsid w:val="00E35B9D"/>
    <w:rsid w:val="00E4627B"/>
    <w:rsid w:val="00E505A0"/>
    <w:rsid w:val="00E5103F"/>
    <w:rsid w:val="00E56142"/>
    <w:rsid w:val="00E64548"/>
    <w:rsid w:val="00E83CC6"/>
    <w:rsid w:val="00E83F03"/>
    <w:rsid w:val="00E93206"/>
    <w:rsid w:val="00E9345F"/>
    <w:rsid w:val="00EA6AFC"/>
    <w:rsid w:val="00EB28F9"/>
    <w:rsid w:val="00EC42CB"/>
    <w:rsid w:val="00F03AF7"/>
    <w:rsid w:val="00F217B6"/>
    <w:rsid w:val="00F21B84"/>
    <w:rsid w:val="00F41E5D"/>
    <w:rsid w:val="00F43E0D"/>
    <w:rsid w:val="00F50C88"/>
    <w:rsid w:val="00F60DD3"/>
    <w:rsid w:val="00F91722"/>
    <w:rsid w:val="00F937C8"/>
    <w:rsid w:val="00FA3C38"/>
    <w:rsid w:val="00FA7487"/>
    <w:rsid w:val="00FB0D28"/>
    <w:rsid w:val="00FB5CF1"/>
    <w:rsid w:val="00FC2D2D"/>
    <w:rsid w:val="00FC43F0"/>
    <w:rsid w:val="00FD5E89"/>
    <w:rsid w:val="00FD6B86"/>
    <w:rsid w:val="00FD712B"/>
    <w:rsid w:val="00FE166E"/>
    <w:rsid w:val="00FE5C21"/>
    <w:rsid w:val="03FC3E20"/>
    <w:rsid w:val="042E7D5A"/>
    <w:rsid w:val="0576250B"/>
    <w:rsid w:val="0B9E4DDD"/>
    <w:rsid w:val="0D405710"/>
    <w:rsid w:val="0D6937D5"/>
    <w:rsid w:val="0FF62B64"/>
    <w:rsid w:val="101A180C"/>
    <w:rsid w:val="13DC636A"/>
    <w:rsid w:val="15894A87"/>
    <w:rsid w:val="1B0374AA"/>
    <w:rsid w:val="1C520492"/>
    <w:rsid w:val="1C697A23"/>
    <w:rsid w:val="1F497C73"/>
    <w:rsid w:val="1F6B2F59"/>
    <w:rsid w:val="20BE42AC"/>
    <w:rsid w:val="218E7FED"/>
    <w:rsid w:val="22DC59B6"/>
    <w:rsid w:val="27D15EA2"/>
    <w:rsid w:val="29FD50F4"/>
    <w:rsid w:val="2A8B2259"/>
    <w:rsid w:val="2CAD6DC1"/>
    <w:rsid w:val="2EA90EF0"/>
    <w:rsid w:val="30320489"/>
    <w:rsid w:val="34C44EA5"/>
    <w:rsid w:val="35555A7E"/>
    <w:rsid w:val="388B267A"/>
    <w:rsid w:val="39876461"/>
    <w:rsid w:val="3C130F62"/>
    <w:rsid w:val="3CAA02BE"/>
    <w:rsid w:val="42D44D60"/>
    <w:rsid w:val="4A7F4860"/>
    <w:rsid w:val="4BCB2267"/>
    <w:rsid w:val="4BE47CCE"/>
    <w:rsid w:val="4C042A4E"/>
    <w:rsid w:val="4C0729B7"/>
    <w:rsid w:val="4C0E3845"/>
    <w:rsid w:val="50D358F5"/>
    <w:rsid w:val="52760E27"/>
    <w:rsid w:val="534C68C7"/>
    <w:rsid w:val="53A33A92"/>
    <w:rsid w:val="555D49FA"/>
    <w:rsid w:val="571B2E13"/>
    <w:rsid w:val="57685EB9"/>
    <w:rsid w:val="5F593178"/>
    <w:rsid w:val="5F9B4BA0"/>
    <w:rsid w:val="6260459D"/>
    <w:rsid w:val="62AD5F88"/>
    <w:rsid w:val="6971294B"/>
    <w:rsid w:val="6D421186"/>
    <w:rsid w:val="70D813D5"/>
    <w:rsid w:val="70EA7E93"/>
    <w:rsid w:val="73A533B1"/>
    <w:rsid w:val="78F50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C3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6C39B5"/>
    <w:pPr>
      <w:tabs>
        <w:tab w:val="right" w:leader="dot" w:pos="8296"/>
      </w:tabs>
      <w:spacing w:line="460" w:lineRule="exact"/>
    </w:pPr>
    <w:rPr>
      <w:b/>
    </w:rPr>
  </w:style>
  <w:style w:type="paragraph" w:styleId="a3">
    <w:name w:val="Body Text Indent"/>
    <w:basedOn w:val="a"/>
    <w:qFormat/>
    <w:rsid w:val="006C39B5"/>
    <w:pPr>
      <w:spacing w:after="120"/>
      <w:ind w:leftChars="200" w:left="420"/>
    </w:pPr>
  </w:style>
  <w:style w:type="paragraph" w:styleId="a4">
    <w:name w:val="Date"/>
    <w:basedOn w:val="a"/>
    <w:next w:val="a"/>
    <w:link w:val="Char"/>
    <w:qFormat/>
    <w:rsid w:val="006C39B5"/>
    <w:pPr>
      <w:ind w:leftChars="2500" w:left="100"/>
    </w:pPr>
  </w:style>
  <w:style w:type="paragraph" w:styleId="a5">
    <w:name w:val="Balloon Text"/>
    <w:basedOn w:val="a"/>
    <w:link w:val="Char0"/>
    <w:qFormat/>
    <w:rsid w:val="006C39B5"/>
    <w:rPr>
      <w:sz w:val="18"/>
      <w:szCs w:val="18"/>
    </w:rPr>
  </w:style>
  <w:style w:type="paragraph" w:styleId="a6">
    <w:name w:val="footer"/>
    <w:basedOn w:val="a"/>
    <w:qFormat/>
    <w:rsid w:val="006C39B5"/>
    <w:pPr>
      <w:tabs>
        <w:tab w:val="center" w:pos="4153"/>
        <w:tab w:val="right" w:pos="8306"/>
      </w:tabs>
      <w:snapToGrid w:val="0"/>
      <w:jc w:val="left"/>
    </w:pPr>
    <w:rPr>
      <w:sz w:val="18"/>
      <w:szCs w:val="18"/>
    </w:rPr>
  </w:style>
  <w:style w:type="paragraph" w:styleId="a7">
    <w:name w:val="header"/>
    <w:basedOn w:val="a"/>
    <w:qFormat/>
    <w:rsid w:val="006C39B5"/>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rsid w:val="006C39B5"/>
    <w:pPr>
      <w:ind w:leftChars="200" w:left="420"/>
    </w:pPr>
  </w:style>
  <w:style w:type="paragraph" w:styleId="a8">
    <w:name w:val="Normal (Web)"/>
    <w:basedOn w:val="a"/>
    <w:qFormat/>
    <w:rsid w:val="006C39B5"/>
    <w:pPr>
      <w:spacing w:before="100" w:beforeAutospacing="1" w:after="100" w:afterAutospacing="1"/>
      <w:jc w:val="left"/>
    </w:pPr>
    <w:rPr>
      <w:kern w:val="0"/>
      <w:sz w:val="24"/>
    </w:rPr>
  </w:style>
  <w:style w:type="character" w:styleId="a9">
    <w:name w:val="page number"/>
    <w:basedOn w:val="a0"/>
    <w:qFormat/>
    <w:rsid w:val="006C39B5"/>
  </w:style>
  <w:style w:type="character" w:customStyle="1" w:styleId="Char">
    <w:name w:val="日期 Char"/>
    <w:link w:val="a4"/>
    <w:qFormat/>
    <w:rsid w:val="006C39B5"/>
    <w:rPr>
      <w:kern w:val="2"/>
      <w:sz w:val="21"/>
      <w:szCs w:val="24"/>
    </w:rPr>
  </w:style>
  <w:style w:type="character" w:customStyle="1" w:styleId="Char0">
    <w:name w:val="批注框文本 Char"/>
    <w:link w:val="a5"/>
    <w:qFormat/>
    <w:rsid w:val="006C39B5"/>
    <w:rPr>
      <w:kern w:val="2"/>
      <w:sz w:val="18"/>
      <w:szCs w:val="18"/>
    </w:rPr>
  </w:style>
  <w:style w:type="character" w:styleId="aa">
    <w:name w:val="Hyperlink"/>
    <w:basedOn w:val="a0"/>
    <w:uiPriority w:val="99"/>
    <w:unhideWhenUsed/>
    <w:rsid w:val="00A02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DB2E4-ADC5-486A-9641-7E437238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7079</Words>
  <Characters>1799</Characters>
  <Application>Microsoft Office Word</Application>
  <DocSecurity>0</DocSecurity>
  <Lines>14</Lines>
  <Paragraphs>17</Paragraphs>
  <ScaleCrop>false</ScaleCrop>
  <Company>微软中国</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20XX年XX专项资金（或项目）</dc:title>
  <dc:creator>微软用户</dc:creator>
  <cp:lastModifiedBy>Microsoft</cp:lastModifiedBy>
  <cp:revision>2</cp:revision>
  <cp:lastPrinted>2020-12-24T02:07:00Z</cp:lastPrinted>
  <dcterms:created xsi:type="dcterms:W3CDTF">2022-06-17T07:23:00Z</dcterms:created>
  <dcterms:modified xsi:type="dcterms:W3CDTF">2022-06-17T07:23:00Z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KSOSaveFontToCloudKey">
    <vt:lpwstr>283205395_btnclosed</vt:lpwstr>
  </property>
  <property fmtid="{D5CDD505-2E9C-101B-9397-08002B2CF9AE}" pid="4" name="ICV">
    <vt:lpwstr>560ED6C472F840EE9759B59E16B650A7</vt:lpwstr>
  </property>
</Properties>
</file>