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pacing w:line="520" w:lineRule="exact"/>
        <w:jc w:val="left"/>
        <w:rPr>
          <w:rFonts w:ascii="黑体" w:eastAsia="黑体"/>
          <w:sz w:val="32"/>
          <w:szCs w:val="32"/>
          <w:lang w:val="zh-CN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pStyle w:val="45"/>
        <w:spacing w:line="520" w:lineRule="exact"/>
        <w:rPr>
          <w:rFonts w:ascii="宋体" w:hAnsi="宋体" w:eastAsia="宋体" w:cs="宋体"/>
        </w:rPr>
      </w:pPr>
    </w:p>
    <w:p>
      <w:pPr>
        <w:spacing w:line="520" w:lineRule="exact"/>
        <w:ind w:left="880" w:hanging="8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青岛市福利彩票发行中心</w:t>
      </w:r>
    </w:p>
    <w:p>
      <w:pPr>
        <w:spacing w:line="520" w:lineRule="exact"/>
        <w:ind w:left="880" w:hanging="8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整体支出绩效评价报告</w:t>
      </w:r>
    </w:p>
    <w:p>
      <w:pPr>
        <w:spacing w:line="520" w:lineRule="exact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</w:p>
    <w:p>
      <w:pPr>
        <w:spacing w:line="520" w:lineRule="exact"/>
        <w:ind w:left="1040" w:hanging="1040"/>
        <w:jc w:val="right"/>
        <w:rPr>
          <w:rFonts w:ascii="文星简黑体" w:eastAsia="文星简黑体"/>
          <w:sz w:val="52"/>
          <w:szCs w:val="52"/>
        </w:rPr>
      </w:pPr>
    </w:p>
    <w:p>
      <w:pPr>
        <w:spacing w:line="520" w:lineRule="exact"/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>
      <w:pPr>
        <w:spacing w:line="520" w:lineRule="exact"/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>
      <w:pPr>
        <w:spacing w:before="120" w:after="120" w:line="520" w:lineRule="exact"/>
        <w:ind w:left="640" w:hanging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before="120" w:after="120" w:line="520" w:lineRule="exact"/>
        <w:ind w:left="2240" w:hanging="2240" w:hangingChars="7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文星简黑体"/>
          <w:sz w:val="32"/>
          <w:szCs w:val="32"/>
        </w:rPr>
        <w:t>被评价单位：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青岛市福利彩票发行中心</w:t>
      </w:r>
    </w:p>
    <w:p>
      <w:pPr>
        <w:spacing w:before="120" w:after="120" w:line="520" w:lineRule="exact"/>
        <w:ind w:left="640" w:hanging="64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before="120" w:after="120" w:line="520" w:lineRule="exact"/>
        <w:ind w:left="640" w:hanging="640"/>
        <w:jc w:val="center"/>
        <w:rPr>
          <w:rFonts w:ascii="黑体" w:hAnsi="黑体" w:eastAsia="黑体"/>
          <w:sz w:val="32"/>
          <w:szCs w:val="32"/>
        </w:rPr>
      </w:pPr>
    </w:p>
    <w:p>
      <w:pPr>
        <w:spacing w:before="120" w:after="120" w:line="520" w:lineRule="exact"/>
        <w:rPr>
          <w:rFonts w:ascii="黑体" w:hAnsi="黑体" w:eastAsia="黑体"/>
          <w:sz w:val="32"/>
          <w:szCs w:val="32"/>
        </w:rPr>
      </w:pPr>
    </w:p>
    <w:p>
      <w:pPr>
        <w:spacing w:before="120" w:after="120" w:line="520" w:lineRule="exact"/>
        <w:jc w:val="center"/>
        <w:rPr>
          <w:rFonts w:ascii="黑体" w:hAnsi="黑体" w:eastAsia="黑体" w:cs="文星简黑体"/>
          <w:sz w:val="32"/>
          <w:szCs w:val="32"/>
        </w:rPr>
      </w:pPr>
      <w:r>
        <w:rPr>
          <w:rFonts w:hint="eastAsia" w:ascii="黑体" w:hAnsi="黑体" w:eastAsia="黑体" w:cs="文星简黑体"/>
          <w:sz w:val="32"/>
          <w:szCs w:val="32"/>
          <w:lang w:val="en-US" w:eastAsia="zh-CN"/>
        </w:rPr>
        <w:t xml:space="preserve">2021 </w:t>
      </w:r>
      <w:r>
        <w:rPr>
          <w:rFonts w:hint="eastAsia" w:ascii="黑体" w:hAnsi="黑体" w:eastAsia="黑体" w:cs="文星简黑体"/>
          <w:sz w:val="32"/>
          <w:szCs w:val="32"/>
        </w:rPr>
        <w:t xml:space="preserve">年 </w:t>
      </w:r>
      <w:r>
        <w:rPr>
          <w:rFonts w:hint="eastAsia" w:ascii="黑体" w:hAnsi="黑体" w:eastAsia="黑体" w:cs="文星简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文星简黑体"/>
          <w:sz w:val="32"/>
          <w:szCs w:val="32"/>
        </w:rPr>
        <w:t xml:space="preserve"> 月</w:t>
      </w:r>
    </w:p>
    <w:p>
      <w:pPr>
        <w:spacing w:before="120" w:after="120" w:line="520" w:lineRule="exact"/>
        <w:jc w:val="center"/>
        <w:rPr>
          <w:rFonts w:ascii="黑体" w:hAnsi="黑体" w:eastAsia="黑体" w:cs="文星简黑体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/>
          <w:kern w:val="0"/>
          <w:sz w:val="28"/>
          <w:szCs w:val="28"/>
          <w:lang w:val="zh-CN"/>
        </w:rPr>
      </w:pPr>
    </w:p>
    <w:p>
      <w:pPr>
        <w:pStyle w:val="44"/>
        <w:spacing w:line="520" w:lineRule="exact"/>
        <w:sectPr>
          <w:footerReference r:id="rId3" w:type="default"/>
          <w:footnotePr>
            <w:numRestart w:val="eachPage"/>
          </w:footnotePr>
          <w:pgSz w:w="11906" w:h="16838"/>
          <w:pgMar w:top="1440" w:right="1800" w:bottom="1440" w:left="1800" w:header="851" w:footer="992" w:gutter="0"/>
          <w:cols w:space="720" w:num="1"/>
          <w:docGrid w:linePitch="312" w:charSpace="0"/>
        </w:sectPr>
      </w:pPr>
    </w:p>
    <w:p>
      <w:pPr>
        <w:pStyle w:val="4"/>
        <w:spacing w:line="520" w:lineRule="exact"/>
        <w:ind w:firstLine="88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青岛市福利彩票发行中心</w:t>
      </w:r>
    </w:p>
    <w:p>
      <w:pPr>
        <w:pStyle w:val="4"/>
        <w:spacing w:line="520" w:lineRule="exact"/>
        <w:ind w:firstLine="88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整体支出绩效评价报告</w:t>
      </w:r>
    </w:p>
    <w:p>
      <w:pPr>
        <w:pStyle w:val="3"/>
        <w:numPr>
          <w:numId w:val="0"/>
        </w:numPr>
        <w:spacing w:line="520" w:lineRule="exact"/>
        <w:ind w:leftChars="200"/>
        <w:rPr>
          <w:lang w:val="en-US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lang w:val="en-US"/>
        </w:rPr>
      </w:pPr>
      <w:r>
        <w:rPr>
          <w:rFonts w:hint="eastAsia"/>
          <w:lang w:val="en-US"/>
        </w:rPr>
        <w:t>部门概况</w:t>
      </w:r>
    </w:p>
    <w:p>
      <w:pPr>
        <w:pStyle w:val="6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/>
          <w:b w:val="0"/>
          <w:sz w:val="32"/>
          <w:lang w:val="en-US"/>
        </w:rPr>
      </w:pPr>
      <w:r>
        <w:rPr>
          <w:rFonts w:hint="eastAsia" w:eastAsia="楷体_GB2312"/>
          <w:b w:val="0"/>
          <w:sz w:val="32"/>
          <w:lang w:val="en-US" w:eastAsia="zh-CN"/>
        </w:rPr>
        <w:t>（一）</w:t>
      </w:r>
      <w:r>
        <w:rPr>
          <w:rFonts w:eastAsia="楷体_GB2312"/>
          <w:b w:val="0"/>
          <w:sz w:val="32"/>
          <w:lang w:val="en-US"/>
        </w:rPr>
        <w:t>部门设立背景及概况</w:t>
      </w:r>
      <w:bookmarkStart w:id="0" w:name="_Toc26964728"/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青岛市福利彩票发行中心成立于1992年，为青岛市民政局下属正处级自收自支事业单位。</w:t>
      </w:r>
    </w:p>
    <w:bookmarkEnd w:id="0"/>
    <w:p>
      <w:pPr>
        <w:pStyle w:val="6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/>
          <w:b w:val="0"/>
          <w:sz w:val="32"/>
          <w:lang w:val="en-US"/>
        </w:rPr>
      </w:pPr>
      <w:r>
        <w:rPr>
          <w:rFonts w:hint="eastAsia" w:eastAsia="楷体_GB2312"/>
          <w:b w:val="0"/>
          <w:sz w:val="32"/>
          <w:lang w:val="en-US" w:eastAsia="zh-CN"/>
        </w:rPr>
        <w:t>（二）</w:t>
      </w:r>
      <w:r>
        <w:rPr>
          <w:rFonts w:eastAsia="楷体_GB2312"/>
          <w:b w:val="0"/>
          <w:sz w:val="32"/>
          <w:lang w:val="en-US"/>
        </w:rPr>
        <w:t>部门职能、架构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市福彩中心内设10个职能处室：办公室、财务部、人力资源部、综合部、设备维修部、市场部、技术部、电脑彩票部、网点即开部、视频彩票部。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截止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  <w:t>2020年末，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共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有在编干部职工78人，退休人员23人，劳务派遣人员73人。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主要职能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负责青岛市福利彩票活动组织、福利彩票市场调查与预测、福利彩票发行组织、福利彩票活动统计。</w:t>
      </w:r>
    </w:p>
    <w:p>
      <w:pPr>
        <w:pStyle w:val="6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eastAsia="楷体_GB2312"/>
          <w:b w:val="0"/>
          <w:sz w:val="32"/>
          <w:lang w:val="en-US"/>
        </w:rPr>
      </w:pPr>
      <w:r>
        <w:rPr>
          <w:rFonts w:hint="eastAsia" w:eastAsia="楷体_GB2312"/>
          <w:b w:val="0"/>
          <w:sz w:val="32"/>
          <w:lang w:val="en-US" w:eastAsia="zh-CN"/>
        </w:rPr>
        <w:t>（三）</w:t>
      </w:r>
      <w:r>
        <w:rPr>
          <w:rFonts w:hint="eastAsia" w:eastAsia="楷体_GB2312"/>
          <w:b w:val="0"/>
          <w:sz w:val="32"/>
          <w:lang w:val="en-US"/>
        </w:rPr>
        <w:t>部门</w:t>
      </w:r>
      <w:r>
        <w:rPr>
          <w:rFonts w:eastAsia="楷体_GB2312"/>
          <w:b w:val="0"/>
          <w:sz w:val="32"/>
          <w:lang w:val="en-US"/>
        </w:rPr>
        <w:t>预算</w:t>
      </w:r>
      <w:r>
        <w:rPr>
          <w:rFonts w:hint="eastAsia" w:eastAsia="楷体_GB2312"/>
          <w:b w:val="0"/>
          <w:sz w:val="32"/>
          <w:lang w:val="en-US"/>
        </w:rPr>
        <w:t>及支出情况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42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1.预算情况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年初预算收入共计7453.97万元，其中: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政府性基金预算</w:t>
      </w:r>
      <w:r>
        <w:rPr>
          <w:rFonts w:hint="eastAsia" w:ascii="仿宋_GB2312" w:eastAsia="仿宋_GB2312"/>
          <w:color w:val="000000"/>
          <w:sz w:val="32"/>
          <w:szCs w:val="32"/>
        </w:rPr>
        <w:t>收入7017.00万元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，其他收入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436.97万元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调整后预算收入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5082.97万元，其中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政府性基金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预算收入4646万元（含上级专款247万元），其他收入436.97万元。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年初预算支出共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计7453.97万元, 其中:人员经费1752.12万元、日常公用经费346.98万元、专项经费5354.87元。调整后预算支出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5082.97万元（政府性基金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预算支出4646万元，含上级专款247万元）。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2.收支情况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2020年收入共计4981.38万元，其中政府性基金收入4690.81万元，其他收入290.57万元。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支出共计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4860.45万元（政府性基金</w:t>
      </w:r>
      <w:r>
        <w:rPr>
          <w:rFonts w:hint="eastAsia" w:ascii="仿宋_GB2312" w:eastAsia="仿宋_GB2312"/>
          <w:color w:val="000000"/>
          <w:sz w:val="32"/>
          <w:szCs w:val="32"/>
        </w:rPr>
        <w:t>支出4686.22万元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，其他资金支出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174.23万元）</w:t>
      </w:r>
      <w:r>
        <w:rPr>
          <w:rFonts w:hint="eastAsia" w:ascii="仿宋_GB2312" w:eastAsia="仿宋_GB2312"/>
          <w:color w:val="000000"/>
          <w:sz w:val="32"/>
          <w:szCs w:val="32"/>
        </w:rPr>
        <w:t>。其中：基本支出2524.15万元，包括人员支出1877.74万元，公用支出646.41万元；项目支出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2336.30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pStyle w:val="5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1" w:name="_Toc26964729"/>
      <w:r>
        <w:rPr>
          <w:rFonts w:eastAsia="楷体_GB2312" w:cs="Times New Roman"/>
          <w:b w:val="0"/>
          <w:sz w:val="32"/>
          <w:lang w:val="en-US"/>
        </w:rPr>
        <w:t>部门资产情况</w:t>
      </w:r>
      <w:bookmarkEnd w:id="1"/>
    </w:p>
    <w:p>
      <w:pPr>
        <w:pStyle w:val="5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/>
        </w:rPr>
        <w:t>年末资产总计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 w:eastAsia="zh-CN"/>
        </w:rPr>
        <w:t>28025.34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/>
        </w:rPr>
        <w:t>万元，其中流动资产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 w:eastAsia="zh-CN"/>
        </w:rPr>
        <w:t>14758.17万元，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/>
        </w:rPr>
        <w:t>固定资产净值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 w:eastAsia="zh-CN"/>
        </w:rPr>
        <w:t>13267.17</w:t>
      </w:r>
      <w:r>
        <w:rPr>
          <w:rFonts w:hint="eastAsia" w:ascii="仿宋_GB2312"/>
          <w:b w:val="0"/>
          <w:bCs w:val="0"/>
          <w:color w:val="000000"/>
          <w:sz w:val="32"/>
          <w:szCs w:val="32"/>
          <w:lang w:val="en-US"/>
        </w:rPr>
        <w:t>万元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560" w:lineRule="exact"/>
        <w:ind w:left="0" w:leftChars="0" w:firstLine="640" w:firstLineChars="200"/>
        <w:textAlignment w:val="auto"/>
        <w:rPr>
          <w:rFonts w:eastAsia="楷体_GB2312"/>
          <w:kern w:val="0"/>
          <w:szCs w:val="32"/>
          <w:lang w:val="en-US"/>
        </w:rPr>
      </w:pPr>
      <w:bookmarkStart w:id="2" w:name="_Toc26964732"/>
      <w:r>
        <w:rPr>
          <w:rFonts w:hint="eastAsia" w:eastAsia="楷体_GB2312"/>
          <w:kern w:val="0"/>
          <w:szCs w:val="32"/>
          <w:lang w:val="en-US"/>
        </w:rPr>
        <w:t>部门</w:t>
      </w:r>
      <w:r>
        <w:rPr>
          <w:rFonts w:eastAsia="楷体_GB2312"/>
          <w:kern w:val="0"/>
          <w:szCs w:val="32"/>
          <w:lang w:val="en-US"/>
        </w:rPr>
        <w:t>绩效目标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42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我市福利彩票销售系统的建设、运营和维护，保障我市福利彩票销售的平稳运行，逐步提高我市福利彩票销售的环境及服务质量，为全市彩民提供更好的购彩氛围及环境，改善彩票业务设施，提升品牌形象，规范彩票市场秩序，顺利完成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20年度我市福利彩票销售工作，为全市人民筹集更多的公益金，为我市福利公益事业的发展提供坚实的基础。</w:t>
      </w:r>
    </w:p>
    <w:bookmarkEnd w:id="2"/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640"/>
        <w:textAlignment w:val="auto"/>
        <w:rPr>
          <w:lang w:val="en-US"/>
        </w:rPr>
      </w:pPr>
      <w:r>
        <w:rPr>
          <w:rFonts w:hint="eastAsia"/>
          <w:lang w:val="en-US"/>
        </w:rPr>
        <w:t>二、</w:t>
      </w:r>
      <w:r>
        <w:rPr>
          <w:lang w:val="en-US"/>
        </w:rPr>
        <w:t>评价工作基本情况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3" w:name="_Toc26964733"/>
      <w:r>
        <w:rPr>
          <w:rFonts w:hint="eastAsia" w:eastAsia="楷体_GB2312" w:cs="Times New Roman"/>
          <w:b w:val="0"/>
          <w:sz w:val="32"/>
          <w:lang w:val="en-US"/>
        </w:rPr>
        <w:t>评价目的</w:t>
      </w:r>
      <w:bookmarkEnd w:id="3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强化结果导向和绩效意识，优化资金、资产和资源配置，将绩效评价作为编制预算、调整政策和改进管理的重要依据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/>
          <w:color w:val="000000"/>
          <w:sz w:val="32"/>
          <w:szCs w:val="32"/>
          <w:lang w:val="en-US"/>
        </w:rPr>
        <w:t>提高资金使用效益，进一步完善工作机制，着力提高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/>
          <w:color w:val="000000"/>
          <w:sz w:val="32"/>
          <w:szCs w:val="32"/>
          <w:lang w:val="en-US"/>
        </w:rPr>
        <w:t>质量和效率，促进青岛市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福利彩票</w:t>
      </w:r>
      <w:r>
        <w:rPr>
          <w:rFonts w:hint="eastAsia" w:ascii="仿宋_GB2312"/>
          <w:color w:val="000000"/>
          <w:sz w:val="32"/>
          <w:szCs w:val="32"/>
          <w:lang w:val="en-US"/>
        </w:rPr>
        <w:t>事业持续发展</w:t>
      </w:r>
      <w:r>
        <w:rPr>
          <w:rFonts w:hint="eastAsia" w:ascii="仿宋_GB2312"/>
          <w:color w:val="000000"/>
          <w:sz w:val="32"/>
          <w:szCs w:val="32"/>
          <w:lang w:val="en-US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4" w:name="_Toc26964734"/>
      <w:r>
        <w:rPr>
          <w:rFonts w:hint="eastAsia" w:eastAsia="楷体_GB2312" w:cs="Times New Roman"/>
          <w:b w:val="0"/>
          <w:sz w:val="32"/>
          <w:lang w:val="en-US"/>
        </w:rPr>
        <w:t>评价依据</w:t>
      </w:r>
      <w:bookmarkEnd w:id="4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青岛市财政局《关于批复</w:t>
      </w:r>
      <w:r>
        <w:rPr>
          <w:rFonts w:ascii="仿宋_GB2312"/>
          <w:color w:val="000000"/>
          <w:sz w:val="32"/>
          <w:szCs w:val="32"/>
          <w:lang w:val="en-US"/>
        </w:rPr>
        <w:t>2020</w:t>
      </w:r>
      <w:r>
        <w:rPr>
          <w:rFonts w:hint="eastAsia" w:ascii="仿宋_GB2312"/>
          <w:color w:val="000000"/>
          <w:sz w:val="32"/>
          <w:szCs w:val="32"/>
          <w:lang w:val="en-US"/>
        </w:rPr>
        <w:t>年市级部门预算的通知》、《青岛市财政支出绩效评价管理办法》、《青岛市财政局关于开展</w:t>
      </w:r>
      <w:r>
        <w:rPr>
          <w:rFonts w:ascii="仿宋_GB2312"/>
          <w:color w:val="000000"/>
          <w:sz w:val="32"/>
          <w:szCs w:val="32"/>
          <w:lang w:val="en-US"/>
        </w:rPr>
        <w:t>2020</w:t>
      </w:r>
      <w:r>
        <w:rPr>
          <w:rFonts w:hint="eastAsia" w:ascii="仿宋_GB2312"/>
          <w:color w:val="000000"/>
          <w:sz w:val="32"/>
          <w:szCs w:val="32"/>
          <w:lang w:val="en-US"/>
        </w:rPr>
        <w:t>年度单位绩效自评和部门绩效评价工作的通知》、相关行业政策、行业文件、预算管理制度、资金及财务管理办法和财务会计资料等。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5" w:name="_Toc26964735"/>
      <w:r>
        <w:rPr>
          <w:rFonts w:hint="eastAsia" w:eastAsia="楷体_GB2312" w:cs="Times New Roman"/>
          <w:b w:val="0"/>
          <w:sz w:val="32"/>
          <w:lang w:val="en-US"/>
        </w:rPr>
        <w:t>评价对象</w:t>
      </w:r>
      <w:bookmarkEnd w:id="5"/>
      <w:r>
        <w:rPr>
          <w:rFonts w:hint="eastAsia" w:eastAsia="楷体_GB2312" w:cs="Times New Roman"/>
          <w:b w:val="0"/>
          <w:sz w:val="32"/>
          <w:lang w:val="en-US"/>
        </w:rPr>
        <w:t>和资金范围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主要包括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青岛市福利彩票发行中心</w:t>
      </w:r>
      <w:r>
        <w:rPr>
          <w:rFonts w:hint="eastAsia" w:ascii="仿宋_GB2312"/>
          <w:color w:val="000000"/>
          <w:sz w:val="32"/>
          <w:szCs w:val="32"/>
          <w:lang w:val="en-US"/>
        </w:rPr>
        <w:t>部门整体绩效目标实现情况、资源配置、资产管理水平、运行成本控制情况、履职效能实现情况等方面。对资金的使用和效益情况进行评价，为预算绩效管理和下年度预算安排提供重要依据。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6" w:name="_Toc26964736"/>
      <w:r>
        <w:rPr>
          <w:rFonts w:hint="eastAsia" w:eastAsia="楷体_GB2312" w:cs="Times New Roman"/>
          <w:b w:val="0"/>
          <w:sz w:val="32"/>
          <w:lang w:val="en-US"/>
        </w:rPr>
        <w:t>评价</w:t>
      </w:r>
      <w:bookmarkEnd w:id="6"/>
      <w:r>
        <w:rPr>
          <w:rFonts w:hint="eastAsia" w:eastAsia="楷体_GB2312" w:cs="Times New Roman"/>
          <w:b w:val="0"/>
          <w:sz w:val="32"/>
          <w:lang w:val="en-US"/>
        </w:rPr>
        <w:t>原则及评价方法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按照明确主体、科学公正、公开透明、激励约束原则，采用成本效益分析法、比较法、因素分析法、公众评判法等绩效评价方法，重点关注收集、分析数据方法的有效性、可靠性，从决策、过程、产出、效益四个方面进行综合打分。采取评分和评级相结合的方式，总分设定为</w:t>
      </w:r>
      <w:r>
        <w:rPr>
          <w:rFonts w:ascii="仿宋_GB2312"/>
          <w:color w:val="000000"/>
          <w:sz w:val="32"/>
          <w:szCs w:val="32"/>
          <w:lang w:val="en-US"/>
        </w:rPr>
        <w:t>100</w:t>
      </w:r>
      <w:r>
        <w:rPr>
          <w:rFonts w:hint="eastAsia" w:ascii="仿宋_GB2312"/>
          <w:color w:val="000000"/>
          <w:sz w:val="32"/>
          <w:szCs w:val="32"/>
          <w:lang w:val="en-US"/>
        </w:rPr>
        <w:t>分。等级划分为四档：</w:t>
      </w:r>
      <w:r>
        <w:rPr>
          <w:rFonts w:ascii="仿宋_GB2312"/>
          <w:color w:val="000000"/>
          <w:sz w:val="32"/>
          <w:szCs w:val="32"/>
          <w:lang w:val="en-US"/>
        </w:rPr>
        <w:t>90</w:t>
      </w:r>
      <w:r>
        <w:rPr>
          <w:rFonts w:hint="eastAsia" w:ascii="仿宋_GB2312"/>
          <w:color w:val="000000"/>
          <w:sz w:val="32"/>
          <w:szCs w:val="32"/>
          <w:lang w:val="en-US"/>
        </w:rPr>
        <w:t>（含）</w:t>
      </w:r>
      <w:r>
        <w:rPr>
          <w:rFonts w:ascii="仿宋_GB2312"/>
          <w:color w:val="000000"/>
          <w:sz w:val="32"/>
          <w:szCs w:val="32"/>
          <w:lang w:val="en-US"/>
        </w:rPr>
        <w:t>-100</w:t>
      </w:r>
      <w:r>
        <w:rPr>
          <w:rFonts w:hint="eastAsia" w:ascii="仿宋_GB2312"/>
          <w:color w:val="000000"/>
          <w:sz w:val="32"/>
          <w:szCs w:val="32"/>
          <w:lang w:val="en-US"/>
        </w:rPr>
        <w:t>分为优、</w:t>
      </w:r>
      <w:r>
        <w:rPr>
          <w:rFonts w:ascii="仿宋_GB2312"/>
          <w:color w:val="000000"/>
          <w:sz w:val="32"/>
          <w:szCs w:val="32"/>
          <w:lang w:val="en-US"/>
        </w:rPr>
        <w:t>80</w:t>
      </w:r>
      <w:r>
        <w:rPr>
          <w:rFonts w:hint="eastAsia" w:ascii="仿宋_GB2312"/>
          <w:color w:val="000000"/>
          <w:sz w:val="32"/>
          <w:szCs w:val="32"/>
          <w:lang w:val="en-US"/>
        </w:rPr>
        <w:t>（含）</w:t>
      </w:r>
      <w:r>
        <w:rPr>
          <w:rFonts w:ascii="仿宋_GB2312"/>
          <w:color w:val="000000"/>
          <w:sz w:val="32"/>
          <w:szCs w:val="32"/>
          <w:lang w:val="en-US"/>
        </w:rPr>
        <w:t>-90</w:t>
      </w:r>
      <w:r>
        <w:rPr>
          <w:rFonts w:hint="eastAsia" w:ascii="仿宋_GB2312"/>
          <w:color w:val="000000"/>
          <w:sz w:val="32"/>
          <w:szCs w:val="32"/>
          <w:lang w:val="en-US"/>
        </w:rPr>
        <w:t>分为良、</w:t>
      </w:r>
      <w:r>
        <w:rPr>
          <w:rFonts w:ascii="仿宋_GB2312"/>
          <w:color w:val="000000"/>
          <w:sz w:val="32"/>
          <w:szCs w:val="32"/>
          <w:lang w:val="en-US"/>
        </w:rPr>
        <w:t>70</w:t>
      </w:r>
      <w:r>
        <w:rPr>
          <w:rFonts w:hint="eastAsia" w:ascii="仿宋_GB2312"/>
          <w:color w:val="000000"/>
          <w:sz w:val="32"/>
          <w:szCs w:val="32"/>
          <w:lang w:val="en-US"/>
        </w:rPr>
        <w:t>（含）</w:t>
      </w:r>
      <w:r>
        <w:rPr>
          <w:rFonts w:ascii="仿宋_GB2312"/>
          <w:color w:val="000000"/>
          <w:sz w:val="32"/>
          <w:szCs w:val="32"/>
          <w:lang w:val="en-US"/>
        </w:rPr>
        <w:t>-80</w:t>
      </w:r>
      <w:r>
        <w:rPr>
          <w:rFonts w:hint="eastAsia" w:ascii="仿宋_GB2312"/>
          <w:color w:val="000000"/>
          <w:sz w:val="32"/>
          <w:szCs w:val="32"/>
          <w:lang w:val="en-US"/>
        </w:rPr>
        <w:t>分为中、</w:t>
      </w:r>
      <w:r>
        <w:rPr>
          <w:rFonts w:ascii="仿宋_GB2312"/>
          <w:color w:val="000000"/>
          <w:sz w:val="32"/>
          <w:szCs w:val="32"/>
          <w:lang w:val="en-US"/>
        </w:rPr>
        <w:t>70</w:t>
      </w:r>
      <w:r>
        <w:rPr>
          <w:rFonts w:hint="eastAsia" w:ascii="仿宋_GB2312"/>
          <w:color w:val="000000"/>
          <w:sz w:val="32"/>
          <w:szCs w:val="32"/>
          <w:lang w:val="en-US"/>
        </w:rPr>
        <w:t>分以下为差。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/>
          <w:bCs/>
          <w:sz w:val="32"/>
          <w:szCs w:val="32"/>
          <w:lang w:val="en-US"/>
        </w:rPr>
      </w:pPr>
      <w:r>
        <w:rPr>
          <w:rFonts w:hint="eastAsia" w:eastAsia="楷体_GB2312"/>
          <w:bCs/>
          <w:sz w:val="32"/>
          <w:szCs w:val="32"/>
          <w:lang w:val="en-US" w:eastAsia="zh-CN"/>
        </w:rPr>
        <w:t>（五）</w:t>
      </w:r>
      <w:r>
        <w:rPr>
          <w:rFonts w:eastAsia="楷体_GB2312"/>
          <w:bCs/>
          <w:sz w:val="32"/>
          <w:szCs w:val="32"/>
          <w:lang w:val="en-US"/>
        </w:rPr>
        <w:t>绩效评价指标体系及设计思路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jc w:val="both"/>
        <w:textAlignment w:val="auto"/>
        <w:rPr>
          <w:rFonts w:eastAsia="楷体_GB2312"/>
          <w:bCs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评价指标体系按照《部门整体支出绩效评价指标体系》对应的内容进行设置。评价指标体系详见附件。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/>
          <w:bCs/>
          <w:sz w:val="32"/>
          <w:szCs w:val="32"/>
          <w:lang w:val="en-US"/>
        </w:rPr>
      </w:pPr>
      <w:r>
        <w:rPr>
          <w:rFonts w:hint="eastAsia" w:eastAsia="楷体_GB2312"/>
          <w:bCs/>
          <w:sz w:val="32"/>
          <w:szCs w:val="32"/>
          <w:lang w:val="en-US" w:eastAsia="zh-CN"/>
        </w:rPr>
        <w:t>（六）</w:t>
      </w:r>
      <w:r>
        <w:rPr>
          <w:rFonts w:eastAsia="楷体_GB2312"/>
          <w:bCs/>
          <w:sz w:val="32"/>
          <w:szCs w:val="32"/>
          <w:lang w:val="en-US"/>
        </w:rPr>
        <w:t>绩效评价人员组成</w:t>
      </w:r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eastAsia="楷体_GB2312"/>
          <w:bCs/>
          <w:sz w:val="32"/>
          <w:szCs w:val="32"/>
          <w:lang w:val="en-US" w:eastAsia="zh-CN"/>
        </w:rPr>
      </w:pPr>
      <w:r>
        <w:rPr>
          <w:rFonts w:hint="eastAsia" w:eastAsia="楷体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青岛市福利彩票发行中心成立了部门绩效评价小组，单位负责人任组长。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/>
        <w:textAlignment w:val="auto"/>
        <w:rPr>
          <w:rFonts w:eastAsia="楷体_GB2312"/>
          <w:bCs/>
          <w:sz w:val="32"/>
          <w:szCs w:val="32"/>
          <w:lang w:val="en-US"/>
        </w:rPr>
      </w:pPr>
      <w:r>
        <w:rPr>
          <w:rFonts w:eastAsia="楷体_GB2312"/>
          <w:bCs/>
          <w:sz w:val="32"/>
          <w:szCs w:val="32"/>
          <w:lang w:val="en-US"/>
        </w:rPr>
        <w:t>（七）绩效评价工作过程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1.</w:t>
      </w:r>
      <w:r>
        <w:rPr>
          <w:rFonts w:hint="eastAsia" w:ascii="仿宋_GB2312"/>
          <w:color w:val="000000"/>
          <w:sz w:val="32"/>
          <w:szCs w:val="32"/>
          <w:lang w:val="en-US"/>
        </w:rPr>
        <w:t>组织实施。研究制定绩效评价工作方案、设置评价指标体系；收集绩效评价相关数据资料；分析形成初步结论，综合分析并形成最终结论。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2.</w:t>
      </w:r>
      <w:r>
        <w:rPr>
          <w:rFonts w:hint="eastAsia" w:ascii="仿宋_GB2312"/>
          <w:color w:val="000000"/>
          <w:sz w:val="32"/>
          <w:szCs w:val="32"/>
          <w:lang w:val="en-US"/>
        </w:rPr>
        <w:t>形成指标体系。评价指标体系按照《部门整体支出绩效评价指标体系》对应的内容进行设置。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3.</w:t>
      </w:r>
      <w:r>
        <w:rPr>
          <w:rFonts w:hint="eastAsia" w:ascii="仿宋_GB2312"/>
          <w:color w:val="000000"/>
          <w:sz w:val="32"/>
          <w:szCs w:val="32"/>
          <w:lang w:val="en-US"/>
        </w:rPr>
        <w:t>出具报告。基于相关数据和材料，撰写部门整体支出评价报告。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640"/>
        <w:textAlignment w:val="auto"/>
        <w:rPr>
          <w:rFonts w:eastAsia="黑体" w:cs="Times New Roman"/>
          <w:b w:val="0"/>
          <w:kern w:val="44"/>
          <w:sz w:val="32"/>
          <w:szCs w:val="44"/>
          <w:lang w:val="en-US"/>
        </w:rPr>
      </w:pPr>
      <w:bookmarkStart w:id="7" w:name="_Toc26964738"/>
      <w:r>
        <w:rPr>
          <w:rFonts w:eastAsia="黑体" w:cs="Times New Roman"/>
          <w:b w:val="0"/>
          <w:kern w:val="44"/>
          <w:sz w:val="32"/>
          <w:szCs w:val="44"/>
          <w:lang w:val="en-US"/>
        </w:rPr>
        <w:t>三、评价结论与绩效分析</w:t>
      </w:r>
    </w:p>
    <w:bookmarkEnd w:id="7"/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643"/>
        <w:textAlignment w:val="auto"/>
        <w:rPr>
          <w:rFonts w:eastAsia="楷体_GB2312" w:cs="Times New Roman"/>
          <w:b w:val="0"/>
          <w:sz w:val="32"/>
          <w:lang w:val="en-US"/>
        </w:rPr>
      </w:pPr>
      <w:bookmarkStart w:id="8" w:name="_Toc26964739"/>
      <w:r>
        <w:rPr>
          <w:rFonts w:eastAsia="楷体_GB2312" w:cs="Times New Roman"/>
          <w:b w:val="0"/>
          <w:sz w:val="32"/>
          <w:lang w:val="en-US"/>
        </w:rPr>
        <w:t>（一）评价结论</w:t>
      </w:r>
      <w:bookmarkEnd w:id="8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 w:eastAsia="zh-CN"/>
        </w:rPr>
        <w:t>青岛市福利彩票发行中心</w:t>
      </w:r>
      <w:r>
        <w:rPr>
          <w:rFonts w:hint="eastAsia" w:ascii="仿宋_GB2312"/>
          <w:color w:val="000000"/>
          <w:sz w:val="32"/>
          <w:szCs w:val="32"/>
          <w:lang w:val="en-US"/>
        </w:rPr>
        <w:t>部门相关制度规定健全，整体支出实施过程管理到位，进一步提高了资金使用效益和科学性，达到了年度绩效目标要求，有效推动了长期绩效目标的建设。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根据</w:t>
      </w:r>
      <w:r>
        <w:rPr>
          <w:rFonts w:ascii="仿宋_GB2312"/>
          <w:color w:val="000000"/>
          <w:sz w:val="32"/>
          <w:szCs w:val="32"/>
          <w:lang w:val="en-US"/>
        </w:rPr>
        <w:t>2020</w:t>
      </w:r>
      <w:r>
        <w:rPr>
          <w:rFonts w:hint="eastAsia" w:ascii="仿宋_GB2312"/>
          <w:color w:val="000000"/>
          <w:sz w:val="32"/>
          <w:szCs w:val="32"/>
          <w:lang w:val="en-US"/>
        </w:rPr>
        <w:t>年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青岛市福利彩票发行中心</w:t>
      </w:r>
      <w:r>
        <w:rPr>
          <w:rFonts w:hint="eastAsia" w:ascii="仿宋_GB2312"/>
          <w:color w:val="000000"/>
          <w:sz w:val="32"/>
          <w:szCs w:val="32"/>
          <w:lang w:val="en-US"/>
        </w:rPr>
        <w:t>部门整体支出指标体系打分结果，中共青岛市委办公厅部门得分为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97.5</w:t>
      </w:r>
      <w:r>
        <w:rPr>
          <w:rFonts w:hint="eastAsia" w:ascii="仿宋_GB2312"/>
          <w:color w:val="000000"/>
          <w:sz w:val="32"/>
          <w:szCs w:val="32"/>
          <w:lang w:val="en-US"/>
        </w:rPr>
        <w:t>分，总体评价等级为“优”。</w:t>
      </w:r>
    </w:p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eastAsia="楷体_GB2312"/>
          <w:kern w:val="0"/>
          <w:szCs w:val="32"/>
          <w:lang w:val="en-US"/>
        </w:rPr>
      </w:pPr>
      <w:bookmarkStart w:id="9" w:name="_Toc26964742"/>
      <w:r>
        <w:rPr>
          <w:rFonts w:hint="eastAsia" w:eastAsia="楷体_GB2312"/>
          <w:kern w:val="0"/>
          <w:szCs w:val="32"/>
          <w:lang w:val="en-US" w:eastAsia="zh-CN"/>
        </w:rPr>
        <w:t>（二）</w:t>
      </w:r>
      <w:r>
        <w:rPr>
          <w:rFonts w:hint="eastAsia" w:eastAsia="楷体_GB2312"/>
          <w:kern w:val="0"/>
          <w:szCs w:val="32"/>
          <w:lang w:val="en-US"/>
        </w:rPr>
        <w:t>绩效</w:t>
      </w:r>
      <w:r>
        <w:rPr>
          <w:rFonts w:eastAsia="楷体_GB2312"/>
          <w:kern w:val="0"/>
          <w:szCs w:val="32"/>
          <w:lang w:val="en-US"/>
        </w:rPr>
        <w:t>分析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0" w:leftChars="0" w:firstLine="640" w:firstLineChars="20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1.</w:t>
      </w:r>
      <w:r>
        <w:rPr>
          <w:rFonts w:hint="eastAsia" w:ascii="仿宋_GB2312"/>
          <w:color w:val="000000"/>
          <w:sz w:val="32"/>
          <w:szCs w:val="32"/>
          <w:lang w:val="en-US"/>
        </w:rPr>
        <w:t>项目投入情况。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项目决策指标分值</w:t>
      </w:r>
      <w:r>
        <w:rPr>
          <w:rFonts w:ascii="仿宋_GB2312"/>
          <w:color w:val="000000"/>
          <w:sz w:val="32"/>
          <w:szCs w:val="32"/>
          <w:lang w:val="en-US"/>
        </w:rPr>
        <w:t>10</w:t>
      </w:r>
      <w:r>
        <w:rPr>
          <w:rFonts w:hint="eastAsia" w:ascii="仿宋_GB2312"/>
          <w:color w:val="000000"/>
          <w:sz w:val="32"/>
          <w:szCs w:val="32"/>
          <w:lang w:val="en-US"/>
        </w:rPr>
        <w:t>分，得分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/>
          <w:color w:val="000000"/>
          <w:sz w:val="32"/>
          <w:szCs w:val="32"/>
          <w:lang w:val="en-US"/>
        </w:rPr>
        <w:t>分。项目决策依据充分，程序规范。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2.</w:t>
      </w:r>
      <w:r>
        <w:rPr>
          <w:rFonts w:hint="eastAsia" w:ascii="仿宋_GB2312"/>
          <w:color w:val="000000"/>
          <w:sz w:val="32"/>
          <w:szCs w:val="32"/>
          <w:lang w:val="en-US"/>
        </w:rPr>
        <w:t>项目过程情况。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项目过程指标分值</w:t>
      </w:r>
      <w:r>
        <w:rPr>
          <w:rFonts w:ascii="仿宋_GB2312"/>
          <w:color w:val="000000"/>
          <w:sz w:val="32"/>
          <w:szCs w:val="32"/>
          <w:lang w:val="en-US"/>
        </w:rPr>
        <w:t>30</w:t>
      </w:r>
      <w:r>
        <w:rPr>
          <w:rFonts w:hint="eastAsia" w:ascii="仿宋_GB2312"/>
          <w:color w:val="000000"/>
          <w:sz w:val="32"/>
          <w:szCs w:val="32"/>
          <w:lang w:val="en-US"/>
        </w:rPr>
        <w:t>分，得分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27.5</w:t>
      </w:r>
      <w:r>
        <w:rPr>
          <w:rFonts w:hint="eastAsia" w:ascii="仿宋_GB2312"/>
          <w:color w:val="000000"/>
          <w:sz w:val="32"/>
          <w:szCs w:val="32"/>
          <w:lang w:val="en-US"/>
        </w:rPr>
        <w:t>分。项目执行部门有序开展相关工作。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3.</w:t>
      </w:r>
      <w:r>
        <w:rPr>
          <w:rFonts w:hint="eastAsia" w:ascii="仿宋_GB2312"/>
          <w:color w:val="000000"/>
          <w:sz w:val="32"/>
          <w:szCs w:val="32"/>
          <w:lang w:val="en-US"/>
        </w:rPr>
        <w:t>项目产出情况。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项目产出指标分值</w:t>
      </w:r>
      <w:r>
        <w:rPr>
          <w:rFonts w:ascii="仿宋_GB2312"/>
          <w:color w:val="000000"/>
          <w:sz w:val="32"/>
          <w:szCs w:val="32"/>
          <w:lang w:val="en-US"/>
        </w:rPr>
        <w:t>30</w:t>
      </w:r>
      <w:r>
        <w:rPr>
          <w:rFonts w:hint="eastAsia" w:ascii="仿宋_GB2312"/>
          <w:color w:val="000000"/>
          <w:sz w:val="32"/>
          <w:szCs w:val="32"/>
          <w:lang w:val="en-US"/>
        </w:rPr>
        <w:t>分，得分</w:t>
      </w:r>
      <w:r>
        <w:rPr>
          <w:rFonts w:ascii="仿宋_GB2312"/>
          <w:color w:val="000000"/>
          <w:sz w:val="32"/>
          <w:szCs w:val="32"/>
          <w:lang w:val="en-US"/>
        </w:rPr>
        <w:t>30</w:t>
      </w:r>
      <w:r>
        <w:rPr>
          <w:rFonts w:hint="eastAsia" w:ascii="仿宋_GB2312"/>
          <w:color w:val="000000"/>
          <w:sz w:val="32"/>
          <w:szCs w:val="32"/>
          <w:lang w:val="en-US"/>
        </w:rPr>
        <w:t>分。项目产出数量达标。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ascii="仿宋_GB2312"/>
          <w:color w:val="000000"/>
          <w:sz w:val="32"/>
          <w:szCs w:val="32"/>
          <w:lang w:val="en-US"/>
        </w:rPr>
        <w:t>4.</w:t>
      </w:r>
      <w:r>
        <w:rPr>
          <w:rFonts w:hint="eastAsia" w:ascii="仿宋_GB2312"/>
          <w:color w:val="000000"/>
          <w:sz w:val="32"/>
          <w:szCs w:val="32"/>
          <w:lang w:val="en-US"/>
        </w:rPr>
        <w:t>项目效果情况。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31680"/>
        <w:jc w:val="left"/>
        <w:textAlignment w:val="auto"/>
        <w:rPr>
          <w:rFonts w:ascii="仿宋_GB2312"/>
          <w:color w:val="000000"/>
          <w:sz w:val="32"/>
          <w:szCs w:val="32"/>
          <w:lang w:val="en-US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项目效果指标分值</w:t>
      </w:r>
      <w:r>
        <w:rPr>
          <w:rFonts w:ascii="仿宋_GB2312"/>
          <w:color w:val="000000"/>
          <w:sz w:val="32"/>
          <w:szCs w:val="32"/>
          <w:lang w:val="en-US"/>
        </w:rPr>
        <w:t>30</w:t>
      </w:r>
      <w:r>
        <w:rPr>
          <w:rFonts w:hint="eastAsia" w:ascii="仿宋_GB2312"/>
          <w:color w:val="000000"/>
          <w:sz w:val="32"/>
          <w:szCs w:val="32"/>
          <w:lang w:val="en-US"/>
        </w:rPr>
        <w:t>分，得分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/>
          <w:color w:val="000000"/>
          <w:sz w:val="32"/>
          <w:szCs w:val="32"/>
          <w:lang w:val="en-US"/>
        </w:rPr>
        <w:t>分。项目效益较好，有待提升。</w:t>
      </w:r>
    </w:p>
    <w:bookmarkEnd w:id="9"/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lang w:val="en-US"/>
        </w:rPr>
      </w:pPr>
      <w:bookmarkStart w:id="10" w:name="_Toc26964743"/>
      <w:bookmarkStart w:id="11" w:name="_Toc5141"/>
      <w:r>
        <w:rPr>
          <w:rFonts w:hint="eastAsia"/>
          <w:lang w:val="en-US" w:eastAsia="zh-CN"/>
        </w:rPr>
        <w:t>四、</w:t>
      </w:r>
      <w:r>
        <w:rPr>
          <w:lang w:val="en-US"/>
        </w:rPr>
        <w:t>部门主要绩效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（一）应对新冠肺炎疫情，有序做好各项工作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切实做好疫情防控工作。成立防控工作领导小组，严格落实上级有关要求，及时报送疫情相关数据和情况，同时积极开展社区疫情防控志愿服务。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积极推进复工复产。严格落实防控要求，制定复工复产实施方案，做好社区复工备案，为全市1300多个站点配发防控物资，组织协调各部门、各销售场所有序恢复工作。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扎实做好常态化防控工作。制定疫情防控应急预案，做好应急演练，确保各项防控措施落实到位。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（二）全面</w:t>
      </w:r>
      <w:r>
        <w:rPr>
          <w:rFonts w:ascii="楷体" w:hAnsi="楷体" w:eastAsia="楷体" w:cs="宋体"/>
          <w:kern w:val="0"/>
          <w:sz w:val="32"/>
          <w:szCs w:val="32"/>
        </w:rPr>
        <w:t>推进</w:t>
      </w:r>
      <w:r>
        <w:rPr>
          <w:rFonts w:hint="eastAsia" w:ascii="楷体" w:hAnsi="楷体" w:eastAsia="楷体" w:cs="宋体"/>
          <w:kern w:val="0"/>
          <w:sz w:val="32"/>
          <w:szCs w:val="32"/>
        </w:rPr>
        <w:t>各票种平稳运行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积极应对因快开和视频票游戏停售带来的不利影响，采取多项措施稳步增长销量。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青岛市共计销售福利彩票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亿元，比年初制定的11.8亿销售目标增长1.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</w:t>
      </w:r>
      <w:r>
        <w:rPr>
          <w:rFonts w:hint="eastAsia" w:ascii="仿宋_GB2312" w:hAnsi="仿宋" w:eastAsia="仿宋_GB2312" w:cs="Courier New"/>
          <w:sz w:val="32"/>
          <w:szCs w:val="32"/>
        </w:rPr>
        <w:t>，筹集福彩公益金4.20亿元</w:t>
      </w:r>
      <w:r>
        <w:rPr>
          <w:rFonts w:hint="eastAsia" w:ascii="仿宋_GB2312" w:hAnsi="仿宋" w:eastAsia="仿宋_GB2312" w:cs="Courier New"/>
          <w:sz w:val="32"/>
          <w:szCs w:val="32"/>
          <w:lang w:eastAsia="zh-CN"/>
        </w:rPr>
        <w:t>，增加地方税收</w:t>
      </w:r>
      <w:r>
        <w:rPr>
          <w:rFonts w:hint="eastAsia" w:ascii="仿宋_GB2312" w:eastAsia="仿宋_GB2312"/>
          <w:sz w:val="32"/>
          <w:szCs w:val="32"/>
        </w:rPr>
        <w:t>3158.24万元</w:t>
      </w:r>
      <w:r>
        <w:rPr>
          <w:rFonts w:hint="eastAsia" w:ascii="仿宋_GB2312" w:hAnsi="仿宋" w:eastAsia="仿宋_GB2312" w:cs="Courier New"/>
          <w:sz w:val="32"/>
          <w:szCs w:val="32"/>
        </w:rPr>
        <w:t>。为彩民</w:t>
      </w:r>
      <w:r>
        <w:rPr>
          <w:rFonts w:hint="eastAsia" w:ascii="仿宋_GB2312" w:eastAsia="仿宋_GB2312"/>
          <w:sz w:val="32"/>
          <w:szCs w:val="32"/>
        </w:rPr>
        <w:t>共兑付一、二、三等奖金额19265.61万元，其中百万以上大奖14注（五百万以上大奖12注）。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楷体" w:eastAsia="仿宋_GB2312" w:cs="Courier New"/>
          <w:color w:val="000000"/>
          <w:sz w:val="32"/>
          <w:szCs w:val="32"/>
        </w:rPr>
      </w:pPr>
      <w:r>
        <w:rPr>
          <w:rFonts w:ascii="仿宋_GB2312" w:hAnsi="楷体" w:eastAsia="仿宋_GB2312" w:cs="Courier New"/>
          <w:color w:val="000000"/>
          <w:sz w:val="32"/>
          <w:szCs w:val="32"/>
        </w:rPr>
        <w:t>1</w:t>
      </w:r>
      <w:r>
        <w:rPr>
          <w:rFonts w:hint="eastAsia" w:ascii="仿宋_GB2312" w:hAnsi="楷体" w:eastAsia="仿宋_GB2312" w:cs="Courier New"/>
          <w:color w:val="000000"/>
          <w:sz w:val="32"/>
          <w:szCs w:val="32"/>
        </w:rPr>
        <w:t>. 积极开展营销活动。全年累计组织了电脑票、即开票营销活动8次，达到了疫情后恢复彩票销售秩序，拉动彩票销售的目的。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30"/>
        <w:textAlignment w:val="auto"/>
        <w:rPr>
          <w:rFonts w:ascii="仿宋_GB2312" w:hAnsi="楷体" w:eastAsia="仿宋_GB2312" w:cs="Courier New"/>
          <w:color w:val="000000"/>
          <w:sz w:val="32"/>
          <w:szCs w:val="32"/>
        </w:rPr>
      </w:pPr>
      <w:r>
        <w:rPr>
          <w:rFonts w:ascii="仿宋_GB2312" w:hAnsi="楷体" w:eastAsia="仿宋_GB2312" w:cs="Courier New"/>
          <w:color w:val="000000"/>
          <w:sz w:val="32"/>
          <w:szCs w:val="32"/>
        </w:rPr>
        <w:t>2</w:t>
      </w:r>
      <w:r>
        <w:rPr>
          <w:rFonts w:hint="eastAsia" w:ascii="仿宋_GB2312" w:hAnsi="楷体" w:eastAsia="仿宋_GB2312" w:cs="Courier New"/>
          <w:color w:val="000000"/>
          <w:sz w:val="32"/>
          <w:szCs w:val="32"/>
        </w:rPr>
        <w:t>. 加强销售新渠道建设。推进投注站招募工作，新增4处销售点；与中石化易捷便利店合作，开拓即开票销售新渠道；积极推进即开票“地摊”、夜市销售，同时通过展会、节庆活动、福彩进社区活动等开展即开票小卖场，创新销售形式，促进彩票销量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27" w:firstLineChars="196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 做好新游戏试点工作。组织开展“快乐8”游戏招募、培训、宣传、技术等各项准备工作，确保于12月15日顺利开售。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27" w:firstLineChars="196"/>
        <w:textAlignment w:val="auto"/>
        <w:rPr>
          <w:rFonts w:ascii="仿宋_GB2312" w:hAnsi="Calibri" w:eastAsia="仿宋_GB2312" w:cs="Calibri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 做好视频型游戏停销工作。根据上级要求，顺利完成了我市视频型游戏停销工作，妥善处理好人员安置、资产设备保管及资金解缴等善后工作。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（三）加强管理，提升工作水平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 加强安全生产管理。规范中心安全生产（消防安全）制度，修订完善应急预案，定期开展安全检查并建立台账，确保安全形势持续稳定。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 加强培训和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。通过线上线下多种形式，开展关于防疫健康、业务工作等内容共计26场次培训；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组织开展5次公益活动，积极塑造福彩品牌形象。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 深入开展销售场所走访调研。组织我市1200个销售站点参与在线调查，完成青岛市电脑型福利彩票销售场所经营状况调研报告。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认真做好热线及兑奖服务。</w:t>
      </w:r>
      <w:r>
        <w:rPr>
          <w:rFonts w:hint="eastAsia" w:ascii="仿宋_GB2312" w:hAnsi="楷体" w:eastAsia="仿宋_GB2312"/>
          <w:sz w:val="32"/>
          <w:szCs w:val="32"/>
        </w:rPr>
        <w:t>共计完成青岛福彩热线、省中心热线呼入话务量共计1600余件，完成兑奖工作2400余件。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640"/>
        <w:textAlignment w:val="auto"/>
        <w:rPr>
          <w:rFonts w:hint="eastAsia"/>
          <w:lang w:val="en-US"/>
        </w:rPr>
      </w:pPr>
      <w:r>
        <w:rPr>
          <w:rFonts w:hint="eastAsia"/>
          <w:lang w:val="en-US"/>
        </w:rPr>
        <w:t>五、存在的问题</w:t>
      </w:r>
      <w:bookmarkEnd w:id="10"/>
      <w:bookmarkEnd w:id="11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val="en-US"/>
        </w:rPr>
        <w:t>绩效指标设置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还需要进一步</w:t>
      </w:r>
      <w:r>
        <w:rPr>
          <w:rFonts w:hint="eastAsia" w:ascii="仿宋_GB2312"/>
          <w:color w:val="000000"/>
          <w:sz w:val="32"/>
          <w:szCs w:val="32"/>
          <w:lang w:val="en-US"/>
        </w:rPr>
        <w:t>全面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、细化。</w:t>
      </w:r>
    </w:p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/>
          <w:lang w:val="en-US"/>
        </w:rPr>
      </w:pPr>
      <w:bookmarkStart w:id="12" w:name="_Toc20248"/>
      <w:bookmarkStart w:id="13" w:name="_Toc18165"/>
      <w:bookmarkStart w:id="14" w:name="_Toc26964744"/>
      <w:r>
        <w:rPr>
          <w:rFonts w:hint="eastAsia"/>
          <w:lang w:val="en-US" w:eastAsia="zh-CN"/>
        </w:rPr>
        <w:t>六、</w:t>
      </w:r>
      <w:r>
        <w:rPr>
          <w:rFonts w:hint="eastAsia"/>
          <w:lang w:val="en-US"/>
        </w:rPr>
        <w:t>相关建议</w:t>
      </w:r>
      <w:bookmarkEnd w:id="12"/>
      <w:bookmarkEnd w:id="13"/>
      <w:bookmarkEnd w:id="14"/>
      <w:bookmarkStart w:id="15" w:name="_Toc26964745"/>
    </w:p>
    <w:p>
      <w:pPr>
        <w:pStyle w:val="4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仿宋_GB2312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/>
          <w:color w:val="000000"/>
          <w:sz w:val="32"/>
          <w:szCs w:val="32"/>
          <w:lang w:val="en-US"/>
        </w:rPr>
        <w:t>建议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继续</w:t>
      </w:r>
      <w:r>
        <w:rPr>
          <w:rFonts w:hint="eastAsia" w:ascii="仿宋_GB2312"/>
          <w:color w:val="000000"/>
          <w:sz w:val="32"/>
          <w:szCs w:val="32"/>
          <w:lang w:val="en-US"/>
        </w:rPr>
        <w:t>提高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绩效评价工作重要性的意识，加强</w:t>
      </w:r>
      <w:r>
        <w:rPr>
          <w:rFonts w:hint="eastAsia" w:ascii="仿宋_GB2312"/>
          <w:color w:val="000000"/>
          <w:sz w:val="32"/>
          <w:szCs w:val="32"/>
          <w:lang w:val="en-US"/>
        </w:rPr>
        <w:t>部门间的协同性，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经一部</w:t>
      </w:r>
      <w:r>
        <w:rPr>
          <w:rFonts w:hint="eastAsia" w:ascii="仿宋_GB2312"/>
          <w:color w:val="000000"/>
          <w:sz w:val="32"/>
          <w:szCs w:val="32"/>
          <w:lang w:val="en-US"/>
        </w:rPr>
        <w:t>优化绩效目标体系，切实用于指导具体工作。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60" w:lineRule="exact"/>
        <w:ind w:left="640"/>
        <w:textAlignment w:val="auto"/>
        <w:rPr>
          <w:lang w:val="en-US"/>
        </w:rPr>
      </w:pPr>
      <w:r>
        <w:rPr>
          <w:rFonts w:hint="eastAsia"/>
          <w:lang w:val="en-US"/>
        </w:rPr>
        <w:t>七、机构盖章和人员签字</w:t>
      </w:r>
      <w:bookmarkEnd w:id="15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/>
          <w:sz w:val="32"/>
          <w:szCs w:val="32"/>
          <w:lang w:val="en-US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hint="eastAsia"/>
          <w:sz w:val="32"/>
          <w:szCs w:val="32"/>
          <w:lang w:val="en-US"/>
        </w:rPr>
      </w:pPr>
      <w:bookmarkStart w:id="16" w:name="_GoBack"/>
      <w:bookmarkEnd w:id="16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560"/>
        <w:textAlignment w:val="auto"/>
        <w:rPr>
          <w:rFonts w:ascii="仿宋_GB2312"/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附件：1.</w:t>
      </w:r>
      <w:r>
        <w:rPr>
          <w:rFonts w:hint="eastAsia"/>
          <w:sz w:val="32"/>
          <w:szCs w:val="32"/>
          <w:lang w:val="en-US" w:eastAsia="zh-CN"/>
        </w:rPr>
        <w:t>青岛市福利彩票发行中心</w:t>
      </w:r>
      <w:r>
        <w:rPr>
          <w:rFonts w:hint="eastAsia" w:ascii="仿宋_GB2312"/>
          <w:sz w:val="32"/>
          <w:szCs w:val="32"/>
        </w:rPr>
        <w:t>部门整体支出指标体系；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firstLine="1600" w:firstLineChars="500"/>
        <w:textAlignment w:val="auto"/>
        <w:rPr>
          <w:sz w:val="32"/>
          <w:szCs w:val="32"/>
          <w:lang w:val="en-US"/>
        </w:rPr>
      </w:pPr>
    </w:p>
    <w:sectPr>
      <w:footerReference r:id="rId4" w:type="default"/>
      <w:footnotePr>
        <w:numRestart w:val="eachPag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黑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4936245"/>
      <w:showingPlcHdr/>
    </w:sdtPr>
    <w:sdtContent>
      <w:p>
        <w:pPr>
          <w:pStyle w:val="45"/>
        </w:pPr>
        <w:r>
          <w:t xml:space="preserve">     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E3DD56"/>
    <w:multiLevelType w:val="singleLevel"/>
    <w:tmpl w:val="BBE3DD5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0671B8"/>
    <w:multiLevelType w:val="multilevel"/>
    <w:tmpl w:val="610671B8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4253" w:hanging="425"/>
      </w:pPr>
      <w:rPr>
        <w:rFonts w:hint="eastAsia"/>
      </w:rPr>
    </w:lvl>
    <w:lvl w:ilvl="1" w:tentative="0">
      <w:start w:val="1"/>
      <w:numFmt w:val="chineseCountingThousand"/>
      <w:pStyle w:val="5"/>
      <w:suff w:val="nothing"/>
      <w:lvlText w:val="（%2）"/>
      <w:lvlJc w:val="left"/>
      <w:pPr>
        <w:ind w:left="709" w:hanging="567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. "/>
      <w:lvlJc w:val="left"/>
      <w:pPr>
        <w:ind w:left="426" w:hanging="567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1134" w:hanging="425"/>
      </w:pPr>
      <w:rPr>
        <w:rFonts w:hint="eastAsia"/>
      </w:rPr>
    </w:lvl>
    <w:lvl w:ilvl="4" w:tentative="0">
      <w:start w:val="1"/>
      <w:numFmt w:val="decimal"/>
      <w:pStyle w:val="8"/>
      <w:suff w:val="nothing"/>
      <w:lvlText w:val="%5）"/>
      <w:lvlJc w:val="left"/>
      <w:pPr>
        <w:ind w:left="709" w:hanging="113"/>
      </w:pPr>
      <w:rPr>
        <w:rFonts w:hint="eastAsia"/>
      </w:rPr>
    </w:lvl>
    <w:lvl w:ilvl="5" w:tentative="0">
      <w:start w:val="1"/>
      <w:numFmt w:val="decimal"/>
      <w:pStyle w:val="52"/>
      <w:suff w:val="nothing"/>
      <w:lvlText w:val="附件%6 "/>
      <w:lvlJc w:val="left"/>
      <w:pPr>
        <w:ind w:left="-283" w:firstLine="0"/>
      </w:pPr>
      <w:rPr>
        <w:rFonts w:hint="eastAsia"/>
      </w:rPr>
    </w:lvl>
    <w:lvl w:ilvl="6" w:tentative="0">
      <w:start w:val="1"/>
      <w:numFmt w:val="chineseCountingThousand"/>
      <w:suff w:val="nothing"/>
      <w:lvlText w:val="%7、"/>
      <w:lvlJc w:val="left"/>
      <w:pPr>
        <w:ind w:left="709" w:hanging="567"/>
      </w:pPr>
      <w:rPr>
        <w:rFonts w:hint="eastAsia"/>
      </w:rPr>
    </w:lvl>
    <w:lvl w:ilvl="7" w:tentative="0">
      <w:start w:val="1"/>
      <w:numFmt w:val="chineseCountingThousand"/>
      <w:suff w:val="nothing"/>
      <w:lvlText w:val="（%8）"/>
      <w:lvlJc w:val="left"/>
      <w:pPr>
        <w:ind w:left="709" w:hanging="567"/>
      </w:pPr>
      <w:rPr>
        <w:rFonts w:hint="eastAsia"/>
      </w:rPr>
    </w:lvl>
    <w:lvl w:ilvl="8" w:tentative="0">
      <w:start w:val="1"/>
      <w:numFmt w:val="decimal"/>
      <w:suff w:val="nothing"/>
      <w:lvlText w:val="%9. "/>
      <w:lvlJc w:val="left"/>
      <w:pPr>
        <w:ind w:left="709" w:hanging="56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24D"/>
    <w:rsid w:val="000103F6"/>
    <w:rsid w:val="00015FD7"/>
    <w:rsid w:val="00017425"/>
    <w:rsid w:val="000215FD"/>
    <w:rsid w:val="00025E1A"/>
    <w:rsid w:val="00035C58"/>
    <w:rsid w:val="00044534"/>
    <w:rsid w:val="00045368"/>
    <w:rsid w:val="0005304B"/>
    <w:rsid w:val="00053EAD"/>
    <w:rsid w:val="0005634B"/>
    <w:rsid w:val="00065703"/>
    <w:rsid w:val="00066C9A"/>
    <w:rsid w:val="00071965"/>
    <w:rsid w:val="000760DA"/>
    <w:rsid w:val="00083FCC"/>
    <w:rsid w:val="00086675"/>
    <w:rsid w:val="00091146"/>
    <w:rsid w:val="00092548"/>
    <w:rsid w:val="000930F8"/>
    <w:rsid w:val="000962ED"/>
    <w:rsid w:val="000A261F"/>
    <w:rsid w:val="000A612E"/>
    <w:rsid w:val="000C0DDB"/>
    <w:rsid w:val="000C277D"/>
    <w:rsid w:val="000D04E1"/>
    <w:rsid w:val="000E5EFC"/>
    <w:rsid w:val="000E7309"/>
    <w:rsid w:val="000F0A10"/>
    <w:rsid w:val="000F2B10"/>
    <w:rsid w:val="000F58AF"/>
    <w:rsid w:val="000F73D4"/>
    <w:rsid w:val="000F7747"/>
    <w:rsid w:val="00102E6B"/>
    <w:rsid w:val="00104628"/>
    <w:rsid w:val="00107BD6"/>
    <w:rsid w:val="00110233"/>
    <w:rsid w:val="00110F1D"/>
    <w:rsid w:val="001124FB"/>
    <w:rsid w:val="001130E9"/>
    <w:rsid w:val="00114DEE"/>
    <w:rsid w:val="001171EA"/>
    <w:rsid w:val="00121E22"/>
    <w:rsid w:val="00132A28"/>
    <w:rsid w:val="00144B6F"/>
    <w:rsid w:val="00147239"/>
    <w:rsid w:val="00147A7E"/>
    <w:rsid w:val="00152D39"/>
    <w:rsid w:val="001555BF"/>
    <w:rsid w:val="00162F82"/>
    <w:rsid w:val="00163A98"/>
    <w:rsid w:val="00172053"/>
    <w:rsid w:val="00173F46"/>
    <w:rsid w:val="001807D4"/>
    <w:rsid w:val="00181230"/>
    <w:rsid w:val="00184ABA"/>
    <w:rsid w:val="00192F0D"/>
    <w:rsid w:val="0019781C"/>
    <w:rsid w:val="00197D2B"/>
    <w:rsid w:val="001A05A0"/>
    <w:rsid w:val="001A7797"/>
    <w:rsid w:val="001B1EA4"/>
    <w:rsid w:val="001B24EE"/>
    <w:rsid w:val="001B486E"/>
    <w:rsid w:val="001C60B0"/>
    <w:rsid w:val="001D2018"/>
    <w:rsid w:val="001E4440"/>
    <w:rsid w:val="00204B59"/>
    <w:rsid w:val="00205309"/>
    <w:rsid w:val="002068C4"/>
    <w:rsid w:val="00216BF3"/>
    <w:rsid w:val="002173D5"/>
    <w:rsid w:val="00221726"/>
    <w:rsid w:val="00222A88"/>
    <w:rsid w:val="0022387E"/>
    <w:rsid w:val="00233597"/>
    <w:rsid w:val="0023442A"/>
    <w:rsid w:val="00237C0D"/>
    <w:rsid w:val="0026269B"/>
    <w:rsid w:val="00270EA4"/>
    <w:rsid w:val="00270F7F"/>
    <w:rsid w:val="00272D30"/>
    <w:rsid w:val="00274941"/>
    <w:rsid w:val="00277770"/>
    <w:rsid w:val="00281D6F"/>
    <w:rsid w:val="00295624"/>
    <w:rsid w:val="002A429E"/>
    <w:rsid w:val="002A44DB"/>
    <w:rsid w:val="002B01E4"/>
    <w:rsid w:val="002B4447"/>
    <w:rsid w:val="002C3232"/>
    <w:rsid w:val="002C46C0"/>
    <w:rsid w:val="002D58DE"/>
    <w:rsid w:val="002E3092"/>
    <w:rsid w:val="002F0BBF"/>
    <w:rsid w:val="00302B4C"/>
    <w:rsid w:val="00304B83"/>
    <w:rsid w:val="00306A50"/>
    <w:rsid w:val="00306E74"/>
    <w:rsid w:val="0033302E"/>
    <w:rsid w:val="0034355A"/>
    <w:rsid w:val="003453B8"/>
    <w:rsid w:val="00345EF3"/>
    <w:rsid w:val="0035699D"/>
    <w:rsid w:val="00356FCE"/>
    <w:rsid w:val="003727B2"/>
    <w:rsid w:val="00383CBD"/>
    <w:rsid w:val="00390FDC"/>
    <w:rsid w:val="003957CB"/>
    <w:rsid w:val="0039624B"/>
    <w:rsid w:val="00397DBF"/>
    <w:rsid w:val="003A14CB"/>
    <w:rsid w:val="003A6EB1"/>
    <w:rsid w:val="003B427B"/>
    <w:rsid w:val="003D3060"/>
    <w:rsid w:val="003D428A"/>
    <w:rsid w:val="003D61E8"/>
    <w:rsid w:val="003F06FA"/>
    <w:rsid w:val="003F45CF"/>
    <w:rsid w:val="0041326E"/>
    <w:rsid w:val="00421805"/>
    <w:rsid w:val="00421A3F"/>
    <w:rsid w:val="0043483F"/>
    <w:rsid w:val="004408E8"/>
    <w:rsid w:val="00444700"/>
    <w:rsid w:val="0044724D"/>
    <w:rsid w:val="004531F9"/>
    <w:rsid w:val="004542E0"/>
    <w:rsid w:val="00461869"/>
    <w:rsid w:val="00466115"/>
    <w:rsid w:val="00477F73"/>
    <w:rsid w:val="00481171"/>
    <w:rsid w:val="004876E7"/>
    <w:rsid w:val="00493152"/>
    <w:rsid w:val="00493F68"/>
    <w:rsid w:val="004A3A8E"/>
    <w:rsid w:val="004A5E40"/>
    <w:rsid w:val="004B3569"/>
    <w:rsid w:val="004D40CF"/>
    <w:rsid w:val="004D5BB2"/>
    <w:rsid w:val="004F0717"/>
    <w:rsid w:val="00502945"/>
    <w:rsid w:val="0050520B"/>
    <w:rsid w:val="00546D71"/>
    <w:rsid w:val="00550A75"/>
    <w:rsid w:val="005602DA"/>
    <w:rsid w:val="00560DED"/>
    <w:rsid w:val="00584B70"/>
    <w:rsid w:val="005946B1"/>
    <w:rsid w:val="005954FF"/>
    <w:rsid w:val="005B41A4"/>
    <w:rsid w:val="005B429E"/>
    <w:rsid w:val="005B4DBE"/>
    <w:rsid w:val="005B5F1D"/>
    <w:rsid w:val="005C4184"/>
    <w:rsid w:val="005C7243"/>
    <w:rsid w:val="005E16C6"/>
    <w:rsid w:val="005E54C2"/>
    <w:rsid w:val="005E5FE8"/>
    <w:rsid w:val="005F2B0E"/>
    <w:rsid w:val="00602845"/>
    <w:rsid w:val="00604CEA"/>
    <w:rsid w:val="00607F4F"/>
    <w:rsid w:val="00610C44"/>
    <w:rsid w:val="00642A61"/>
    <w:rsid w:val="00653671"/>
    <w:rsid w:val="00656492"/>
    <w:rsid w:val="00670309"/>
    <w:rsid w:val="00671F28"/>
    <w:rsid w:val="00672BF2"/>
    <w:rsid w:val="00676082"/>
    <w:rsid w:val="00681991"/>
    <w:rsid w:val="00684679"/>
    <w:rsid w:val="00690D70"/>
    <w:rsid w:val="00697F95"/>
    <w:rsid w:val="006B25EE"/>
    <w:rsid w:val="006B5747"/>
    <w:rsid w:val="006B6D34"/>
    <w:rsid w:val="006C0552"/>
    <w:rsid w:val="006C56E6"/>
    <w:rsid w:val="006D2AA1"/>
    <w:rsid w:val="006D3289"/>
    <w:rsid w:val="006D38B2"/>
    <w:rsid w:val="006E058D"/>
    <w:rsid w:val="006E3C10"/>
    <w:rsid w:val="006E7F29"/>
    <w:rsid w:val="006F2868"/>
    <w:rsid w:val="0070312D"/>
    <w:rsid w:val="00741C00"/>
    <w:rsid w:val="00744A5A"/>
    <w:rsid w:val="00744BAE"/>
    <w:rsid w:val="00756CD2"/>
    <w:rsid w:val="00760396"/>
    <w:rsid w:val="00762408"/>
    <w:rsid w:val="00763364"/>
    <w:rsid w:val="007665DB"/>
    <w:rsid w:val="0079506D"/>
    <w:rsid w:val="007B5552"/>
    <w:rsid w:val="007C1028"/>
    <w:rsid w:val="007C5DBA"/>
    <w:rsid w:val="007E6C44"/>
    <w:rsid w:val="007E7712"/>
    <w:rsid w:val="007F6F59"/>
    <w:rsid w:val="00800141"/>
    <w:rsid w:val="00803146"/>
    <w:rsid w:val="00813462"/>
    <w:rsid w:val="00821ECE"/>
    <w:rsid w:val="0082340E"/>
    <w:rsid w:val="00825915"/>
    <w:rsid w:val="008362C0"/>
    <w:rsid w:val="00836DC7"/>
    <w:rsid w:val="0084030D"/>
    <w:rsid w:val="00844EAF"/>
    <w:rsid w:val="008461D5"/>
    <w:rsid w:val="008554F8"/>
    <w:rsid w:val="0086271D"/>
    <w:rsid w:val="00864A6F"/>
    <w:rsid w:val="008656D4"/>
    <w:rsid w:val="008719CF"/>
    <w:rsid w:val="00876338"/>
    <w:rsid w:val="00876C42"/>
    <w:rsid w:val="008822AB"/>
    <w:rsid w:val="00887AFB"/>
    <w:rsid w:val="008909AF"/>
    <w:rsid w:val="008A2A9A"/>
    <w:rsid w:val="008A4DAC"/>
    <w:rsid w:val="008A618D"/>
    <w:rsid w:val="008B68F7"/>
    <w:rsid w:val="008F0B0F"/>
    <w:rsid w:val="008F6E48"/>
    <w:rsid w:val="0090373E"/>
    <w:rsid w:val="00910FBE"/>
    <w:rsid w:val="00914E55"/>
    <w:rsid w:val="009204FB"/>
    <w:rsid w:val="0093120B"/>
    <w:rsid w:val="00935273"/>
    <w:rsid w:val="00944FA3"/>
    <w:rsid w:val="009463CC"/>
    <w:rsid w:val="00951537"/>
    <w:rsid w:val="009535A2"/>
    <w:rsid w:val="0096155B"/>
    <w:rsid w:val="009747AF"/>
    <w:rsid w:val="00996D6E"/>
    <w:rsid w:val="009A3904"/>
    <w:rsid w:val="009A6EC2"/>
    <w:rsid w:val="009B506F"/>
    <w:rsid w:val="009B5C0F"/>
    <w:rsid w:val="009B6902"/>
    <w:rsid w:val="009B6DDE"/>
    <w:rsid w:val="009C7496"/>
    <w:rsid w:val="009E3D55"/>
    <w:rsid w:val="009E5B2A"/>
    <w:rsid w:val="009E7A87"/>
    <w:rsid w:val="009F08D9"/>
    <w:rsid w:val="009F536F"/>
    <w:rsid w:val="00A00F28"/>
    <w:rsid w:val="00A05231"/>
    <w:rsid w:val="00A058BE"/>
    <w:rsid w:val="00A134E9"/>
    <w:rsid w:val="00A274CE"/>
    <w:rsid w:val="00A36DCE"/>
    <w:rsid w:val="00A42809"/>
    <w:rsid w:val="00A42ACC"/>
    <w:rsid w:val="00A44B4D"/>
    <w:rsid w:val="00A558DE"/>
    <w:rsid w:val="00A6197A"/>
    <w:rsid w:val="00A72299"/>
    <w:rsid w:val="00A7645B"/>
    <w:rsid w:val="00A76C7F"/>
    <w:rsid w:val="00AA1D28"/>
    <w:rsid w:val="00AA2ECD"/>
    <w:rsid w:val="00AA3DE6"/>
    <w:rsid w:val="00AA53AE"/>
    <w:rsid w:val="00AA6DFA"/>
    <w:rsid w:val="00AA7BD8"/>
    <w:rsid w:val="00AB2DA1"/>
    <w:rsid w:val="00AB308A"/>
    <w:rsid w:val="00AC022B"/>
    <w:rsid w:val="00AC41A9"/>
    <w:rsid w:val="00AD214E"/>
    <w:rsid w:val="00AD253A"/>
    <w:rsid w:val="00AD596D"/>
    <w:rsid w:val="00AD6D5C"/>
    <w:rsid w:val="00AF6C81"/>
    <w:rsid w:val="00B2173E"/>
    <w:rsid w:val="00B242E6"/>
    <w:rsid w:val="00B274E4"/>
    <w:rsid w:val="00B40888"/>
    <w:rsid w:val="00B4122F"/>
    <w:rsid w:val="00B46BED"/>
    <w:rsid w:val="00B574A4"/>
    <w:rsid w:val="00B66A60"/>
    <w:rsid w:val="00B76B39"/>
    <w:rsid w:val="00B77990"/>
    <w:rsid w:val="00B82711"/>
    <w:rsid w:val="00B87DFC"/>
    <w:rsid w:val="00B9004E"/>
    <w:rsid w:val="00B906E1"/>
    <w:rsid w:val="00B932F3"/>
    <w:rsid w:val="00B934BC"/>
    <w:rsid w:val="00BA0039"/>
    <w:rsid w:val="00BB20D8"/>
    <w:rsid w:val="00BB212B"/>
    <w:rsid w:val="00BB6D6E"/>
    <w:rsid w:val="00BC37D0"/>
    <w:rsid w:val="00BC45D7"/>
    <w:rsid w:val="00BC6E4B"/>
    <w:rsid w:val="00BD7587"/>
    <w:rsid w:val="00BF5B0B"/>
    <w:rsid w:val="00C03D9D"/>
    <w:rsid w:val="00C051ED"/>
    <w:rsid w:val="00C06151"/>
    <w:rsid w:val="00C11939"/>
    <w:rsid w:val="00C11F1D"/>
    <w:rsid w:val="00C14179"/>
    <w:rsid w:val="00C149BF"/>
    <w:rsid w:val="00C20481"/>
    <w:rsid w:val="00C233CE"/>
    <w:rsid w:val="00C266B9"/>
    <w:rsid w:val="00C47486"/>
    <w:rsid w:val="00C515BC"/>
    <w:rsid w:val="00C5307E"/>
    <w:rsid w:val="00C54DD6"/>
    <w:rsid w:val="00C672D2"/>
    <w:rsid w:val="00C705E2"/>
    <w:rsid w:val="00C71C8D"/>
    <w:rsid w:val="00C7785A"/>
    <w:rsid w:val="00C95D24"/>
    <w:rsid w:val="00CA0E49"/>
    <w:rsid w:val="00CA53E1"/>
    <w:rsid w:val="00CA7294"/>
    <w:rsid w:val="00CB3D5E"/>
    <w:rsid w:val="00CB4DCD"/>
    <w:rsid w:val="00CB636D"/>
    <w:rsid w:val="00CC1849"/>
    <w:rsid w:val="00CC2F11"/>
    <w:rsid w:val="00CC3A35"/>
    <w:rsid w:val="00CD5214"/>
    <w:rsid w:val="00CE7600"/>
    <w:rsid w:val="00D1642C"/>
    <w:rsid w:val="00D2613E"/>
    <w:rsid w:val="00D26C53"/>
    <w:rsid w:val="00D26E14"/>
    <w:rsid w:val="00D3096C"/>
    <w:rsid w:val="00D32DBF"/>
    <w:rsid w:val="00D348EA"/>
    <w:rsid w:val="00D54A94"/>
    <w:rsid w:val="00D54FCF"/>
    <w:rsid w:val="00D612A9"/>
    <w:rsid w:val="00D73E02"/>
    <w:rsid w:val="00D74E79"/>
    <w:rsid w:val="00D8113E"/>
    <w:rsid w:val="00D84754"/>
    <w:rsid w:val="00D91CAD"/>
    <w:rsid w:val="00DA134B"/>
    <w:rsid w:val="00DA79D1"/>
    <w:rsid w:val="00DB521B"/>
    <w:rsid w:val="00DE254C"/>
    <w:rsid w:val="00DF454E"/>
    <w:rsid w:val="00E04113"/>
    <w:rsid w:val="00E041C3"/>
    <w:rsid w:val="00E048E8"/>
    <w:rsid w:val="00E160F7"/>
    <w:rsid w:val="00E20797"/>
    <w:rsid w:val="00E228E6"/>
    <w:rsid w:val="00E34DC0"/>
    <w:rsid w:val="00E427DD"/>
    <w:rsid w:val="00E4320E"/>
    <w:rsid w:val="00E4321C"/>
    <w:rsid w:val="00E449A7"/>
    <w:rsid w:val="00E51F53"/>
    <w:rsid w:val="00E57492"/>
    <w:rsid w:val="00E61B30"/>
    <w:rsid w:val="00E67B38"/>
    <w:rsid w:val="00E81226"/>
    <w:rsid w:val="00E82DCF"/>
    <w:rsid w:val="00E917E4"/>
    <w:rsid w:val="00E95F7F"/>
    <w:rsid w:val="00EA177C"/>
    <w:rsid w:val="00EB723A"/>
    <w:rsid w:val="00EC1253"/>
    <w:rsid w:val="00EC42B2"/>
    <w:rsid w:val="00EC569D"/>
    <w:rsid w:val="00ED1F81"/>
    <w:rsid w:val="00ED379F"/>
    <w:rsid w:val="00ED5703"/>
    <w:rsid w:val="00ED7C2E"/>
    <w:rsid w:val="00EE244A"/>
    <w:rsid w:val="00EE28C6"/>
    <w:rsid w:val="00EE684D"/>
    <w:rsid w:val="00EF1D4A"/>
    <w:rsid w:val="00EF1FA9"/>
    <w:rsid w:val="00F01138"/>
    <w:rsid w:val="00F117A5"/>
    <w:rsid w:val="00F14EA6"/>
    <w:rsid w:val="00F1584C"/>
    <w:rsid w:val="00F24ACB"/>
    <w:rsid w:val="00F2542E"/>
    <w:rsid w:val="00F270BD"/>
    <w:rsid w:val="00F27FC0"/>
    <w:rsid w:val="00F35308"/>
    <w:rsid w:val="00F36FD9"/>
    <w:rsid w:val="00F65ACD"/>
    <w:rsid w:val="00F76F9A"/>
    <w:rsid w:val="00F80EB6"/>
    <w:rsid w:val="00F8405D"/>
    <w:rsid w:val="00F92352"/>
    <w:rsid w:val="00F95D73"/>
    <w:rsid w:val="00FC36AB"/>
    <w:rsid w:val="00FC4671"/>
    <w:rsid w:val="00FE14F7"/>
    <w:rsid w:val="00FE2104"/>
    <w:rsid w:val="00FF2845"/>
    <w:rsid w:val="00FF42FB"/>
    <w:rsid w:val="00FF4B3C"/>
    <w:rsid w:val="01A967AF"/>
    <w:rsid w:val="03126EC1"/>
    <w:rsid w:val="056C2322"/>
    <w:rsid w:val="062279E7"/>
    <w:rsid w:val="088D0BB9"/>
    <w:rsid w:val="098E77E1"/>
    <w:rsid w:val="09D033F7"/>
    <w:rsid w:val="0AE51120"/>
    <w:rsid w:val="0DC972B1"/>
    <w:rsid w:val="0F3B088E"/>
    <w:rsid w:val="11385DD4"/>
    <w:rsid w:val="11840E93"/>
    <w:rsid w:val="123B58F9"/>
    <w:rsid w:val="143F62F6"/>
    <w:rsid w:val="15F95F09"/>
    <w:rsid w:val="185E217B"/>
    <w:rsid w:val="1C9705AD"/>
    <w:rsid w:val="1DDE004C"/>
    <w:rsid w:val="211902FC"/>
    <w:rsid w:val="21EC1E8C"/>
    <w:rsid w:val="23265177"/>
    <w:rsid w:val="24076DC4"/>
    <w:rsid w:val="254D027F"/>
    <w:rsid w:val="25B43E05"/>
    <w:rsid w:val="27397FE9"/>
    <w:rsid w:val="2B6B4505"/>
    <w:rsid w:val="2D804999"/>
    <w:rsid w:val="2DA52BA3"/>
    <w:rsid w:val="2F0A3E88"/>
    <w:rsid w:val="30FB2C7F"/>
    <w:rsid w:val="31125F8E"/>
    <w:rsid w:val="31216EAC"/>
    <w:rsid w:val="31B171C6"/>
    <w:rsid w:val="32D86604"/>
    <w:rsid w:val="352D6FAB"/>
    <w:rsid w:val="35CC3847"/>
    <w:rsid w:val="369304CA"/>
    <w:rsid w:val="395057FB"/>
    <w:rsid w:val="39562773"/>
    <w:rsid w:val="3C4C613C"/>
    <w:rsid w:val="3FDA42AE"/>
    <w:rsid w:val="414430F9"/>
    <w:rsid w:val="461817D8"/>
    <w:rsid w:val="466B5CBC"/>
    <w:rsid w:val="469E43E1"/>
    <w:rsid w:val="47B946A3"/>
    <w:rsid w:val="4B3F186C"/>
    <w:rsid w:val="4C133FE8"/>
    <w:rsid w:val="4C7F0211"/>
    <w:rsid w:val="510136A3"/>
    <w:rsid w:val="5133595A"/>
    <w:rsid w:val="53BA19A8"/>
    <w:rsid w:val="55D75A96"/>
    <w:rsid w:val="5AAC5C94"/>
    <w:rsid w:val="5B4000FF"/>
    <w:rsid w:val="5C3227E0"/>
    <w:rsid w:val="5E560E07"/>
    <w:rsid w:val="601109F2"/>
    <w:rsid w:val="614B65E7"/>
    <w:rsid w:val="625476FB"/>
    <w:rsid w:val="628B522D"/>
    <w:rsid w:val="63833AFA"/>
    <w:rsid w:val="639D7DDE"/>
    <w:rsid w:val="65683A20"/>
    <w:rsid w:val="685D0847"/>
    <w:rsid w:val="69A33F4A"/>
    <w:rsid w:val="6CF27A15"/>
    <w:rsid w:val="6D9A0C63"/>
    <w:rsid w:val="73135945"/>
    <w:rsid w:val="735C0031"/>
    <w:rsid w:val="744F754B"/>
    <w:rsid w:val="74665964"/>
    <w:rsid w:val="78862C04"/>
    <w:rsid w:val="79555989"/>
    <w:rsid w:val="7B587545"/>
    <w:rsid w:val="7B6A560A"/>
    <w:rsid w:val="7CC737C3"/>
    <w:rsid w:val="7E7463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2" w:semiHidden="0" w:name="heading 3"/>
    <w:lsdException w:qFormat="1" w:unhideWhenUsed="0" w:uiPriority="3" w:semiHidden="0" w:name="heading 4"/>
    <w:lsdException w:qFormat="1" w:uiPriority="9" w:semiHidden="0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link w:val="30"/>
    <w:qFormat/>
    <w:uiPriority w:val="0"/>
    <w:pPr>
      <w:numPr>
        <w:ilvl w:val="0"/>
        <w:numId w:val="1"/>
      </w:numPr>
      <w:spacing w:before="120" w:after="60"/>
      <w:ind w:left="0" w:firstLine="200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4"/>
    <w:next w:val="4"/>
    <w:link w:val="31"/>
    <w:qFormat/>
    <w:uiPriority w:val="1"/>
    <w:pPr>
      <w:keepNext/>
      <w:keepLines/>
      <w:numPr>
        <w:ilvl w:val="1"/>
        <w:numId w:val="1"/>
      </w:numPr>
      <w:spacing w:before="120" w:after="60"/>
      <w:ind w:left="0" w:firstLine="200"/>
      <w:outlineLvl w:val="1"/>
    </w:pPr>
    <w:rPr>
      <w:rFonts w:cstheme="majorBidi"/>
      <w:b/>
      <w:bCs/>
      <w:szCs w:val="32"/>
    </w:rPr>
  </w:style>
  <w:style w:type="paragraph" w:styleId="6">
    <w:name w:val="heading 3"/>
    <w:basedOn w:val="4"/>
    <w:next w:val="4"/>
    <w:link w:val="32"/>
    <w:qFormat/>
    <w:uiPriority w:val="2"/>
    <w:pPr>
      <w:keepNext/>
      <w:keepLines/>
      <w:numPr>
        <w:ilvl w:val="2"/>
        <w:numId w:val="1"/>
      </w:numPr>
      <w:spacing w:before="120" w:after="60"/>
      <w:ind w:left="0" w:firstLine="200"/>
      <w:outlineLvl w:val="2"/>
    </w:pPr>
    <w:rPr>
      <w:b/>
      <w:bCs/>
      <w:szCs w:val="32"/>
    </w:rPr>
  </w:style>
  <w:style w:type="paragraph" w:styleId="7">
    <w:name w:val="heading 4"/>
    <w:basedOn w:val="4"/>
    <w:next w:val="1"/>
    <w:link w:val="33"/>
    <w:qFormat/>
    <w:uiPriority w:val="3"/>
    <w:pPr>
      <w:keepNext/>
      <w:keepLines/>
      <w:numPr>
        <w:ilvl w:val="3"/>
        <w:numId w:val="1"/>
      </w:numPr>
      <w:spacing w:before="120" w:after="60"/>
      <w:ind w:left="0" w:firstLine="200"/>
      <w:outlineLvl w:val="3"/>
    </w:pPr>
    <w:rPr>
      <w:rFonts w:cstheme="majorBidi"/>
      <w:b/>
      <w:bCs/>
    </w:rPr>
  </w:style>
  <w:style w:type="paragraph" w:styleId="8">
    <w:name w:val="heading 5"/>
    <w:basedOn w:val="4"/>
    <w:next w:val="4"/>
    <w:link w:val="34"/>
    <w:unhideWhenUsed/>
    <w:qFormat/>
    <w:uiPriority w:val="9"/>
    <w:pPr>
      <w:keepNext/>
      <w:keepLines/>
      <w:numPr>
        <w:ilvl w:val="4"/>
        <w:numId w:val="1"/>
      </w:numPr>
      <w:spacing w:before="120" w:after="60"/>
      <w:ind w:firstLine="0" w:firstLineChars="0"/>
      <w:outlineLvl w:val="4"/>
    </w:pPr>
    <w:rPr>
      <w:b/>
      <w:bCs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unhideWhenUsed/>
    <w:qFormat/>
    <w:uiPriority w:val="99"/>
    <w:pPr>
      <w:tabs>
        <w:tab w:val="left" w:pos="0"/>
      </w:tabs>
    </w:pPr>
    <w:rPr>
      <w:rFonts w:ascii="宋体" w:hAnsi="宋体" w:eastAsia="仿宋_GB2312"/>
      <w:color w:val="000000"/>
      <w:sz w:val="24"/>
    </w:rPr>
  </w:style>
  <w:style w:type="paragraph" w:customStyle="1" w:styleId="4">
    <w:name w:val="闻政正文"/>
    <w:basedOn w:val="1"/>
    <w:link w:val="29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0"/>
      <w:sz w:val="28"/>
      <w:szCs w:val="28"/>
      <w:lang w:val="zh-CN"/>
    </w:rPr>
  </w:style>
  <w:style w:type="paragraph" w:styleId="9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0">
    <w:name w:val="annotation text"/>
    <w:basedOn w:val="1"/>
    <w:link w:val="35"/>
    <w:unhideWhenUsed/>
    <w:qFormat/>
    <w:uiPriority w:val="99"/>
    <w:pPr>
      <w:jc w:val="left"/>
    </w:p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4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4"/>
    <w:next w:val="4"/>
    <w:unhideWhenUsed/>
    <w:qFormat/>
    <w:uiPriority w:val="39"/>
    <w:pPr>
      <w:tabs>
        <w:tab w:val="right" w:leader="dot" w:pos="8296"/>
      </w:tabs>
      <w:spacing w:line="460" w:lineRule="exact"/>
      <w:ind w:firstLine="0" w:firstLineChars="0"/>
    </w:pPr>
    <w:rPr>
      <w:b/>
    </w:rPr>
  </w:style>
  <w:style w:type="paragraph" w:styleId="16">
    <w:name w:val="footnote text"/>
    <w:basedOn w:val="1"/>
    <w:link w:val="39"/>
    <w:qFormat/>
    <w:uiPriority w:val="0"/>
    <w:pPr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17">
    <w:name w:val="toc 2"/>
    <w:basedOn w:val="4"/>
    <w:next w:val="4"/>
    <w:unhideWhenUsed/>
    <w:qFormat/>
    <w:uiPriority w:val="39"/>
    <w:pPr>
      <w:tabs>
        <w:tab w:val="right" w:leader="dot" w:pos="8296"/>
      </w:tabs>
      <w:spacing w:line="460" w:lineRule="exact"/>
      <w:ind w:left="200" w:leftChars="200" w:firstLine="0" w:firstLineChars="0"/>
    </w:pPr>
  </w:style>
  <w:style w:type="paragraph" w:styleId="18">
    <w:name w:val="Normal (Web)"/>
    <w:basedOn w:val="1"/>
    <w:qFormat/>
    <w:uiPriority w:val="99"/>
    <w:rPr>
      <w:rFonts w:ascii="Calibri" w:hAnsi="Calibri" w:eastAsia="宋体"/>
      <w:sz w:val="24"/>
      <w:szCs w:val="22"/>
    </w:rPr>
  </w:style>
  <w:style w:type="paragraph" w:styleId="19">
    <w:name w:val="annotation subject"/>
    <w:basedOn w:val="10"/>
    <w:next w:val="10"/>
    <w:link w:val="40"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pPr>
      <w:spacing w:line="300" w:lineRule="exact"/>
      <w:jc w:val="center"/>
    </w:pPr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vAlign w:val="center"/>
    </w:tc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563C1" w:themeColor="hyperlink"/>
      <w:u w:val="single"/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styleId="27">
    <w:name w:val="footnote reference"/>
    <w:qFormat/>
    <w:uiPriority w:val="0"/>
    <w:rPr>
      <w:vertAlign w:val="superscript"/>
    </w:rPr>
  </w:style>
  <w:style w:type="character" w:customStyle="1" w:styleId="28">
    <w:name w:val="正文文本 Char"/>
    <w:basedOn w:val="22"/>
    <w:link w:val="2"/>
    <w:qFormat/>
    <w:uiPriority w:val="99"/>
    <w:rPr>
      <w:rFonts w:ascii="宋体" w:hAnsi="宋体" w:eastAsia="仿宋_GB2312"/>
      <w:color w:val="000000"/>
      <w:kern w:val="2"/>
      <w:sz w:val="24"/>
      <w:szCs w:val="21"/>
    </w:rPr>
  </w:style>
  <w:style w:type="character" w:customStyle="1" w:styleId="29">
    <w:name w:val="闻政正文 Char"/>
    <w:link w:val="4"/>
    <w:qFormat/>
    <w:uiPriority w:val="0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character" w:customStyle="1" w:styleId="30">
    <w:name w:val="标题 1 Char"/>
    <w:basedOn w:val="22"/>
    <w:link w:val="3"/>
    <w:qFormat/>
    <w:uiPriority w:val="0"/>
    <w:rPr>
      <w:rFonts w:ascii="Times New Roman" w:hAnsi="Times New Roman" w:eastAsia="黑体" w:cs="Times New Roman"/>
      <w:bCs/>
      <w:kern w:val="44"/>
      <w:sz w:val="32"/>
      <w:szCs w:val="44"/>
      <w:lang w:val="zh-CN" w:eastAsia="zh-CN"/>
    </w:rPr>
  </w:style>
  <w:style w:type="character" w:customStyle="1" w:styleId="31">
    <w:name w:val="标题 2 Char"/>
    <w:basedOn w:val="22"/>
    <w:link w:val="5"/>
    <w:qFormat/>
    <w:uiPriority w:val="1"/>
    <w:rPr>
      <w:rFonts w:ascii="Times New Roman" w:hAnsi="Times New Roman" w:eastAsia="仿宋_GB2312" w:cstheme="majorBidi"/>
      <w:b/>
      <w:bCs/>
      <w:kern w:val="0"/>
      <w:sz w:val="28"/>
      <w:szCs w:val="32"/>
      <w:lang w:val="zh-CN" w:eastAsia="zh-CN"/>
    </w:rPr>
  </w:style>
  <w:style w:type="character" w:customStyle="1" w:styleId="32">
    <w:name w:val="标题 3 Char"/>
    <w:basedOn w:val="22"/>
    <w:link w:val="6"/>
    <w:qFormat/>
    <w:uiPriority w:val="2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3">
    <w:name w:val="标题 4 Char"/>
    <w:basedOn w:val="22"/>
    <w:link w:val="7"/>
    <w:qFormat/>
    <w:uiPriority w:val="3"/>
    <w:rPr>
      <w:rFonts w:ascii="Times New Roman" w:hAnsi="Times New Roman" w:eastAsia="仿宋_GB2312" w:cstheme="majorBidi"/>
      <w:b/>
      <w:bCs/>
      <w:kern w:val="0"/>
      <w:sz w:val="28"/>
      <w:szCs w:val="28"/>
      <w:lang w:val="zh-CN" w:eastAsia="zh-CN"/>
    </w:rPr>
  </w:style>
  <w:style w:type="character" w:customStyle="1" w:styleId="34">
    <w:name w:val="标题 5 Char"/>
    <w:basedOn w:val="22"/>
    <w:link w:val="8"/>
    <w:qFormat/>
    <w:uiPriority w:val="9"/>
    <w:rPr>
      <w:rFonts w:ascii="Times New Roman" w:hAnsi="Times New Roman" w:eastAsia="仿宋_GB2312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批注文字 Char"/>
    <w:basedOn w:val="22"/>
    <w:link w:val="10"/>
    <w:qFormat/>
    <w:uiPriority w:val="99"/>
  </w:style>
  <w:style w:type="character" w:customStyle="1" w:styleId="36">
    <w:name w:val="批注框文本 Char"/>
    <w:basedOn w:val="22"/>
    <w:link w:val="12"/>
    <w:semiHidden/>
    <w:qFormat/>
    <w:uiPriority w:val="99"/>
    <w:rPr>
      <w:sz w:val="18"/>
      <w:szCs w:val="18"/>
    </w:rPr>
  </w:style>
  <w:style w:type="character" w:customStyle="1" w:styleId="37">
    <w:name w:val="页脚 Char"/>
    <w:basedOn w:val="22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8">
    <w:name w:val="页眉 Char"/>
    <w:basedOn w:val="22"/>
    <w:link w:val="14"/>
    <w:qFormat/>
    <w:uiPriority w:val="99"/>
    <w:rPr>
      <w:sz w:val="18"/>
      <w:szCs w:val="18"/>
    </w:rPr>
  </w:style>
  <w:style w:type="character" w:customStyle="1" w:styleId="39">
    <w:name w:val="脚注文本 Char"/>
    <w:basedOn w:val="22"/>
    <w:link w:val="16"/>
    <w:qFormat/>
    <w:uiPriority w:val="0"/>
    <w:rPr>
      <w:rFonts w:ascii="Times New Roman" w:hAnsi="Times New Roman" w:eastAsia="仿宋_GB2312"/>
      <w:sz w:val="18"/>
      <w:szCs w:val="18"/>
    </w:rPr>
  </w:style>
  <w:style w:type="character" w:customStyle="1" w:styleId="40">
    <w:name w:val="批注主题 Char"/>
    <w:basedOn w:val="35"/>
    <w:link w:val="19"/>
    <w:semiHidden/>
    <w:qFormat/>
    <w:uiPriority w:val="99"/>
    <w:rPr>
      <w:b/>
      <w:bCs/>
    </w:rPr>
  </w:style>
  <w:style w:type="paragraph" w:customStyle="1" w:styleId="41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/>
      <w:bCs w:val="0"/>
      <w:color w:val="2F5496" w:themeColor="accent1" w:themeShade="BF"/>
      <w:kern w:val="0"/>
      <w:szCs w:val="32"/>
    </w:rPr>
  </w:style>
  <w:style w:type="paragraph" w:customStyle="1" w:styleId="42">
    <w:name w:val="闻政封面标题"/>
    <w:basedOn w:val="1"/>
    <w:next w:val="43"/>
    <w:qFormat/>
    <w:uiPriority w:val="0"/>
    <w:pPr>
      <w:spacing w:before="480" w:after="360"/>
      <w:jc w:val="center"/>
    </w:pPr>
    <w:rPr>
      <w:rFonts w:ascii="Times New Roman" w:hAnsi="Times New Roman" w:eastAsia="黑体" w:cs="Times New Roman"/>
      <w:b/>
      <w:snapToGrid w:val="0"/>
      <w:sz w:val="32"/>
      <w:szCs w:val="24"/>
    </w:rPr>
  </w:style>
  <w:style w:type="paragraph" w:customStyle="1" w:styleId="43">
    <w:name w:val="闻政封面项目信息"/>
    <w:basedOn w:val="1"/>
    <w:next w:val="44"/>
    <w:qFormat/>
    <w:uiPriority w:val="0"/>
    <w:pPr>
      <w:spacing w:before="120"/>
      <w:ind w:left="800" w:leftChars="800"/>
      <w:jc w:val="left"/>
    </w:pPr>
    <w:rPr>
      <w:rFonts w:ascii="Times New Roman" w:hAnsi="Times New Roman" w:eastAsia="黑体" w:cs="Times New Roman"/>
      <w:kern w:val="0"/>
      <w:sz w:val="28"/>
      <w:szCs w:val="28"/>
      <w:lang w:val="zh-CN"/>
    </w:rPr>
  </w:style>
  <w:style w:type="paragraph" w:customStyle="1" w:styleId="44">
    <w:name w:val="闻政封面完成时间"/>
    <w:basedOn w:val="43"/>
    <w:qFormat/>
    <w:uiPriority w:val="0"/>
    <w:pPr>
      <w:ind w:left="0" w:leftChars="0"/>
      <w:jc w:val="center"/>
    </w:pPr>
    <w:rPr>
      <w:b/>
    </w:rPr>
  </w:style>
  <w:style w:type="paragraph" w:customStyle="1" w:styleId="45">
    <w:name w:val="闻政页码"/>
    <w:qFormat/>
    <w:uiPriority w:val="6"/>
    <w:pPr>
      <w:jc w:val="center"/>
    </w:pPr>
    <w:rPr>
      <w:rFonts w:ascii="Times New Roman" w:hAnsi="Times New Roman" w:eastAsia="Times New Roman" w:cs="Times New Roman"/>
      <w:sz w:val="21"/>
      <w:szCs w:val="28"/>
      <w:lang w:val="en-US" w:eastAsia="zh-CN" w:bidi="ar-SA"/>
    </w:rPr>
  </w:style>
  <w:style w:type="paragraph" w:customStyle="1" w:styleId="46">
    <w:name w:val="闻政摘要标题"/>
    <w:basedOn w:val="1"/>
    <w:qFormat/>
    <w:uiPriority w:val="2"/>
    <w:pPr>
      <w:spacing w:before="480" w:after="360"/>
      <w:jc w:val="center"/>
      <w:outlineLvl w:val="0"/>
    </w:pPr>
    <w:rPr>
      <w:rFonts w:ascii="Times New Roman" w:hAnsi="Times New Roman" w:eastAsia="黑体" w:cs="Times New Roman"/>
      <w:b/>
      <w:snapToGrid w:val="0"/>
      <w:sz w:val="32"/>
      <w:szCs w:val="24"/>
    </w:rPr>
  </w:style>
  <w:style w:type="paragraph" w:customStyle="1" w:styleId="47">
    <w:name w:val="闻政图（表）注"/>
    <w:basedOn w:val="1"/>
    <w:link w:val="48"/>
    <w:qFormat/>
    <w:uiPriority w:val="5"/>
    <w:pPr>
      <w:spacing w:before="120"/>
    </w:pPr>
    <w:rPr>
      <w:rFonts w:ascii="Times New Roman" w:hAnsi="Times New Roman" w:eastAsia="仿宋_GB2312" w:cs="Arial"/>
      <w:kern w:val="0"/>
    </w:rPr>
  </w:style>
  <w:style w:type="character" w:customStyle="1" w:styleId="48">
    <w:name w:val="闻政图（表）注 Char"/>
    <w:link w:val="47"/>
    <w:qFormat/>
    <w:uiPriority w:val="5"/>
    <w:rPr>
      <w:rFonts w:ascii="Times New Roman" w:hAnsi="Times New Roman" w:eastAsia="仿宋_GB2312" w:cs="Arial"/>
      <w:kern w:val="0"/>
    </w:rPr>
  </w:style>
  <w:style w:type="paragraph" w:customStyle="1" w:styleId="49">
    <w:name w:val="闻政图表名"/>
    <w:basedOn w:val="1"/>
    <w:link w:val="50"/>
    <w:qFormat/>
    <w:uiPriority w:val="4"/>
    <w:pPr>
      <w:spacing w:before="60" w:after="60"/>
      <w:jc w:val="center"/>
    </w:pPr>
    <w:rPr>
      <w:rFonts w:ascii="Times New Roman" w:hAnsi="Times New Roman" w:eastAsia="仿宋_GB2312" w:cs="Times New Roman"/>
      <w:b/>
      <w:kern w:val="0"/>
      <w:sz w:val="24"/>
      <w:szCs w:val="28"/>
    </w:rPr>
  </w:style>
  <w:style w:type="character" w:customStyle="1" w:styleId="50">
    <w:name w:val="闻政图表名 字符"/>
    <w:link w:val="49"/>
    <w:qFormat/>
    <w:uiPriority w:val="4"/>
    <w:rPr>
      <w:rFonts w:ascii="Times New Roman" w:hAnsi="Times New Roman" w:eastAsia="仿宋_GB2312" w:cs="Times New Roman"/>
      <w:b/>
      <w:kern w:val="0"/>
      <w:sz w:val="24"/>
      <w:szCs w:val="28"/>
    </w:rPr>
  </w:style>
  <w:style w:type="paragraph" w:customStyle="1" w:styleId="51">
    <w:name w:val="闻政备注类"/>
    <w:basedOn w:val="4"/>
    <w:qFormat/>
    <w:uiPriority w:val="5"/>
    <w:pPr>
      <w:spacing w:line="240" w:lineRule="auto"/>
      <w:jc w:val="left"/>
    </w:pPr>
    <w:rPr>
      <w:rFonts w:cs="宋体"/>
      <w:sz w:val="21"/>
    </w:rPr>
  </w:style>
  <w:style w:type="paragraph" w:customStyle="1" w:styleId="52">
    <w:name w:val="闻政附件标题"/>
    <w:basedOn w:val="4"/>
    <w:qFormat/>
    <w:uiPriority w:val="5"/>
    <w:pPr>
      <w:numPr>
        <w:ilvl w:val="5"/>
        <w:numId w:val="1"/>
      </w:numPr>
      <w:spacing w:before="120" w:after="60" w:line="240" w:lineRule="auto"/>
      <w:ind w:firstLineChars="0"/>
      <w:outlineLvl w:val="0"/>
    </w:pPr>
    <w:rPr>
      <w:rFonts w:eastAsia="黑体"/>
      <w:b/>
      <w:sz w:val="32"/>
    </w:rPr>
  </w:style>
  <w:style w:type="paragraph" w:customStyle="1" w:styleId="53">
    <w:name w:val="闻政附件正文"/>
    <w:basedOn w:val="4"/>
    <w:qFormat/>
    <w:uiPriority w:val="99"/>
    <w:rPr>
      <w:sz w:val="24"/>
    </w:rPr>
  </w:style>
  <w:style w:type="paragraph" w:customStyle="1" w:styleId="54">
    <w:name w:val="闻政附件报告名"/>
    <w:basedOn w:val="4"/>
    <w:qFormat/>
    <w:uiPriority w:val="9"/>
    <w:pPr>
      <w:spacing w:before="120" w:after="60"/>
      <w:ind w:firstLine="0" w:firstLineChars="0"/>
      <w:jc w:val="center"/>
    </w:pPr>
    <w:rPr>
      <w:b/>
    </w:rPr>
  </w:style>
  <w:style w:type="paragraph" w:customStyle="1" w:styleId="55">
    <w:name w:val="闻政附件一级标题"/>
    <w:basedOn w:val="54"/>
    <w:next w:val="53"/>
    <w:qFormat/>
    <w:uiPriority w:val="6"/>
    <w:pPr>
      <w:ind w:firstLine="200" w:firstLineChars="200"/>
      <w:jc w:val="left"/>
    </w:pPr>
    <w:rPr>
      <w:rFonts w:cs="宋体"/>
    </w:rPr>
  </w:style>
  <w:style w:type="paragraph" w:customStyle="1" w:styleId="56">
    <w:name w:val="闻政附件二级标题"/>
    <w:basedOn w:val="55"/>
    <w:qFormat/>
    <w:uiPriority w:val="8"/>
    <w:rPr>
      <w:rFonts w:ascii="宋体" w:hAnsi="宋体" w:eastAsia="宋体"/>
    </w:rPr>
  </w:style>
  <w:style w:type="paragraph" w:customStyle="1" w:styleId="57">
    <w:name w:val="闻政附件三级标题"/>
    <w:basedOn w:val="56"/>
    <w:qFormat/>
    <w:uiPriority w:val="8"/>
    <w:rPr>
      <w:rFonts w:ascii="Times New Roman" w:hAnsi="Times New Roman" w:eastAsia="仿宋_GB2312"/>
    </w:rPr>
  </w:style>
  <w:style w:type="paragraph" w:customStyle="1" w:styleId="58">
    <w:name w:val="闻政附件四级标题"/>
    <w:basedOn w:val="57"/>
    <w:qFormat/>
    <w:uiPriority w:val="9"/>
    <w:pPr>
      <w:spacing w:before="0" w:after="0"/>
    </w:pPr>
  </w:style>
  <w:style w:type="paragraph" w:customStyle="1" w:styleId="59">
    <w:name w:val="闻政脚注"/>
    <w:basedOn w:val="4"/>
    <w:qFormat/>
    <w:uiPriority w:val="9"/>
    <w:pPr>
      <w:spacing w:line="400" w:lineRule="exact"/>
      <w:ind w:firstLine="0" w:firstLineChars="0"/>
    </w:pPr>
    <w:rPr>
      <w:sz w:val="18"/>
    </w:rPr>
  </w:style>
  <w:style w:type="paragraph" w:customStyle="1" w:styleId="60">
    <w:name w:val="闻政目录标题"/>
    <w:basedOn w:val="42"/>
    <w:qFormat/>
    <w:uiPriority w:val="1"/>
  </w:style>
  <w:style w:type="table" w:customStyle="1" w:styleId="61">
    <w:name w:val="网格型浅色1"/>
    <w:basedOn w:val="2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无格式表格 11"/>
    <w:basedOn w:val="20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63">
    <w:name w:val="闻政表文字"/>
    <w:basedOn w:val="4"/>
    <w:link w:val="64"/>
    <w:qFormat/>
    <w:uiPriority w:val="5"/>
    <w:pPr>
      <w:widowControl/>
      <w:spacing w:line="320" w:lineRule="exact"/>
      <w:ind w:firstLine="0" w:firstLineChars="0"/>
      <w:jc w:val="center"/>
    </w:pPr>
    <w:rPr>
      <w:rFonts w:cs="宋体"/>
      <w:bCs/>
      <w:color w:val="000000"/>
      <w:sz w:val="22"/>
      <w:szCs w:val="22"/>
    </w:rPr>
  </w:style>
  <w:style w:type="character" w:customStyle="1" w:styleId="64">
    <w:name w:val="闻政表文字 字符"/>
    <w:basedOn w:val="29"/>
    <w:link w:val="63"/>
    <w:qFormat/>
    <w:uiPriority w:val="5"/>
    <w:rPr>
      <w:rFonts w:ascii="Times New Roman" w:hAnsi="Times New Roman" w:eastAsia="仿宋_GB2312" w:cs="宋体"/>
      <w:bCs/>
      <w:color w:val="000000"/>
      <w:kern w:val="0"/>
      <w:sz w:val="22"/>
      <w:szCs w:val="22"/>
      <w:lang w:val="zh-CN" w:eastAsia="zh-CN"/>
    </w:rPr>
  </w:style>
  <w:style w:type="paragraph" w:customStyle="1" w:styleId="65">
    <w:name w:val="正文-闻政"/>
    <w:link w:val="66"/>
    <w:qFormat/>
    <w:uiPriority w:val="0"/>
    <w:pPr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character" w:customStyle="1" w:styleId="66">
    <w:name w:val="正文-闻政 Char"/>
    <w:link w:val="65"/>
    <w:qFormat/>
    <w:uiPriority w:val="0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67">
    <w:name w:val="闻政表"/>
    <w:basedOn w:val="1"/>
    <w:link w:val="68"/>
    <w:qFormat/>
    <w:uiPriority w:val="0"/>
    <w:pPr>
      <w:spacing w:before="60" w:after="60"/>
      <w:jc w:val="center"/>
    </w:pPr>
    <w:rPr>
      <w:rFonts w:eastAsia="仿宋_GB2312"/>
      <w:b/>
      <w:sz w:val="24"/>
      <w:szCs w:val="28"/>
    </w:rPr>
  </w:style>
  <w:style w:type="character" w:customStyle="1" w:styleId="68">
    <w:name w:val="闻政表 Char"/>
    <w:link w:val="67"/>
    <w:qFormat/>
    <w:uiPriority w:val="0"/>
    <w:rPr>
      <w:rFonts w:eastAsia="仿宋_GB2312"/>
      <w:b/>
      <w:kern w:val="2"/>
      <w:sz w:val="24"/>
      <w:szCs w:val="28"/>
    </w:rPr>
  </w:style>
  <w:style w:type="paragraph" w:customStyle="1" w:styleId="69">
    <w:name w:val="List Paragraph"/>
    <w:basedOn w:val="1"/>
    <w:qFormat/>
    <w:uiPriority w:val="99"/>
    <w:pPr>
      <w:ind w:firstLine="420" w:firstLineChars="200"/>
    </w:pPr>
  </w:style>
  <w:style w:type="paragraph" w:customStyle="1" w:styleId="70">
    <w:name w:val="Char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4-&#38395;&#25919;-&#26684;&#24335;&#27169;&#26495;-20190219-&#26356;&#26032;-v3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015AA-C891-40A4-AA47-00FC60775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04-闻政-格式模板-20190219-更新-v3.dotm</Template>
  <Pages>3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2019-09-23T05:19:00Z</dcterms:created>
  <dc:creator>张恩华</dc:creator>
  <cp:lastModifiedBy>浩，男</cp:lastModifiedBy>
  <cp:lastPrinted>2021-03-31T01:35:00Z</cp:lastPrinted>
  <dcterms:modified xsi:type="dcterms:W3CDTF">2021-06-04T07:13:18Z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451198119_cloud</vt:lpwstr>
  </property>
</Properties>
</file>