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B7C2">
      <w:pPr>
        <w:pStyle w:val="2"/>
        <w:keepNext w:val="0"/>
        <w:keepLines w:val="0"/>
        <w:pageBreakBefore w:val="0"/>
        <w:widowControl w:val="0"/>
        <w:tabs>
          <w:tab w:val="left" w:pos="6863"/>
        </w:tabs>
        <w:kinsoku/>
        <w:wordWrap/>
        <w:overflowPunct/>
        <w:topLinePunct w:val="0"/>
        <w:autoSpaceDE/>
        <w:autoSpaceDN/>
        <w:bidi w:val="0"/>
        <w:adjustRightInd/>
        <w:snapToGrid/>
        <w:spacing w:before="0" w:after="0" w:line="560" w:lineRule="exact"/>
        <w:jc w:val="left"/>
        <w:textAlignment w:val="auto"/>
        <w:rPr>
          <w:rFonts w:hint="eastAsia" w:ascii="黑体" w:hAnsi="黑体" w:cs="黑体" w:eastAsiaTheme="majorEastAsia"/>
          <w:b w:val="0"/>
          <w:bCs w:val="0"/>
          <w:lang w:eastAsia="zh-CN"/>
        </w:rPr>
      </w:pPr>
      <w:bookmarkStart w:id="0" w:name="_GoBack"/>
      <w:bookmarkEnd w:id="0"/>
      <w:r>
        <w:rPr>
          <w:rFonts w:hint="eastAsia" w:ascii="黑体" w:hAnsi="黑体" w:cs="黑体"/>
          <w:b w:val="0"/>
          <w:bCs w:val="0"/>
        </w:rPr>
        <w:t>附件</w:t>
      </w:r>
      <w:r>
        <w:rPr>
          <w:rFonts w:hint="eastAsia" w:ascii="黑体" w:hAnsi="黑体" w:cs="黑体"/>
          <w:b w:val="0"/>
          <w:bCs w:val="0"/>
          <w:lang w:val="en-US" w:eastAsia="zh-CN"/>
        </w:rPr>
        <w:t>2</w:t>
      </w:r>
    </w:p>
    <w:p w14:paraId="720926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关于修改《青岛市人民政府关于进一步加强</w:t>
      </w:r>
    </w:p>
    <w:p w14:paraId="00F136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土地储备管理工作的意见》的说明</w:t>
      </w:r>
    </w:p>
    <w:p w14:paraId="4751F0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2328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kern w:val="0"/>
          <w:sz w:val="32"/>
          <w:szCs w:val="32"/>
        </w:rPr>
        <w:t>《青岛市人民政府关于进一步加强土地储备管理工作</w:t>
      </w:r>
      <w:r>
        <w:rPr>
          <w:rFonts w:hint="eastAsia" w:ascii="仿宋_GB2312" w:hAnsi="仿宋_GB2312" w:eastAsia="仿宋_GB2312" w:cs="仿宋_GB2312"/>
          <w:sz w:val="32"/>
          <w:szCs w:val="32"/>
        </w:rPr>
        <w:t>的意见</w:t>
      </w:r>
      <w:r>
        <w:rPr>
          <w:rFonts w:hint="eastAsia" w:ascii="仿宋_GB2312" w:hAnsi="仿宋_GB2312" w:eastAsia="仿宋_GB2312"/>
          <w:sz w:val="32"/>
          <w:szCs w:val="32"/>
        </w:rPr>
        <w:t>》</w:t>
      </w:r>
      <w:r>
        <w:rPr>
          <w:rFonts w:hint="eastAsia" w:ascii="仿宋_GB2312" w:hAnsi="仿宋_GB2312" w:eastAsia="仿宋_GB2312" w:cs="仿宋_GB2312"/>
          <w:sz w:val="32"/>
          <w:szCs w:val="32"/>
        </w:rPr>
        <w:t>（青政发〔2021〕20号）于2021年11月印发，部分内容依据</w:t>
      </w:r>
      <w:r>
        <w:rPr>
          <w:rFonts w:hint="eastAsia" w:ascii="仿宋_GB2312" w:hAnsi="仿宋_GB2312" w:eastAsia="仿宋_GB2312" w:cs="仿宋_GB2312"/>
          <w:color w:val="000000"/>
          <w:kern w:val="0"/>
          <w:sz w:val="32"/>
          <w:szCs w:val="32"/>
          <w:shd w:val="clear" w:color="auto" w:fill="FFFFFF"/>
          <w:lang w:bidi="ar"/>
        </w:rPr>
        <w:t>《国土资源部 财政部 中国人民银行 中国银行业监督管理委员会关于印发〈土地储备管理办法〉的通知》（国土资规〔2017〕17号）</w:t>
      </w:r>
      <w:r>
        <w:rPr>
          <w:rFonts w:hint="eastAsia" w:ascii="仿宋_GB2312" w:hAnsi="仿宋_GB2312" w:eastAsia="仿宋_GB2312" w:cs="仿宋_GB2312"/>
          <w:color w:val="000000"/>
          <w:kern w:val="0"/>
          <w:sz w:val="32"/>
          <w:szCs w:val="32"/>
          <w:shd w:val="clear" w:color="auto" w:fill="FFFFFF"/>
          <w:lang w:val="en-US" w:eastAsia="zh-CN" w:bidi="ar"/>
        </w:rPr>
        <w:t>等</w:t>
      </w:r>
      <w:r>
        <w:rPr>
          <w:rFonts w:hint="eastAsia" w:ascii="仿宋_GB2312" w:hAnsi="仿宋_GB2312" w:eastAsia="仿宋_GB2312" w:cs="仿宋_GB2312"/>
          <w:color w:val="000000"/>
          <w:kern w:val="0"/>
          <w:sz w:val="32"/>
          <w:szCs w:val="32"/>
          <w:shd w:val="clear" w:color="auto" w:fill="FFFFFF"/>
          <w:lang w:bidi="ar"/>
        </w:rPr>
        <w:t>制订</w:t>
      </w:r>
      <w:r>
        <w:rPr>
          <w:rFonts w:hint="eastAsia" w:ascii="仿宋_GB2312" w:hAnsi="仿宋_GB2312" w:eastAsia="仿宋_GB2312" w:cs="仿宋_GB2312"/>
          <w:sz w:val="32"/>
          <w:szCs w:val="32"/>
        </w:rPr>
        <w:t>。根据2025年新修订的</w:t>
      </w:r>
      <w:r>
        <w:rPr>
          <w:rFonts w:hint="eastAsia" w:ascii="仿宋_GB2312" w:hAnsi="仿宋_GB2312" w:eastAsia="仿宋_GB2312" w:cs="仿宋_GB2312"/>
          <w:color w:val="000000"/>
          <w:sz w:val="32"/>
          <w:szCs w:val="32"/>
        </w:rPr>
        <w:t>《自然资源部 财政部 中国人民银行 国家金融监督管理总局关于印发&lt;土地储备管理办法&gt;的通知》（自然资规〔2025〕2号）</w:t>
      </w:r>
      <w:r>
        <w:rPr>
          <w:rFonts w:hint="eastAsia" w:ascii="仿宋_GB2312" w:hAnsi="仿宋_GB2312" w:eastAsia="仿宋_GB2312" w:cs="仿宋_GB2312"/>
          <w:color w:val="000000"/>
          <w:sz w:val="32"/>
          <w:szCs w:val="32"/>
          <w:lang w:val="en-US" w:eastAsia="zh-CN"/>
        </w:rPr>
        <w:t>等有关规定</w:t>
      </w:r>
      <w:r>
        <w:rPr>
          <w:rFonts w:hint="eastAsia" w:ascii="仿宋_GB2312" w:hAnsi="仿宋_GB2312" w:eastAsia="仿宋_GB2312" w:cs="仿宋_GB2312"/>
          <w:color w:val="000000"/>
          <w:sz w:val="32"/>
          <w:szCs w:val="32"/>
        </w:rPr>
        <w:t>，现对部分内容进行修改。</w:t>
      </w:r>
    </w:p>
    <w:p w14:paraId="3492124D">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一、关于修改“储备范围”有关情况</w:t>
      </w:r>
    </w:p>
    <w:p w14:paraId="5001A3A6">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（一）修改主要内容。</w:t>
      </w:r>
      <w:r>
        <w:rPr>
          <w:rFonts w:hint="eastAsia" w:ascii="仿宋_GB2312" w:hAnsi="仿宋_GB2312" w:eastAsia="仿宋_GB2312" w:cs="仿宋_GB2312"/>
          <w:kern w:val="2"/>
          <w:sz w:val="32"/>
          <w:szCs w:val="32"/>
        </w:rPr>
        <w:t>将“二、储备和实施范围（一）储备范围”，修改为：“纳入政府储备的土地包括：依法收回且原使用权已注销的国有建设用地；收购的国有建设用地；行使优先购买权取得的国有建设用地；已办理农用地转用、征收批准手续并完成征收的土地；其他依法取得的国有建设用地。”</w:t>
      </w:r>
    </w:p>
    <w:p w14:paraId="456592ED">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楷体_GB2312" w:hAnsi="楷体_GB2312" w:eastAsia="楷体_GB2312" w:cs="楷体_GB2312"/>
          <w:kern w:val="2"/>
          <w:sz w:val="32"/>
          <w:szCs w:val="32"/>
        </w:rPr>
        <w:t>（二）修改理由。</w:t>
      </w:r>
      <w:r>
        <w:rPr>
          <w:rFonts w:hint="eastAsia" w:ascii="仿宋_GB2312" w:hAnsi="仿宋_GB2312" w:eastAsia="仿宋_GB2312" w:cs="仿宋_GB2312"/>
          <w:kern w:val="2"/>
          <w:sz w:val="32"/>
          <w:szCs w:val="32"/>
        </w:rPr>
        <w:t>根据《自然资源部 财政部 中国人民银行 国家金融监督管理总局关于印发&lt;土地储备管理办法&gt;的通知》（自然资规〔2025〕2号），进一步明确纳入储备土地范围为产权清晰的国有建设用地，范围更精准，避免泛化解释。为确保政策逻辑严谨，契合上级土地储备政策口径，对储备范围进行修改。</w:t>
      </w:r>
    </w:p>
    <w:p w14:paraId="7C626ED4">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二、关于修改“跨区域储备”有关情况</w:t>
      </w:r>
    </w:p>
    <w:p w14:paraId="46FB8858">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2"/>
          <w:sz w:val="32"/>
          <w:szCs w:val="32"/>
          <w:lang w:val="en-US" w:eastAsia="zh-CN"/>
        </w:rPr>
      </w:pPr>
      <w:r>
        <w:rPr>
          <w:rFonts w:hint="eastAsia" w:ascii="楷体_GB2312" w:hAnsi="楷体_GB2312" w:eastAsia="楷体_GB2312" w:cs="楷体_GB2312"/>
          <w:kern w:val="2"/>
          <w:sz w:val="32"/>
          <w:szCs w:val="32"/>
        </w:rPr>
        <w:t>（一）修改主要内容。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kern w:val="2"/>
          <w:sz w:val="32"/>
          <w:szCs w:val="32"/>
          <w:lang w:val="en-US" w:eastAsia="zh-CN"/>
        </w:rPr>
        <w:t>将</w:t>
      </w:r>
      <w:r>
        <w:rPr>
          <w:rFonts w:hint="eastAsia" w:ascii="仿宋_GB2312" w:hAnsi="仿宋_GB2312" w:eastAsia="仿宋_GB2312" w:cs="仿宋_GB2312"/>
          <w:kern w:val="2"/>
          <w:sz w:val="32"/>
          <w:szCs w:val="32"/>
        </w:rPr>
        <w:t>“二、储备和实施范围（</w:t>
      </w:r>
      <w:r>
        <w:rPr>
          <w:rFonts w:hint="eastAsia" w:ascii="仿宋_GB2312" w:hAnsi="仿宋_GB2312" w:eastAsia="仿宋_GB2312" w:cs="仿宋_GB2312"/>
          <w:kern w:val="2"/>
          <w:sz w:val="32"/>
          <w:szCs w:val="32"/>
          <w:lang w:val="en-US" w:eastAsia="zh-CN"/>
        </w:rPr>
        <w:t>二</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实施范围</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中“</w:t>
      </w:r>
      <w:r>
        <w:rPr>
          <w:rFonts w:hint="eastAsia" w:ascii="仿宋_GB2312" w:hAnsi="仿宋_GB2312" w:eastAsia="仿宋_GB2312" w:cs="仿宋_GB2312"/>
          <w:kern w:val="2"/>
          <w:sz w:val="32"/>
          <w:szCs w:val="32"/>
        </w:rPr>
        <w:t>市土地储备机构可以使用市级土地储备资金,与市内三区以外的区(市)政府、地铁集团等有关单位共同实施轨道交通土地资源开发利用区域、城市发展重点区域(包括空间规划战略留白区)及市政府确定的其他区域的土地储备工作</w:t>
      </w:r>
      <w:r>
        <w:rPr>
          <w:rFonts w:hint="eastAsia" w:ascii="仿宋_GB2312" w:hAnsi="仿宋_GB2312" w:eastAsia="仿宋_GB2312" w:cs="仿宋_GB2312"/>
          <w:kern w:val="2"/>
          <w:sz w:val="32"/>
          <w:szCs w:val="32"/>
          <w:lang w:val="en-US" w:eastAsia="zh-CN"/>
        </w:rPr>
        <w:t>”，修改为“</w:t>
      </w:r>
      <w:r>
        <w:rPr>
          <w:rFonts w:hint="eastAsia" w:ascii="仿宋_GB2312" w:hAnsi="仿宋_GB2312" w:eastAsia="仿宋_GB2312" w:cs="仿宋_GB2312"/>
          <w:kern w:val="2"/>
          <w:sz w:val="32"/>
          <w:szCs w:val="32"/>
        </w:rPr>
        <w:t>市土地储备机构可以使用市级土地储备资金</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地方政府专项债券资金</w:t>
      </w:r>
      <w:r>
        <w:rPr>
          <w:rFonts w:hint="eastAsia" w:ascii="仿宋_GB2312" w:hAnsi="仿宋_GB2312" w:eastAsia="仿宋_GB2312" w:cs="仿宋_GB2312"/>
          <w:kern w:val="2"/>
          <w:sz w:val="32"/>
          <w:szCs w:val="32"/>
        </w:rPr>
        <w:t>,与市内三区以外的区(市)政府</w:t>
      </w:r>
      <w:r>
        <w:rPr>
          <w:rFonts w:hint="eastAsia" w:ascii="仿宋_GB2312" w:hAnsi="仿宋_GB2312" w:eastAsia="仿宋_GB2312" w:cs="仿宋_GB2312"/>
          <w:kern w:val="2"/>
          <w:sz w:val="32"/>
          <w:szCs w:val="32"/>
          <w:lang w:val="en-US" w:eastAsia="zh-CN"/>
        </w:rPr>
        <w:t>等有关单位</w:t>
      </w:r>
      <w:r>
        <w:rPr>
          <w:rFonts w:hint="eastAsia" w:ascii="仿宋_GB2312" w:hAnsi="仿宋_GB2312" w:eastAsia="仿宋_GB2312" w:cs="仿宋_GB2312"/>
          <w:kern w:val="2"/>
          <w:sz w:val="32"/>
          <w:szCs w:val="32"/>
        </w:rPr>
        <w:t>共同实施轨道交通土地资源开发利用区域、城市发展重点区域(包括空间规划战略留白区)及市政府确定的其他区域的土地储备工作。</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将“四、土地储备项目管理（</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储备土地供应</w:t>
      </w:r>
      <w:r>
        <w:rPr>
          <w:rFonts w:hint="eastAsia" w:ascii="仿宋_GB2312" w:hAnsi="仿宋_GB2312" w:eastAsia="仿宋_GB2312" w:cs="仿宋_GB2312"/>
          <w:sz w:val="32"/>
          <w:szCs w:val="32"/>
        </w:rPr>
        <w:t>”中“市土地储备机构使用市级土地储备资金,跨区域同市内三区以外的区(市)政府、地铁集团等有关单位共同开展的土地储备项目,土地供地方案根据现行审批权限按程序批准后,由市自然资源和规划部门统筹组织供应”，修改为：“市土地储备机构使用市级土地储备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rPr>
        <w:t>地方政府专项债券资金</w:t>
      </w:r>
      <w:r>
        <w:rPr>
          <w:rFonts w:hint="eastAsia" w:ascii="仿宋_GB2312" w:hAnsi="仿宋_GB2312" w:eastAsia="仿宋_GB2312" w:cs="仿宋_GB2312"/>
          <w:sz w:val="32"/>
          <w:szCs w:val="32"/>
        </w:rPr>
        <w:t>,跨区域同市内三区以外的区(市)政府等有关单位共同开展的土地储备项目,土地供地方案根据现行审批权限按程序批准后,由市自然资源和规划部门统筹组织供应。”</w:t>
      </w:r>
    </w:p>
    <w:p w14:paraId="70C3E2C3">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kern w:val="2"/>
          <w:sz w:val="32"/>
          <w:szCs w:val="32"/>
        </w:rPr>
        <w:t>（二）修改理由。</w:t>
      </w:r>
      <w:r>
        <w:rPr>
          <w:rFonts w:hint="eastAsia" w:ascii="仿宋_GB2312" w:hAnsi="仿宋_GB2312" w:eastAsia="仿宋_GB2312" w:cs="仿宋_GB2312"/>
          <w:kern w:val="2"/>
          <w:sz w:val="32"/>
          <w:szCs w:val="32"/>
          <w:lang w:val="en-US" w:eastAsia="zh-CN"/>
        </w:rPr>
        <w:t>结合当前土地储备资金来源实际情况，本次修改在资金来源方面增加“地方政府专项债券资金”。同时，为</w:t>
      </w:r>
      <w:r>
        <w:rPr>
          <w:rFonts w:hint="eastAsia" w:ascii="仿宋_GB2312" w:hAnsi="仿宋_GB2312" w:eastAsia="仿宋_GB2312" w:cs="仿宋_GB2312"/>
          <w:kern w:val="2"/>
          <w:sz w:val="32"/>
          <w:szCs w:val="32"/>
        </w:rPr>
        <w:t>进一步强化市场公平竞争有关工作要求，维护市场公平竞争环境，本次对参与跨区域储备实施单位进行修改。</w:t>
      </w:r>
    </w:p>
    <w:p w14:paraId="45E9BEEC">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、关于修改“年度储备计划调整”有关情况</w:t>
      </w:r>
    </w:p>
    <w:p w14:paraId="373B5695">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（一）修改主要内容。</w:t>
      </w:r>
      <w:r>
        <w:rPr>
          <w:rFonts w:hint="eastAsia" w:ascii="仿宋_GB2312" w:hAnsi="仿宋_GB2312" w:eastAsia="仿宋_GB2312" w:cs="仿宋_GB2312"/>
          <w:kern w:val="2"/>
          <w:sz w:val="32"/>
          <w:szCs w:val="32"/>
        </w:rPr>
        <w:t>将“三、规划计划管理（二）</w:t>
      </w:r>
      <w:r>
        <w:rPr>
          <w:rFonts w:hint="eastAsia"/>
          <w:kern w:val="2"/>
          <w:sz w:val="32"/>
          <w:szCs w:val="32"/>
        </w:rPr>
        <w:t>‘</w:t>
      </w:r>
      <w:r>
        <w:rPr>
          <w:rFonts w:hint="eastAsia" w:ascii="仿宋_GB2312" w:hAnsi="仿宋_GB2312" w:eastAsia="仿宋_GB2312" w:cs="仿宋_GB2312"/>
          <w:kern w:val="2"/>
          <w:sz w:val="32"/>
          <w:szCs w:val="32"/>
        </w:rPr>
        <w:t>三年滚动计划</w:t>
      </w:r>
      <w:r>
        <w:rPr>
          <w:rFonts w:hint="eastAsia"/>
          <w:kern w:val="2"/>
          <w:sz w:val="32"/>
          <w:szCs w:val="32"/>
        </w:rPr>
        <w:t>’</w:t>
      </w:r>
      <w:r>
        <w:rPr>
          <w:rFonts w:hint="eastAsia" w:ascii="仿宋_GB2312" w:hAnsi="仿宋_GB2312" w:eastAsia="仿宋_GB2312" w:cs="仿宋_GB2312"/>
          <w:kern w:val="2"/>
          <w:sz w:val="32"/>
          <w:szCs w:val="32"/>
        </w:rPr>
        <w:t>和年度计划”中“因上级重要政策调整、重大决策部署、土地市场调控要求、低效用地开发等原因，确需调整年度土地储备计划的，每年中期可调整一次，按原审批程序报批”，修改为：“因上级重要政策调整、重大决策部署、土地市场调控要求、低效用地开发等原因，确需调整年度土地储备计划的，按原审批程序报批、备案。”</w:t>
      </w:r>
    </w:p>
    <w:p w14:paraId="6C5211FD">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（二）修改理由。</w:t>
      </w:r>
      <w:r>
        <w:rPr>
          <w:rFonts w:hint="eastAsia" w:ascii="仿宋_GB2312" w:hAnsi="仿宋_GB2312" w:eastAsia="仿宋_GB2312" w:cs="仿宋_GB2312"/>
          <w:kern w:val="2"/>
          <w:sz w:val="32"/>
          <w:szCs w:val="32"/>
        </w:rPr>
        <w:t>根据《自然资源部 财政部 中国人民银行 国家金融监督管理总局关于印发&lt;土地储备管理办法&gt;的通知》（自然资规〔2025〕2号），不再对年度土地储备计划每年中期调整一次予以限制。</w:t>
      </w:r>
      <w:r>
        <w:rPr>
          <w:rFonts w:hint="eastAsia" w:ascii="仿宋_GB2312" w:hAnsi="仿宋_GB2312" w:eastAsia="仿宋_GB2312" w:cs="仿宋_GB2312"/>
          <w:kern w:val="2"/>
          <w:sz w:val="32"/>
          <w:szCs w:val="32"/>
          <w:lang w:val="en-US" w:eastAsia="zh-CN"/>
        </w:rPr>
        <w:t>结合</w:t>
      </w:r>
      <w:r>
        <w:rPr>
          <w:rFonts w:hint="eastAsia" w:ascii="仿宋_GB2312" w:hAnsi="仿宋_GB2312" w:eastAsia="仿宋_GB2312" w:cs="仿宋_GB2312"/>
          <w:kern w:val="2"/>
          <w:sz w:val="32"/>
          <w:szCs w:val="32"/>
        </w:rPr>
        <w:t>当前土地储备计划动态调控、按需调整的政策实际，本次修改取消对年度储备计划每年中期可调整一次的限制。同时，为与上级政策保持一致，将“按原审批程序报批”修改为“按原审批程序报批、备案”。</w:t>
      </w:r>
    </w:p>
    <w:p w14:paraId="1413AD3A">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、关于修改“市场主体参与实施储备土地前期开发”有关情况</w:t>
      </w:r>
    </w:p>
    <w:p w14:paraId="29E34B3B">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bidi="ar"/>
        </w:rPr>
      </w:pPr>
      <w:r>
        <w:rPr>
          <w:rFonts w:hint="eastAsia" w:ascii="楷体_GB2312" w:hAnsi="楷体_GB2312" w:eastAsia="楷体_GB2312" w:cs="楷体_GB2312"/>
          <w:kern w:val="2"/>
          <w:sz w:val="32"/>
          <w:szCs w:val="32"/>
        </w:rPr>
        <w:t>（一）修改主要内容。</w:t>
      </w:r>
      <w:r>
        <w:rPr>
          <w:rFonts w:hint="eastAsia" w:ascii="仿宋_GB2312" w:hAnsi="仿宋_GB2312" w:eastAsia="仿宋_GB2312" w:cs="仿宋_GB2312"/>
          <w:sz w:val="32"/>
          <w:szCs w:val="32"/>
          <w:shd w:val="clear" w:color="auto" w:fill="FFFFFF"/>
          <w:lang w:bidi="ar"/>
        </w:rPr>
        <w:t>将“四、土地储备项目管理（四）储备土地前期开发”中“市土地储备机构应当按照政府采购有关规定，选择有实力的市场主体参与实施土地前期开发”，修改为：“市土地储备机构应当按照政府采购有关规定，选择市场主体参与实施土地前期开发。”</w:t>
      </w:r>
    </w:p>
    <w:p w14:paraId="4F6AD30E">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（二）修改理由。</w:t>
      </w:r>
      <w:r>
        <w:rPr>
          <w:rFonts w:hint="eastAsia" w:ascii="仿宋_GB2312" w:hAnsi="仿宋_GB2312" w:eastAsia="仿宋_GB2312" w:cs="仿宋_GB2312"/>
          <w:kern w:val="2"/>
          <w:sz w:val="32"/>
          <w:szCs w:val="32"/>
        </w:rPr>
        <w:t>为进一步强化市场公平竞争有关工作要求，维护市场公平竞争环境，本次对选择市场主体参与储备土地前期开发实施的有关规定进行修改。</w:t>
      </w:r>
    </w:p>
    <w:p w14:paraId="5892A125">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五、关于修改“收储整理管理”有关情况</w:t>
      </w:r>
    </w:p>
    <w:p w14:paraId="157531AF">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rPr>
        <w:t>（一）修改主要内容。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“四、土地储备项目管理（</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”中“整理期满土地仍未达到入库条件的，此后产生的财务成本不予纳入土地收储整理成本”</w:t>
      </w:r>
      <w:r>
        <w:rPr>
          <w:rFonts w:hint="eastAsia" w:ascii="仿宋_GB2312" w:hAnsi="仿宋_GB2312" w:eastAsia="仿宋_GB2312" w:cs="仿宋_GB2312"/>
          <w:sz w:val="32"/>
          <w:szCs w:val="32"/>
          <w:lang w:val="en-US" w:eastAsia="zh-CN"/>
        </w:rPr>
        <w:t>删除。</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、土地储备</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成本核算</w:t>
      </w:r>
      <w:r>
        <w:rPr>
          <w:rFonts w:hint="eastAsia" w:ascii="仿宋_GB2312" w:hAnsi="仿宋_GB2312" w:eastAsia="仿宋_GB2312" w:cs="仿宋_GB2312"/>
          <w:sz w:val="32"/>
          <w:szCs w:val="32"/>
        </w:rPr>
        <w:t>”中“1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储备成本。土地储备成本主要包括市土地储备机构直接收储的补偿费用；土地收储整理成本（土地收储补偿费用、财务成本、收储管理费、土地管护费等费用）；前期开发成本；储备工作中发生的其他有关费用（含项目咨询、规划编制、勘察测绘、评估、审计等费用）。其中，财务成本按照不高于贷款市场报价利率（LPR）乘以资金使用期限核算，收储管理费按照不高于土地收储整理单位实际支出（不含财务成本）的2%确定。土地储备成本不得重复列支”</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储备成本。土地储备成本主要包括市土地储备机构直接收储的补偿费用；土地收储整理成本（土地收储补偿费用、收储管理费、土地管护费等费用）；前期开发成本；储备工作中发生的其他有关费用（含项目咨询、规划编制、勘察测绘、评估、审计等费用）。其中，收储管理费以招标</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rPr>
        <w:t>确定的费率为准，最多不高于收储补偿费用的2%。土地储备成本不得重复列支。</w:t>
      </w:r>
      <w:r>
        <w:rPr>
          <w:rFonts w:hint="eastAsia" w:ascii="仿宋_GB2312" w:hAnsi="仿宋_GB2312" w:eastAsia="仿宋_GB2312" w:cs="仿宋_GB2312"/>
          <w:sz w:val="32"/>
          <w:szCs w:val="32"/>
          <w:lang w:val="en-US" w:eastAsia="zh-CN"/>
        </w:rPr>
        <w:t>”</w:t>
      </w:r>
    </w:p>
    <w:p w14:paraId="7D7D9485">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rPr>
        <w:t>（二）修改理由。</w:t>
      </w:r>
      <w:r>
        <w:rPr>
          <w:rFonts w:hint="eastAsia" w:ascii="仿宋_GB2312" w:hAnsi="仿宋_GB2312" w:eastAsia="仿宋_GB2312" w:cs="仿宋_GB2312"/>
          <w:sz w:val="32"/>
          <w:szCs w:val="32"/>
        </w:rPr>
        <w:t>为严格落实国家防范化解地方政府隐性债务</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政策规定，严守新增隐性债务管控底线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本次对</w:t>
      </w:r>
      <w:r>
        <w:rPr>
          <w:rFonts w:hint="eastAsia" w:ascii="仿宋_GB2312" w:hAnsi="仿宋_GB2312" w:eastAsia="仿宋_GB2312" w:cs="仿宋_GB2312"/>
          <w:sz w:val="32"/>
          <w:szCs w:val="32"/>
          <w:lang w:val="en-US" w:eastAsia="zh-CN"/>
        </w:rPr>
        <w:t>土地收储整理成本中涉及财务成本和收储管理费相关内容进行修改完善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土地储备领域资金使用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成本审核</w:t>
      </w:r>
      <w:r>
        <w:rPr>
          <w:rFonts w:hint="eastAsia" w:ascii="仿宋_GB2312" w:hAnsi="仿宋_GB2312" w:eastAsia="仿宋_GB2312" w:cs="仿宋_GB2312"/>
          <w:sz w:val="32"/>
          <w:szCs w:val="32"/>
          <w:lang w:val="en-US" w:eastAsia="zh-CN"/>
        </w:rPr>
        <w:t>等各项</w:t>
      </w:r>
      <w:r>
        <w:rPr>
          <w:rFonts w:hint="eastAsia" w:ascii="仿宋_GB2312" w:hAnsi="仿宋_GB2312" w:eastAsia="仿宋_GB2312" w:cs="仿宋_GB2312"/>
          <w:sz w:val="32"/>
          <w:szCs w:val="32"/>
        </w:rPr>
        <w:t>工作全面契合隐性债务常态化监管要求。</w:t>
      </w:r>
    </w:p>
    <w:p w14:paraId="68A93848">
      <w:pPr>
        <w:pStyle w:val="7"/>
        <w:widowControl w:val="0"/>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p>
    <w:p w14:paraId="43A0DBFE">
      <w:pPr>
        <w:pStyle w:val="7"/>
        <w:widowControl w:val="0"/>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sz w:val="32"/>
          <w:szCs w:val="32"/>
          <w:lang w:val="en-US" w:eastAsia="zh-CN"/>
        </w:rPr>
      </w:pPr>
    </w:p>
    <w:p w14:paraId="06CA7A26">
      <w:pPr>
        <w:pageBreakBefore w:val="0"/>
        <w:kinsoku/>
        <w:wordWrap/>
        <w:overflowPunct/>
        <w:topLinePunct w:val="0"/>
        <w:autoSpaceDE/>
        <w:autoSpaceDN/>
        <w:bidi w:val="0"/>
        <w:adjustRightInd/>
        <w:snapToGrid/>
        <w:spacing w:line="560" w:lineRule="exact"/>
        <w:textAlignment w:val="auto"/>
        <w:rPr>
          <w:rFonts w:hint="default"/>
          <w:lang w:val="en-US" w:eastAsia="zh-CN"/>
        </w:rPr>
      </w:pPr>
    </w:p>
    <w:sectPr>
      <w:footerReference r:id="rId3"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2678">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2B6B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552B6B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4863F1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zc3ZmNjNDA1YTI3M2NmNzI5MWYyMTFiOTljOTYifQ=="/>
    <w:docVar w:name="KSO_WPS_MARK_KEY" w:val="a0f9d1df-e358-45fe-a4c3-f0f865f8253e"/>
  </w:docVars>
  <w:rsids>
    <w:rsidRoot w:val="003419C1"/>
    <w:rsid w:val="00040E09"/>
    <w:rsid w:val="000518D2"/>
    <w:rsid w:val="000605D6"/>
    <w:rsid w:val="00082F5C"/>
    <w:rsid w:val="000E7124"/>
    <w:rsid w:val="00107104"/>
    <w:rsid w:val="0012635A"/>
    <w:rsid w:val="0015043F"/>
    <w:rsid w:val="001C5F71"/>
    <w:rsid w:val="00223FAB"/>
    <w:rsid w:val="002C4449"/>
    <w:rsid w:val="002F6F88"/>
    <w:rsid w:val="00320EE3"/>
    <w:rsid w:val="003419C1"/>
    <w:rsid w:val="003658CC"/>
    <w:rsid w:val="00381B14"/>
    <w:rsid w:val="003A0927"/>
    <w:rsid w:val="003B6825"/>
    <w:rsid w:val="003C253C"/>
    <w:rsid w:val="003C76E1"/>
    <w:rsid w:val="004E1B4C"/>
    <w:rsid w:val="004F6AF4"/>
    <w:rsid w:val="00507FF8"/>
    <w:rsid w:val="00540E85"/>
    <w:rsid w:val="00580D64"/>
    <w:rsid w:val="005C36D5"/>
    <w:rsid w:val="005D55A3"/>
    <w:rsid w:val="005E65E7"/>
    <w:rsid w:val="00610FDA"/>
    <w:rsid w:val="006111E7"/>
    <w:rsid w:val="00644E71"/>
    <w:rsid w:val="00665CF7"/>
    <w:rsid w:val="006A6BA3"/>
    <w:rsid w:val="00704CDC"/>
    <w:rsid w:val="00720D2E"/>
    <w:rsid w:val="007948EB"/>
    <w:rsid w:val="0081405E"/>
    <w:rsid w:val="008143E2"/>
    <w:rsid w:val="008271B2"/>
    <w:rsid w:val="00836858"/>
    <w:rsid w:val="00843939"/>
    <w:rsid w:val="008A570E"/>
    <w:rsid w:val="008D19BC"/>
    <w:rsid w:val="00900E21"/>
    <w:rsid w:val="0098632E"/>
    <w:rsid w:val="00A13691"/>
    <w:rsid w:val="00A31AFA"/>
    <w:rsid w:val="00A811E1"/>
    <w:rsid w:val="00A93FC5"/>
    <w:rsid w:val="00AA59ED"/>
    <w:rsid w:val="00B049C4"/>
    <w:rsid w:val="00B15481"/>
    <w:rsid w:val="00B91DD4"/>
    <w:rsid w:val="00C036E0"/>
    <w:rsid w:val="00C86378"/>
    <w:rsid w:val="00CB50E2"/>
    <w:rsid w:val="00D26458"/>
    <w:rsid w:val="00D26E22"/>
    <w:rsid w:val="00D56464"/>
    <w:rsid w:val="00D57AD2"/>
    <w:rsid w:val="00E468E4"/>
    <w:rsid w:val="00F21BA5"/>
    <w:rsid w:val="00F35185"/>
    <w:rsid w:val="01030629"/>
    <w:rsid w:val="01095CAB"/>
    <w:rsid w:val="012F5F9F"/>
    <w:rsid w:val="01B91D0C"/>
    <w:rsid w:val="01FB40D3"/>
    <w:rsid w:val="024332BD"/>
    <w:rsid w:val="024F294D"/>
    <w:rsid w:val="0277714B"/>
    <w:rsid w:val="029A548D"/>
    <w:rsid w:val="03257B1E"/>
    <w:rsid w:val="035B2B6B"/>
    <w:rsid w:val="03B67D67"/>
    <w:rsid w:val="03CC3F79"/>
    <w:rsid w:val="03EC25AE"/>
    <w:rsid w:val="040E4592"/>
    <w:rsid w:val="047168CE"/>
    <w:rsid w:val="04854128"/>
    <w:rsid w:val="04B33D0A"/>
    <w:rsid w:val="04C314ED"/>
    <w:rsid w:val="0534627A"/>
    <w:rsid w:val="057A1830"/>
    <w:rsid w:val="05A52CD4"/>
    <w:rsid w:val="05AC22B4"/>
    <w:rsid w:val="05EA4B8A"/>
    <w:rsid w:val="060F639F"/>
    <w:rsid w:val="06621A70"/>
    <w:rsid w:val="06AE5BB8"/>
    <w:rsid w:val="06B51775"/>
    <w:rsid w:val="06F15AA5"/>
    <w:rsid w:val="073221CF"/>
    <w:rsid w:val="07702E6D"/>
    <w:rsid w:val="077566D6"/>
    <w:rsid w:val="07B2792A"/>
    <w:rsid w:val="07E37AE3"/>
    <w:rsid w:val="08381BDD"/>
    <w:rsid w:val="086E58DD"/>
    <w:rsid w:val="087F53D8"/>
    <w:rsid w:val="088E3EF3"/>
    <w:rsid w:val="08C16076"/>
    <w:rsid w:val="093465E7"/>
    <w:rsid w:val="093A7BD7"/>
    <w:rsid w:val="0A000317"/>
    <w:rsid w:val="0A2F5262"/>
    <w:rsid w:val="0A53697E"/>
    <w:rsid w:val="0A917CCA"/>
    <w:rsid w:val="0AAF1EFF"/>
    <w:rsid w:val="0AC61186"/>
    <w:rsid w:val="0B164203"/>
    <w:rsid w:val="0B2A20A6"/>
    <w:rsid w:val="0B4D3BF1"/>
    <w:rsid w:val="0B69269E"/>
    <w:rsid w:val="0B883FDC"/>
    <w:rsid w:val="0C9F5EC5"/>
    <w:rsid w:val="0D077DD0"/>
    <w:rsid w:val="0D166366"/>
    <w:rsid w:val="0D1E4494"/>
    <w:rsid w:val="0D23057E"/>
    <w:rsid w:val="0D30206A"/>
    <w:rsid w:val="0D7A67F4"/>
    <w:rsid w:val="0D82337A"/>
    <w:rsid w:val="0D9E5DAE"/>
    <w:rsid w:val="0E0132C0"/>
    <w:rsid w:val="0E8B3918"/>
    <w:rsid w:val="0EC900F5"/>
    <w:rsid w:val="0ECA5559"/>
    <w:rsid w:val="0EF53DC6"/>
    <w:rsid w:val="0F255A9C"/>
    <w:rsid w:val="0F6634D4"/>
    <w:rsid w:val="0FAB0EE6"/>
    <w:rsid w:val="0FE10EEA"/>
    <w:rsid w:val="0FE96275"/>
    <w:rsid w:val="105A60EC"/>
    <w:rsid w:val="10BA5159"/>
    <w:rsid w:val="10C01E55"/>
    <w:rsid w:val="10C14BE8"/>
    <w:rsid w:val="118440E5"/>
    <w:rsid w:val="119F6DC0"/>
    <w:rsid w:val="127673A6"/>
    <w:rsid w:val="12971BF6"/>
    <w:rsid w:val="129B61DA"/>
    <w:rsid w:val="12A6008B"/>
    <w:rsid w:val="12D50848"/>
    <w:rsid w:val="12DA02DE"/>
    <w:rsid w:val="13086650"/>
    <w:rsid w:val="132E762A"/>
    <w:rsid w:val="13511DA5"/>
    <w:rsid w:val="136441CE"/>
    <w:rsid w:val="14A52ACA"/>
    <w:rsid w:val="14DC1B42"/>
    <w:rsid w:val="14E2387D"/>
    <w:rsid w:val="15791A87"/>
    <w:rsid w:val="15B605E5"/>
    <w:rsid w:val="15EC04AB"/>
    <w:rsid w:val="16094BB9"/>
    <w:rsid w:val="17260915"/>
    <w:rsid w:val="176D02CA"/>
    <w:rsid w:val="1776002C"/>
    <w:rsid w:val="177E3ACA"/>
    <w:rsid w:val="18554C37"/>
    <w:rsid w:val="18D30375"/>
    <w:rsid w:val="19102702"/>
    <w:rsid w:val="191C2E55"/>
    <w:rsid w:val="195E16BF"/>
    <w:rsid w:val="197B1652"/>
    <w:rsid w:val="19A8293B"/>
    <w:rsid w:val="1AA87800"/>
    <w:rsid w:val="1AC813F9"/>
    <w:rsid w:val="1AE6196C"/>
    <w:rsid w:val="1AE87493"/>
    <w:rsid w:val="1B216501"/>
    <w:rsid w:val="1B342C7D"/>
    <w:rsid w:val="1C191665"/>
    <w:rsid w:val="1C626DD1"/>
    <w:rsid w:val="1C9E33AA"/>
    <w:rsid w:val="1CA92C52"/>
    <w:rsid w:val="1CCE2AE1"/>
    <w:rsid w:val="1CE80BEF"/>
    <w:rsid w:val="1D012A8E"/>
    <w:rsid w:val="1E0C3498"/>
    <w:rsid w:val="1E235DB8"/>
    <w:rsid w:val="1E777800"/>
    <w:rsid w:val="1E9B6901"/>
    <w:rsid w:val="1ECC5F0F"/>
    <w:rsid w:val="1F324684"/>
    <w:rsid w:val="1FB5464E"/>
    <w:rsid w:val="1FB64952"/>
    <w:rsid w:val="1FCA5BED"/>
    <w:rsid w:val="20016D19"/>
    <w:rsid w:val="201536E7"/>
    <w:rsid w:val="204C4020"/>
    <w:rsid w:val="205253AE"/>
    <w:rsid w:val="20547A0F"/>
    <w:rsid w:val="207215AC"/>
    <w:rsid w:val="20AA0283"/>
    <w:rsid w:val="20D6629C"/>
    <w:rsid w:val="20FE0A2A"/>
    <w:rsid w:val="21236E13"/>
    <w:rsid w:val="213351E0"/>
    <w:rsid w:val="213F12FA"/>
    <w:rsid w:val="21825D21"/>
    <w:rsid w:val="21B24356"/>
    <w:rsid w:val="21B52099"/>
    <w:rsid w:val="21BE2CFB"/>
    <w:rsid w:val="22225BD3"/>
    <w:rsid w:val="222772BE"/>
    <w:rsid w:val="22374E89"/>
    <w:rsid w:val="228F4080"/>
    <w:rsid w:val="22E06CA1"/>
    <w:rsid w:val="22E87672"/>
    <w:rsid w:val="230455EC"/>
    <w:rsid w:val="232A12B7"/>
    <w:rsid w:val="23965D03"/>
    <w:rsid w:val="23BC326A"/>
    <w:rsid w:val="24861ACA"/>
    <w:rsid w:val="248D5A86"/>
    <w:rsid w:val="24C83E91"/>
    <w:rsid w:val="25021151"/>
    <w:rsid w:val="250749B9"/>
    <w:rsid w:val="251A70CA"/>
    <w:rsid w:val="25565CCE"/>
    <w:rsid w:val="2565021B"/>
    <w:rsid w:val="259D2BCF"/>
    <w:rsid w:val="25B17F84"/>
    <w:rsid w:val="25EE5FFE"/>
    <w:rsid w:val="25F759FB"/>
    <w:rsid w:val="2661312F"/>
    <w:rsid w:val="26661BB3"/>
    <w:rsid w:val="26AB6E49"/>
    <w:rsid w:val="26F62F37"/>
    <w:rsid w:val="27CB43C4"/>
    <w:rsid w:val="27CC1F07"/>
    <w:rsid w:val="27D069D9"/>
    <w:rsid w:val="281C077C"/>
    <w:rsid w:val="28333D17"/>
    <w:rsid w:val="28464FBC"/>
    <w:rsid w:val="286D547B"/>
    <w:rsid w:val="28D9041B"/>
    <w:rsid w:val="28F67848"/>
    <w:rsid w:val="28FC5481"/>
    <w:rsid w:val="29307929"/>
    <w:rsid w:val="29347D47"/>
    <w:rsid w:val="29530B49"/>
    <w:rsid w:val="29626662"/>
    <w:rsid w:val="29AE760B"/>
    <w:rsid w:val="29D41792"/>
    <w:rsid w:val="2A0E24AC"/>
    <w:rsid w:val="2A696405"/>
    <w:rsid w:val="2ACC0F01"/>
    <w:rsid w:val="2ACE236A"/>
    <w:rsid w:val="2AE404E8"/>
    <w:rsid w:val="2B3E0CAA"/>
    <w:rsid w:val="2B6C2396"/>
    <w:rsid w:val="2BB2001D"/>
    <w:rsid w:val="2BD63538"/>
    <w:rsid w:val="2C4E2ECE"/>
    <w:rsid w:val="2C523E1D"/>
    <w:rsid w:val="2C55725C"/>
    <w:rsid w:val="2C9034E6"/>
    <w:rsid w:val="2CE90E48"/>
    <w:rsid w:val="2D0D57F7"/>
    <w:rsid w:val="2DA76D39"/>
    <w:rsid w:val="2DAB452F"/>
    <w:rsid w:val="2E472215"/>
    <w:rsid w:val="2E4D3EBF"/>
    <w:rsid w:val="2E692522"/>
    <w:rsid w:val="2EC20DA6"/>
    <w:rsid w:val="2F096962"/>
    <w:rsid w:val="2F246399"/>
    <w:rsid w:val="2F34284F"/>
    <w:rsid w:val="2F9B3469"/>
    <w:rsid w:val="2FDD2EE6"/>
    <w:rsid w:val="2FE926DF"/>
    <w:rsid w:val="2FF95A9E"/>
    <w:rsid w:val="30532EAF"/>
    <w:rsid w:val="30CE282F"/>
    <w:rsid w:val="312E32CE"/>
    <w:rsid w:val="313A0968"/>
    <w:rsid w:val="313E2056"/>
    <w:rsid w:val="31832ADA"/>
    <w:rsid w:val="31857392"/>
    <w:rsid w:val="31D00748"/>
    <w:rsid w:val="32EF7D87"/>
    <w:rsid w:val="32F92202"/>
    <w:rsid w:val="33492641"/>
    <w:rsid w:val="334E4BFF"/>
    <w:rsid w:val="33B44C4C"/>
    <w:rsid w:val="33E97FDA"/>
    <w:rsid w:val="342B2035"/>
    <w:rsid w:val="343B12F4"/>
    <w:rsid w:val="345117AD"/>
    <w:rsid w:val="3471176D"/>
    <w:rsid w:val="348778C5"/>
    <w:rsid w:val="34EC3BCC"/>
    <w:rsid w:val="34F30AB6"/>
    <w:rsid w:val="34FA4DCB"/>
    <w:rsid w:val="3515678B"/>
    <w:rsid w:val="3566572C"/>
    <w:rsid w:val="35B91C13"/>
    <w:rsid w:val="366E28DA"/>
    <w:rsid w:val="36AA0C4C"/>
    <w:rsid w:val="36D056D3"/>
    <w:rsid w:val="373F7FE3"/>
    <w:rsid w:val="37B752C7"/>
    <w:rsid w:val="38C14EBF"/>
    <w:rsid w:val="38E52F8A"/>
    <w:rsid w:val="3902723E"/>
    <w:rsid w:val="39085AAF"/>
    <w:rsid w:val="393022D9"/>
    <w:rsid w:val="39564EA1"/>
    <w:rsid w:val="39BA1BA2"/>
    <w:rsid w:val="39F257E0"/>
    <w:rsid w:val="3A1856D1"/>
    <w:rsid w:val="3A960861"/>
    <w:rsid w:val="3AE570F3"/>
    <w:rsid w:val="3B450FDD"/>
    <w:rsid w:val="3B957959"/>
    <w:rsid w:val="3BD57167"/>
    <w:rsid w:val="3BEE1FD7"/>
    <w:rsid w:val="3C2E0626"/>
    <w:rsid w:val="3CB11EC5"/>
    <w:rsid w:val="3CBB2756"/>
    <w:rsid w:val="3CEA09F1"/>
    <w:rsid w:val="3D54230E"/>
    <w:rsid w:val="3D7529B0"/>
    <w:rsid w:val="3D9B618F"/>
    <w:rsid w:val="3DA2751D"/>
    <w:rsid w:val="3DB94FED"/>
    <w:rsid w:val="3DF82AE5"/>
    <w:rsid w:val="3E2148E6"/>
    <w:rsid w:val="3E642A25"/>
    <w:rsid w:val="3E8C23FD"/>
    <w:rsid w:val="3EA11741"/>
    <w:rsid w:val="3EA97CED"/>
    <w:rsid w:val="3F001CAA"/>
    <w:rsid w:val="3F124EAB"/>
    <w:rsid w:val="3F7647BE"/>
    <w:rsid w:val="3FB80293"/>
    <w:rsid w:val="400767A6"/>
    <w:rsid w:val="40691F8D"/>
    <w:rsid w:val="40774DD8"/>
    <w:rsid w:val="407840DC"/>
    <w:rsid w:val="40A315E2"/>
    <w:rsid w:val="413E190B"/>
    <w:rsid w:val="41650162"/>
    <w:rsid w:val="417248CA"/>
    <w:rsid w:val="41BE083E"/>
    <w:rsid w:val="41E61458"/>
    <w:rsid w:val="42100EF9"/>
    <w:rsid w:val="426B25D4"/>
    <w:rsid w:val="42725710"/>
    <w:rsid w:val="42A67168"/>
    <w:rsid w:val="42F425C9"/>
    <w:rsid w:val="42F619A1"/>
    <w:rsid w:val="434707CB"/>
    <w:rsid w:val="43790D20"/>
    <w:rsid w:val="441D3578"/>
    <w:rsid w:val="4445022F"/>
    <w:rsid w:val="44936C99"/>
    <w:rsid w:val="44C07E04"/>
    <w:rsid w:val="44E67CEF"/>
    <w:rsid w:val="44F82370"/>
    <w:rsid w:val="45DB537A"/>
    <w:rsid w:val="460051FC"/>
    <w:rsid w:val="460A5C60"/>
    <w:rsid w:val="46902609"/>
    <w:rsid w:val="46C13BF4"/>
    <w:rsid w:val="46D805B0"/>
    <w:rsid w:val="47037F13"/>
    <w:rsid w:val="47272C2E"/>
    <w:rsid w:val="474960BD"/>
    <w:rsid w:val="474B6444"/>
    <w:rsid w:val="47702828"/>
    <w:rsid w:val="477E4B57"/>
    <w:rsid w:val="47F92430"/>
    <w:rsid w:val="48100008"/>
    <w:rsid w:val="484A2C8B"/>
    <w:rsid w:val="484D62D8"/>
    <w:rsid w:val="48823637"/>
    <w:rsid w:val="489D02F4"/>
    <w:rsid w:val="48A00AFD"/>
    <w:rsid w:val="48D06360"/>
    <w:rsid w:val="496B110B"/>
    <w:rsid w:val="499046E6"/>
    <w:rsid w:val="49B74350"/>
    <w:rsid w:val="49EC0C7F"/>
    <w:rsid w:val="4A9F72BE"/>
    <w:rsid w:val="4AF018C8"/>
    <w:rsid w:val="4AF11561"/>
    <w:rsid w:val="4B102092"/>
    <w:rsid w:val="4C143394"/>
    <w:rsid w:val="4C2256E2"/>
    <w:rsid w:val="4C26756B"/>
    <w:rsid w:val="4C357369"/>
    <w:rsid w:val="4C6D6F48"/>
    <w:rsid w:val="4C9269AF"/>
    <w:rsid w:val="4CBA4888"/>
    <w:rsid w:val="4D663C6F"/>
    <w:rsid w:val="4D6C47BC"/>
    <w:rsid w:val="4D704F42"/>
    <w:rsid w:val="4D815155"/>
    <w:rsid w:val="4D840C76"/>
    <w:rsid w:val="4D891B60"/>
    <w:rsid w:val="4DA21A36"/>
    <w:rsid w:val="4E0F20C4"/>
    <w:rsid w:val="4E143B1F"/>
    <w:rsid w:val="4EB757CD"/>
    <w:rsid w:val="4ED1046E"/>
    <w:rsid w:val="4F3D0455"/>
    <w:rsid w:val="4F442AD8"/>
    <w:rsid w:val="4F585C8E"/>
    <w:rsid w:val="4FF77255"/>
    <w:rsid w:val="50233ECA"/>
    <w:rsid w:val="504B642D"/>
    <w:rsid w:val="50575F45"/>
    <w:rsid w:val="505B58B3"/>
    <w:rsid w:val="50737B8A"/>
    <w:rsid w:val="50B32548"/>
    <w:rsid w:val="50BE0071"/>
    <w:rsid w:val="50F11EF6"/>
    <w:rsid w:val="510D44A6"/>
    <w:rsid w:val="510D4E43"/>
    <w:rsid w:val="51506A89"/>
    <w:rsid w:val="521E31BF"/>
    <w:rsid w:val="522A0AB1"/>
    <w:rsid w:val="522B3249"/>
    <w:rsid w:val="52580356"/>
    <w:rsid w:val="527773DB"/>
    <w:rsid w:val="52944346"/>
    <w:rsid w:val="53426A39"/>
    <w:rsid w:val="534E2297"/>
    <w:rsid w:val="53666E10"/>
    <w:rsid w:val="53807A7F"/>
    <w:rsid w:val="5394300C"/>
    <w:rsid w:val="53BC3CD1"/>
    <w:rsid w:val="53D30E74"/>
    <w:rsid w:val="53DB7E8B"/>
    <w:rsid w:val="53F1220D"/>
    <w:rsid w:val="53F35FE1"/>
    <w:rsid w:val="542D4FD0"/>
    <w:rsid w:val="54EB1352"/>
    <w:rsid w:val="5515009D"/>
    <w:rsid w:val="555D5DAC"/>
    <w:rsid w:val="556C529C"/>
    <w:rsid w:val="55AA2FBB"/>
    <w:rsid w:val="56312D8A"/>
    <w:rsid w:val="569021B1"/>
    <w:rsid w:val="56B75990"/>
    <w:rsid w:val="56EF512A"/>
    <w:rsid w:val="57B00695"/>
    <w:rsid w:val="57C00874"/>
    <w:rsid w:val="58296419"/>
    <w:rsid w:val="582A0549"/>
    <w:rsid w:val="587872CD"/>
    <w:rsid w:val="58925269"/>
    <w:rsid w:val="589B06AD"/>
    <w:rsid w:val="58B008E9"/>
    <w:rsid w:val="58CA2D21"/>
    <w:rsid w:val="59475E2E"/>
    <w:rsid w:val="59642E7A"/>
    <w:rsid w:val="59C06909"/>
    <w:rsid w:val="5A7A402C"/>
    <w:rsid w:val="5AD05272"/>
    <w:rsid w:val="5AE40D1D"/>
    <w:rsid w:val="5BA904C1"/>
    <w:rsid w:val="5BC012FE"/>
    <w:rsid w:val="5C007491"/>
    <w:rsid w:val="5C0C22DA"/>
    <w:rsid w:val="5C24160F"/>
    <w:rsid w:val="5C284296"/>
    <w:rsid w:val="5C2A7BF5"/>
    <w:rsid w:val="5C417304"/>
    <w:rsid w:val="5C6A0DAE"/>
    <w:rsid w:val="5CA05217"/>
    <w:rsid w:val="5CAE513F"/>
    <w:rsid w:val="5CBC5AAE"/>
    <w:rsid w:val="5CFE570E"/>
    <w:rsid w:val="5D395350"/>
    <w:rsid w:val="5D4E54F2"/>
    <w:rsid w:val="5D5F410C"/>
    <w:rsid w:val="5DFE5C52"/>
    <w:rsid w:val="5E1B4A56"/>
    <w:rsid w:val="5EAE7678"/>
    <w:rsid w:val="5EFD78B9"/>
    <w:rsid w:val="5F560AB6"/>
    <w:rsid w:val="60365498"/>
    <w:rsid w:val="60795A64"/>
    <w:rsid w:val="607F642D"/>
    <w:rsid w:val="609D5BF6"/>
    <w:rsid w:val="60A01243"/>
    <w:rsid w:val="60E77D4E"/>
    <w:rsid w:val="610F4808"/>
    <w:rsid w:val="61386D9A"/>
    <w:rsid w:val="6185660D"/>
    <w:rsid w:val="619E1C26"/>
    <w:rsid w:val="61BD2EDF"/>
    <w:rsid w:val="61C810D6"/>
    <w:rsid w:val="62364D6E"/>
    <w:rsid w:val="624E6D01"/>
    <w:rsid w:val="625E1759"/>
    <w:rsid w:val="62A414BE"/>
    <w:rsid w:val="62A80882"/>
    <w:rsid w:val="62DA4D93"/>
    <w:rsid w:val="6306758F"/>
    <w:rsid w:val="63497970"/>
    <w:rsid w:val="6367429A"/>
    <w:rsid w:val="63861052"/>
    <w:rsid w:val="63B3128D"/>
    <w:rsid w:val="63C94F54"/>
    <w:rsid w:val="63CE4319"/>
    <w:rsid w:val="63D70ADA"/>
    <w:rsid w:val="640A35A3"/>
    <w:rsid w:val="644F0FB6"/>
    <w:rsid w:val="64B05BB8"/>
    <w:rsid w:val="64D4595F"/>
    <w:rsid w:val="64E536C8"/>
    <w:rsid w:val="650F2ECF"/>
    <w:rsid w:val="65160870"/>
    <w:rsid w:val="651F1CCC"/>
    <w:rsid w:val="654725D5"/>
    <w:rsid w:val="657602A8"/>
    <w:rsid w:val="65D2735B"/>
    <w:rsid w:val="65EA16FC"/>
    <w:rsid w:val="65F75344"/>
    <w:rsid w:val="66143F2D"/>
    <w:rsid w:val="66A81DDC"/>
    <w:rsid w:val="67FE791A"/>
    <w:rsid w:val="684943C5"/>
    <w:rsid w:val="69164D01"/>
    <w:rsid w:val="698F2F63"/>
    <w:rsid w:val="69E40800"/>
    <w:rsid w:val="69ED7D45"/>
    <w:rsid w:val="69F41BF9"/>
    <w:rsid w:val="6A4C5F97"/>
    <w:rsid w:val="6A4F6A08"/>
    <w:rsid w:val="6A8120E5"/>
    <w:rsid w:val="6ABA6FAB"/>
    <w:rsid w:val="6ABF49BB"/>
    <w:rsid w:val="6B1B6375"/>
    <w:rsid w:val="6BC80066"/>
    <w:rsid w:val="6C3A51A8"/>
    <w:rsid w:val="6C5522D9"/>
    <w:rsid w:val="6C8B5D7C"/>
    <w:rsid w:val="6CEB3999"/>
    <w:rsid w:val="6D303E85"/>
    <w:rsid w:val="6D8A12B0"/>
    <w:rsid w:val="6DAC56CB"/>
    <w:rsid w:val="6DC61E74"/>
    <w:rsid w:val="6DCD1AD1"/>
    <w:rsid w:val="6DEE254B"/>
    <w:rsid w:val="6E1868BC"/>
    <w:rsid w:val="6E2C5246"/>
    <w:rsid w:val="6E4C1BC5"/>
    <w:rsid w:val="6E53659A"/>
    <w:rsid w:val="6E5A1C34"/>
    <w:rsid w:val="6EBE04E3"/>
    <w:rsid w:val="6F1276DA"/>
    <w:rsid w:val="6F141779"/>
    <w:rsid w:val="6F863CF9"/>
    <w:rsid w:val="6FB645DF"/>
    <w:rsid w:val="6FF31CD8"/>
    <w:rsid w:val="70205EFC"/>
    <w:rsid w:val="708244C1"/>
    <w:rsid w:val="70833CB3"/>
    <w:rsid w:val="70F2414E"/>
    <w:rsid w:val="71680A29"/>
    <w:rsid w:val="717A268E"/>
    <w:rsid w:val="71BD33D9"/>
    <w:rsid w:val="71D86008"/>
    <w:rsid w:val="71E52F59"/>
    <w:rsid w:val="72053AAD"/>
    <w:rsid w:val="72A20E4A"/>
    <w:rsid w:val="72A60FFC"/>
    <w:rsid w:val="72B0138C"/>
    <w:rsid w:val="72C07522"/>
    <w:rsid w:val="73076EFF"/>
    <w:rsid w:val="738E6C44"/>
    <w:rsid w:val="739169EA"/>
    <w:rsid w:val="73C01C94"/>
    <w:rsid w:val="74144A10"/>
    <w:rsid w:val="747F1A59"/>
    <w:rsid w:val="7482110A"/>
    <w:rsid w:val="74D85E71"/>
    <w:rsid w:val="75303118"/>
    <w:rsid w:val="755D1D1A"/>
    <w:rsid w:val="75FE7176"/>
    <w:rsid w:val="762B7A77"/>
    <w:rsid w:val="76424860"/>
    <w:rsid w:val="76854D0B"/>
    <w:rsid w:val="76A742FA"/>
    <w:rsid w:val="76BB7C94"/>
    <w:rsid w:val="76DB24AC"/>
    <w:rsid w:val="771B11CB"/>
    <w:rsid w:val="778F7F86"/>
    <w:rsid w:val="783713C7"/>
    <w:rsid w:val="788A03B6"/>
    <w:rsid w:val="78936C2A"/>
    <w:rsid w:val="78A931D7"/>
    <w:rsid w:val="79154319"/>
    <w:rsid w:val="79A669E4"/>
    <w:rsid w:val="79FA59BA"/>
    <w:rsid w:val="7A170370"/>
    <w:rsid w:val="7A1E34AC"/>
    <w:rsid w:val="7A524D90"/>
    <w:rsid w:val="7A8C2B0C"/>
    <w:rsid w:val="7AC12C06"/>
    <w:rsid w:val="7B18439F"/>
    <w:rsid w:val="7B296B86"/>
    <w:rsid w:val="7B8B2DC3"/>
    <w:rsid w:val="7BDA3403"/>
    <w:rsid w:val="7BEC5E9A"/>
    <w:rsid w:val="7C294F47"/>
    <w:rsid w:val="7C3D69B5"/>
    <w:rsid w:val="7C4116D4"/>
    <w:rsid w:val="7C6E0A91"/>
    <w:rsid w:val="7CEA389D"/>
    <w:rsid w:val="7D470F6C"/>
    <w:rsid w:val="7D515947"/>
    <w:rsid w:val="7D5414A6"/>
    <w:rsid w:val="7D7004C3"/>
    <w:rsid w:val="7D853842"/>
    <w:rsid w:val="7DB67EA0"/>
    <w:rsid w:val="7DC73E5B"/>
    <w:rsid w:val="7E013DEC"/>
    <w:rsid w:val="7E59782B"/>
    <w:rsid w:val="7E5E55FB"/>
    <w:rsid w:val="7EBA18B0"/>
    <w:rsid w:val="7F0D7F93"/>
    <w:rsid w:val="7F231565"/>
    <w:rsid w:val="7F2C0419"/>
    <w:rsid w:val="7F867E6A"/>
    <w:rsid w:val="7FD562CA"/>
    <w:rsid w:val="7FFB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Calibri" w:hAnsi="Calibri"/>
      <w:szCs w:val="21"/>
    </w:rPr>
  </w:style>
  <w:style w:type="paragraph" w:styleId="4">
    <w:name w:val="Body Text"/>
    <w:basedOn w:val="1"/>
    <w:qFormat/>
    <w:uiPriority w:val="0"/>
    <w:pPr>
      <w:spacing w:after="120" w:line="560" w:lineRule="exact"/>
    </w:pPr>
    <w:rPr>
      <w:rFonts w:eastAsia="仿宋_GB2312"/>
      <w:sz w:val="32"/>
      <w:szCs w:val="22"/>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Body Text First Indent"/>
    <w:basedOn w:val="4"/>
    <w:qFormat/>
    <w:uiPriority w:val="0"/>
    <w:pPr>
      <w:ind w:firstLine="880" w:firstLineChars="200"/>
    </w:pPr>
    <w:rPr>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标题 2 Char"/>
    <w:basedOn w:val="11"/>
    <w:link w:val="2"/>
    <w:semiHidden/>
    <w:qFormat/>
    <w:uiPriority w:val="9"/>
    <w:rPr>
      <w:rFonts w:asciiTheme="majorHAnsi" w:hAnsiTheme="majorHAnsi" w:eastAsiaTheme="majorEastAsia" w:cstheme="majorBidi"/>
      <w:b/>
      <w:bCs/>
      <w:sz w:val="32"/>
      <w:szCs w:val="32"/>
    </w:rPr>
  </w:style>
  <w:style w:type="character" w:customStyle="1" w:styleId="17">
    <w:name w:val="NormalCharacter"/>
    <w:qFormat/>
    <w:uiPriority w:val="0"/>
    <w:rPr>
      <w:rFonts w:hint="default" w:ascii="Calibri" w:hAnsi="Calibri" w:eastAsia="宋体"/>
    </w:rPr>
  </w:style>
  <w:style w:type="paragraph" w:customStyle="1" w:styleId="18">
    <w:name w:val="d正文"/>
    <w:basedOn w:val="19"/>
    <w:autoRedefine/>
    <w:qFormat/>
    <w:uiPriority w:val="0"/>
    <w:pPr>
      <w:ind w:firstLine="200"/>
      <w:jc w:val="both"/>
    </w:pPr>
    <w:rPr>
      <w:szCs w:val="32"/>
    </w:rPr>
  </w:style>
  <w:style w:type="paragraph" w:customStyle="1" w:styleId="19">
    <w:name w:val="d抬头"/>
    <w:basedOn w:val="20"/>
    <w:autoRedefine/>
    <w:qFormat/>
    <w:uiPriority w:val="0"/>
    <w:pPr>
      <w:jc w:val="left"/>
    </w:pPr>
    <w:rPr>
      <w:rFonts w:eastAsia="仿宋_GB2312"/>
      <w:b w:val="0"/>
      <w:sz w:val="32"/>
    </w:rPr>
  </w:style>
  <w:style w:type="paragraph" w:customStyle="1" w:styleId="20">
    <w:name w:val="d标题"/>
    <w:basedOn w:val="1"/>
    <w:autoRedefine/>
    <w:qFormat/>
    <w:uiPriority w:val="0"/>
    <w:pPr>
      <w:jc w:val="center"/>
    </w:pPr>
    <w:rPr>
      <w:rFonts w:cs="宋体"/>
      <w:b/>
      <w:color w:val="000000"/>
      <w:kern w:val="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4352</Words>
  <Characters>4445</Characters>
  <Lines>39</Lines>
  <Paragraphs>11</Paragraphs>
  <TotalTime>1</TotalTime>
  <ScaleCrop>false</ScaleCrop>
  <LinksUpToDate>false</LinksUpToDate>
  <CharactersWithSpaces>4495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2026-01-27T08:24:00Z</dcterms:created>
  <dc:creator>user</dc:creator>
  <cp:lastModifiedBy>青鸟</cp:lastModifiedBy>
  <cp:lastPrinted>2026-05-11T07:56:00Z</cp:lastPrinted>
  <dcterms:modified xsi:type="dcterms:W3CDTF">2026-05-27T07:09:20Z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F7893A8E55EA48BBB131CEEE6F03FE71_13</vt:lpwstr>
  </property>
  <property fmtid="{D5CDD505-2E9C-101B-9397-08002B2CF9AE}" pid="4" name="KSOTemplateDocerSaveRecord">
    <vt:lpwstr>eyJoZGlkIjoiZDRmMWE0MzBlMGZjN2RmNzU3NWEwNzZiM2U2YmM5ZWYiLCJ1c2VySWQiOiIzMjc0OTA0NjkifQ==</vt:lpwstr>
  </property>
</Properties>
</file>