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keepNext/>
        <w:keepLines/>
        <w:spacing w:line="560" w:lineRule="exact"/>
        <w:jc w:val="center"/>
        <w:outlineLvl w:val="1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土地入库标准</w:t>
      </w:r>
      <w:bookmarkEnd w:id="0"/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一、入库要求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纳入土地储备库的土地,</w:t>
      </w:r>
      <w:r>
        <w:rPr>
          <w:rFonts w:ascii="仿宋_GB2312" w:hAnsi="仿宋_GB2312" w:eastAsia="仿宋_GB2312" w:cs="仿宋_GB2312"/>
          <w:sz w:val="32"/>
          <w:szCs w:val="32"/>
        </w:rPr>
        <w:t>应为符合国土空间规划的国有建设用地,且产权清晰、无争议,如存在污染、文物遗存、矿产压覆、洪涝隐患、地质灾害风险等情况,应当按规定完成核查、评估、治理后,方可入库。土地储备项目内部分土地达到入库条件的,可以视情况分期办理土地入库手续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二、地块状态（净地标准）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拟入库地块完成场地平整（保持原始地形地貌），场地内无建（构）筑物（经批准保留的除外）、农作物、经济作物、渣土、建筑垃圾、生活垃圾和杂草、树木等，在园林部门登记的树木要有明确处置意见，地面铺设密目网或进行绿化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2.拟入库地块要明确场地内现有电力、通讯、供水、排水、燃气、输油、供暖、人防工程、军事等设施情况，各类设施原则上均需迁移完毕后入库，不迁移的要由责任单位进行情况说明。 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三、地块界址及封闭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1.四至范围清楚，界址点清晰，与定界地形图保持一致。界址点原则上采用木桩、石桩或金属桩标注，界址点上部采用红色油漆喷绘。遇围墙占压或坚固地面时，可采用红色油漆注明。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2.被征收单位按规划红线确定的四至范围，按照《青岛市房屋建筑工地围挡专项提升工作方案》建设装配式或仿真绿色草皮围挡，高度不低于3米，按要求张贴公益性广告。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四、其他要求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1.原土地权利人须按规定进行</w:t>
      </w:r>
      <w:r>
        <w:rPr>
          <w:rFonts w:hint="eastAsia" w:ascii="仿宋_GB2312" w:eastAsia="仿宋_GB2312"/>
          <w:sz w:val="32"/>
          <w:szCs w:val="32"/>
        </w:rPr>
        <w:t>土壤污</w:t>
      </w:r>
      <w:r>
        <w:rPr>
          <w:rFonts w:hint="eastAsia" w:ascii="仿宋_GB2312" w:hAnsi="仿宋_GB2312" w:eastAsia="仿宋_GB2312" w:cs="仿宋_GB2312"/>
          <w:sz w:val="32"/>
          <w:szCs w:val="32"/>
        </w:rPr>
        <w:t>染状况调查。涉及污染的，需完成治理修复并符合相关标准方可入库（移出土壤</w:t>
      </w:r>
      <w:r>
        <w:rPr>
          <w:rFonts w:hint="eastAsia" w:ascii="仿宋_GB2312" w:eastAsia="仿宋_GB2312"/>
          <w:sz w:val="32"/>
          <w:szCs w:val="32"/>
        </w:rPr>
        <w:t>建设用地土壤污染风险管控和修复名录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2.历史城区范围内或占地2万平方米以上的用地，原土地权利人要开展国有建设用地考古调查、勘探，取得文物保护主管部门意见后方可入库。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3.存在洪涝隐患、地质灾害的储备土地，按规定由相关单位完成核查、评估和治理后方可入库。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4.根据规划条件用地范围须完成宗地测绘，明晰地块内权属情况，测绘图纸要准确反映用地界线、场地内现状情况等。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BD7D243"/>
    <w:rsid w:val="ABD7D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2024-02-06T09:50:00Z</dcterms:created>
  <dc:creator>user</dc:creator>
  <cp:lastModifiedBy>user</cp:lastModifiedBy>
  <dcterms:modified xsi:type="dcterms:W3CDTF">2024-02-06T09:51:21Z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