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黑体" w:hAnsi="黑体" w:eastAsia="黑体" w:cs="黑体"/>
          <w:sz w:val="32"/>
          <w:szCs w:val="32"/>
        </w:rPr>
      </w:pPr>
      <w:r>
        <w:rPr>
          <w:rFonts w:hint="eastAsia" w:ascii="黑体" w:hAnsi="黑体" w:eastAsia="黑体" w:cs="黑体"/>
          <w:sz w:val="32"/>
          <w:szCs w:val="32"/>
        </w:rPr>
        <w:t>附件3</w:t>
      </w:r>
    </w:p>
    <w:p>
      <w:pPr>
        <w:spacing w:line="560" w:lineRule="exact"/>
        <w:jc w:val="center"/>
        <w:rPr>
          <w:rFonts w:ascii="方正小标宋_GBK" w:hAnsi="方正小标宋_GBK" w:eastAsia="方正小标宋_GBK" w:cs="方正小标宋_GBK"/>
          <w:strike/>
          <w:sz w:val="44"/>
          <w:szCs w:val="44"/>
        </w:rPr>
      </w:pPr>
      <w:bookmarkStart w:id="0" w:name="_GoBack"/>
      <w:r>
        <w:rPr>
          <w:rFonts w:hint="eastAsia" w:ascii="方正小标宋_GBK" w:hAnsi="方正小标宋_GBK" w:eastAsia="方正小标宋_GBK" w:cs="方正小标宋_GBK"/>
          <w:sz w:val="44"/>
          <w:szCs w:val="44"/>
        </w:rPr>
        <w:t>片区收储补偿测算技术路线</w:t>
      </w:r>
      <w:bookmarkEnd w:id="0"/>
    </w:p>
    <w:p>
      <w:pPr>
        <w:pStyle w:val="5"/>
        <w:snapToGrid w:val="0"/>
        <w:spacing w:line="560" w:lineRule="exact"/>
        <w:ind w:firstLine="640"/>
        <w:rPr>
          <w:rFonts w:ascii="仿宋_GB2312" w:hAnsi="仿宋_GB2312" w:cs="仿宋_GB2312"/>
        </w:rPr>
      </w:pPr>
    </w:p>
    <w:p>
      <w:pPr>
        <w:pStyle w:val="5"/>
        <w:snapToGrid w:val="0"/>
        <w:spacing w:line="560" w:lineRule="exact"/>
        <w:ind w:firstLine="640"/>
        <w:rPr>
          <w:rFonts w:ascii="仿宋_GB2312" w:hAnsi="仿宋_GB2312" w:cs="仿宋_GB2312"/>
        </w:rPr>
      </w:pPr>
      <w:r>
        <w:rPr>
          <w:rFonts w:hint="eastAsia" w:ascii="仿宋_GB2312" w:hAnsi="仿宋_GB2312" w:cs="仿宋_GB2312"/>
        </w:rPr>
        <w:t>根据《青岛市国有土地收储补偿实施办法》，国有土地收储补偿方式包括片区收储补偿和现状收储补偿（即青政发〔2021〕20号文件所述“单宗土地收储补偿”）。片区收储补偿按照片区综合地价、储备项目指导价、宗地收储补偿三级测算方式实施，有关技术路线如下。</w:t>
      </w:r>
    </w:p>
    <w:p>
      <w:pPr>
        <w:pStyle w:val="5"/>
        <w:snapToGrid w:val="0"/>
        <w:spacing w:line="560" w:lineRule="exact"/>
        <w:ind w:firstLine="640"/>
        <w:rPr>
          <w:rFonts w:ascii="黑体" w:hAnsi="黑体" w:eastAsia="黑体" w:cs="黑体"/>
        </w:rPr>
      </w:pPr>
      <w:r>
        <w:rPr>
          <w:rFonts w:hint="eastAsia" w:ascii="黑体" w:hAnsi="黑体" w:eastAsia="黑体" w:cs="黑体"/>
        </w:rPr>
        <w:t>一、片区综合地价测算</w:t>
      </w:r>
    </w:p>
    <w:p>
      <w:pPr>
        <w:pStyle w:val="2"/>
        <w:tabs>
          <w:tab w:val="left" w:pos="558"/>
        </w:tabs>
        <w:spacing w:line="560" w:lineRule="exact"/>
        <w:ind w:firstLine="640" w:firstLineChars="200"/>
        <w:jc w:val="left"/>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（一）测算公式</w:t>
      </w:r>
    </w:p>
    <w:p>
      <w:pPr>
        <w:pStyle w:val="5"/>
        <w:snapToGrid w:val="0"/>
        <w:spacing w:line="560" w:lineRule="exact"/>
        <w:ind w:firstLine="640"/>
        <w:rPr>
          <w:rFonts w:ascii="仿宋_GB2312" w:hAnsi="仿宋_GB2312" w:cs="仿宋_GB2312"/>
        </w:rPr>
      </w:pPr>
      <w:r>
        <w:rPr>
          <w:rFonts w:hint="eastAsia" w:ascii="仿宋_GB2312" w:hAnsi="仿宋_GB2312" w:cs="仿宋_GB2312"/>
        </w:rPr>
        <w:t>片区综合地价（P</w:t>
      </w:r>
      <w:r>
        <w:rPr>
          <w:rFonts w:hint="eastAsia" w:ascii="仿宋_GB2312" w:hAnsi="仿宋_GB2312" w:cs="仿宋_GB2312"/>
          <w:vertAlign w:val="subscript"/>
        </w:rPr>
        <w:t>片区</w:t>
      </w:r>
      <w:r>
        <w:rPr>
          <w:rFonts w:hint="eastAsia" w:ascii="仿宋_GB2312" w:hAnsi="仿宋_GB2312" w:cs="仿宋_GB2312"/>
        </w:rPr>
        <w:t>）=片区平均地价×50%</w:t>
      </w:r>
    </w:p>
    <w:p>
      <w:pPr>
        <w:pStyle w:val="5"/>
        <w:snapToGrid w:val="0"/>
        <w:spacing w:line="560" w:lineRule="exact"/>
        <w:ind w:firstLine="640"/>
        <w:rPr>
          <w:rFonts w:ascii="仿宋_GB2312" w:hAnsi="仿宋_GB2312" w:cs="仿宋_GB2312"/>
        </w:rPr>
      </w:pPr>
      <w:r>
        <w:rPr>
          <w:rFonts w:hint="eastAsia" w:ascii="仿宋_GB2312" w:hAnsi="仿宋_GB2312" w:cs="仿宋_GB2312"/>
        </w:rPr>
        <w:t>片区平均地价=片区土地总价÷片区土地面积</w:t>
      </w:r>
    </w:p>
    <w:p>
      <w:pPr>
        <w:pStyle w:val="2"/>
        <w:tabs>
          <w:tab w:val="left" w:pos="558"/>
        </w:tabs>
        <w:spacing w:line="560" w:lineRule="exact"/>
        <w:ind w:firstLine="640" w:firstLineChars="200"/>
        <w:jc w:val="left"/>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（二）测算要求</w:t>
      </w:r>
    </w:p>
    <w:p>
      <w:pPr>
        <w:pStyle w:val="5"/>
        <w:snapToGrid w:val="0"/>
        <w:spacing w:line="560" w:lineRule="exact"/>
        <w:ind w:firstLine="640"/>
        <w:rPr>
          <w:rFonts w:ascii="仿宋_GB2312" w:hAnsi="仿宋_GB2312" w:cs="仿宋_GB2312"/>
        </w:rPr>
      </w:pPr>
      <w:r>
        <w:rPr>
          <w:rFonts w:hint="eastAsia" w:ascii="仿宋_GB2312" w:hAnsi="仿宋_GB2312" w:cs="仿宋_GB2312"/>
        </w:rPr>
        <w:t>1.基准日：2022年1月1日。</w:t>
      </w:r>
    </w:p>
    <w:p>
      <w:pPr>
        <w:pStyle w:val="5"/>
        <w:snapToGrid w:val="0"/>
        <w:spacing w:line="560" w:lineRule="exact"/>
        <w:ind w:firstLine="640"/>
        <w:rPr>
          <w:rFonts w:ascii="仿宋_GB2312" w:hAnsi="仿宋_GB2312" w:cs="仿宋_GB2312"/>
        </w:rPr>
      </w:pPr>
      <w:r>
        <w:rPr>
          <w:rFonts w:hint="eastAsia" w:ascii="仿宋_GB2312" w:hAnsi="仿宋_GB2312" w:cs="仿宋_GB2312"/>
        </w:rPr>
        <w:t>2.片区土地总价为片区内经营性用地评估地价之和。经营性用地主要包括住宅、商服、工业及产业（M0）等以有偿使用方式供应的土地，其中居住、商业用地等混合用地按备注比例进行拆分或以主要用途作为设定用途。</w:t>
      </w:r>
    </w:p>
    <w:p>
      <w:pPr>
        <w:pStyle w:val="5"/>
        <w:snapToGrid w:val="0"/>
        <w:spacing w:line="560" w:lineRule="exact"/>
        <w:ind w:firstLine="640"/>
        <w:rPr>
          <w:rFonts w:ascii="仿宋_GB2312" w:hAnsi="仿宋_GB2312" w:cs="仿宋_GB2312"/>
        </w:rPr>
      </w:pPr>
      <w:r>
        <w:rPr>
          <w:rFonts w:hint="eastAsia" w:ascii="仿宋_GB2312" w:hAnsi="仿宋_GB2312" w:cs="仿宋_GB2312"/>
        </w:rPr>
        <w:t>3.片区土地面积为除水域、林地、湿地、特殊用地等不具备开发建设条件的用地外的土地面积之和。</w:t>
      </w:r>
    </w:p>
    <w:p>
      <w:pPr>
        <w:pStyle w:val="5"/>
        <w:snapToGrid w:val="0"/>
        <w:spacing w:line="560" w:lineRule="exact"/>
        <w:ind w:firstLine="640"/>
        <w:rPr>
          <w:rFonts w:ascii="仿宋_GB2312" w:hAnsi="仿宋_GB2312" w:cs="仿宋_GB2312"/>
        </w:rPr>
      </w:pPr>
      <w:r>
        <w:rPr>
          <w:rFonts w:hint="eastAsia" w:ascii="仿宋_GB2312" w:hAnsi="仿宋_GB2312" w:cs="仿宋_GB2312"/>
        </w:rPr>
        <w:t>4.测算时土地使用年期按各类用地法定出让最高年限确定。</w:t>
      </w:r>
    </w:p>
    <w:p>
      <w:pPr>
        <w:pStyle w:val="5"/>
        <w:snapToGrid w:val="0"/>
        <w:spacing w:line="560" w:lineRule="exact"/>
        <w:ind w:firstLine="640"/>
        <w:rPr>
          <w:rFonts w:ascii="仿宋_GB2312" w:hAnsi="仿宋_GB2312" w:cs="仿宋_GB2312"/>
        </w:rPr>
      </w:pPr>
      <w:r>
        <w:rPr>
          <w:rFonts w:hint="eastAsia" w:ascii="仿宋_GB2312" w:hAnsi="仿宋_GB2312" w:cs="仿宋_GB2312"/>
        </w:rPr>
        <w:t>5.片区内住宅用地占比超过30%的，按30%测算。</w:t>
      </w:r>
    </w:p>
    <w:p>
      <w:pPr>
        <w:pStyle w:val="5"/>
        <w:snapToGrid w:val="0"/>
        <w:spacing w:line="560" w:lineRule="exact"/>
        <w:ind w:firstLine="640"/>
        <w:rPr>
          <w:rFonts w:ascii="仿宋_GB2312" w:hAnsi="仿宋_GB2312" w:cs="仿宋_GB2312"/>
        </w:rPr>
      </w:pPr>
      <w:r>
        <w:rPr>
          <w:rFonts w:hint="eastAsia" w:ascii="仿宋_GB2312" w:hAnsi="仿宋_GB2312" w:cs="仿宋_GB2312"/>
        </w:rPr>
        <w:t>6.经营性用地价格按《土地估价规程》及宗地评估规则进行测算。</w:t>
      </w:r>
    </w:p>
    <w:p>
      <w:pPr>
        <w:pStyle w:val="5"/>
        <w:snapToGrid w:val="0"/>
        <w:spacing w:line="560" w:lineRule="exact"/>
        <w:ind w:firstLine="640"/>
        <w:rPr>
          <w:rFonts w:ascii="黑体" w:hAnsi="黑体" w:eastAsia="黑体" w:cs="黑体"/>
        </w:rPr>
      </w:pPr>
      <w:r>
        <w:rPr>
          <w:rFonts w:hint="eastAsia" w:ascii="黑体" w:hAnsi="黑体" w:eastAsia="黑体" w:cs="黑体"/>
        </w:rPr>
        <w:t>二、储备项目指导价测算</w:t>
      </w:r>
    </w:p>
    <w:p>
      <w:pPr>
        <w:pStyle w:val="2"/>
        <w:tabs>
          <w:tab w:val="left" w:pos="558"/>
        </w:tabs>
        <w:spacing w:line="560" w:lineRule="exact"/>
        <w:ind w:firstLine="640" w:firstLineChars="200"/>
        <w:jc w:val="left"/>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（一）测算公式</w:t>
      </w:r>
    </w:p>
    <w:p>
      <w:pPr>
        <w:pStyle w:val="2"/>
        <w:tabs>
          <w:tab w:val="left" w:pos="558"/>
        </w:tabs>
        <w:spacing w:line="560" w:lineRule="exact"/>
        <w:ind w:firstLine="640" w:firstLineChars="200"/>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储备项目指导价（P</w:t>
      </w:r>
      <w:r>
        <w:rPr>
          <w:rFonts w:hint="eastAsia" w:ascii="仿宋_GB2312" w:hAnsi="仿宋_GB2312" w:eastAsia="仿宋_GB2312" w:cs="仿宋_GB2312"/>
          <w:bCs/>
          <w:kern w:val="0"/>
          <w:sz w:val="32"/>
          <w:szCs w:val="32"/>
          <w:vertAlign w:val="subscript"/>
        </w:rPr>
        <w:t>指导</w:t>
      </w:r>
      <w:r>
        <w:rPr>
          <w:rFonts w:hint="eastAsia" w:ascii="仿宋_GB2312" w:hAnsi="仿宋_GB2312" w:eastAsia="仿宋_GB2312" w:cs="仿宋_GB2312"/>
          <w:bCs/>
          <w:kern w:val="0"/>
          <w:sz w:val="32"/>
          <w:szCs w:val="32"/>
        </w:rPr>
        <w:t>）=片区综合地价（P</w:t>
      </w:r>
      <w:r>
        <w:rPr>
          <w:rFonts w:hint="eastAsia" w:ascii="仿宋_GB2312" w:hAnsi="仿宋_GB2312" w:eastAsia="仿宋_GB2312" w:cs="仿宋_GB2312"/>
          <w:bCs/>
          <w:kern w:val="0"/>
          <w:sz w:val="32"/>
          <w:szCs w:val="32"/>
          <w:vertAlign w:val="subscript"/>
        </w:rPr>
        <w:t>片区</w:t>
      </w:r>
      <w:r>
        <w:rPr>
          <w:rFonts w:hint="eastAsia" w:ascii="仿宋_GB2312" w:hAnsi="仿宋_GB2312" w:eastAsia="仿宋_GB2312" w:cs="仿宋_GB2312"/>
          <w:bCs/>
          <w:kern w:val="0"/>
          <w:sz w:val="32"/>
          <w:szCs w:val="32"/>
        </w:rPr>
        <w:t>）</w:t>
      </w:r>
      <w:r>
        <w:rPr>
          <w:rFonts w:hint="eastAsia" w:ascii="仿宋_GB2312" w:hAnsi="仿宋_GB2312" w:eastAsia="仿宋_GB2312" w:cs="仿宋_GB2312"/>
          <w:sz w:val="32"/>
          <w:szCs w:val="32"/>
        </w:rPr>
        <w:t>×</w:t>
      </w:r>
      <w:r>
        <w:rPr>
          <w:rStyle w:val="6"/>
          <w:rFonts w:hint="eastAsia" w:ascii="仿宋_GB2312" w:hAnsi="仿宋_GB2312" w:eastAsia="仿宋_GB2312" w:cs="仿宋_GB2312"/>
          <w:sz w:val="32"/>
          <w:szCs w:val="32"/>
        </w:rPr>
        <w:t>期日修正系数</w:t>
      </w:r>
      <w:r>
        <w:rPr>
          <w:rFonts w:hint="eastAsia" w:ascii="仿宋_GB2312" w:hAnsi="仿宋_GB2312" w:eastAsia="仿宋_GB2312" w:cs="仿宋_GB2312"/>
          <w:bCs/>
          <w:kern w:val="0"/>
          <w:sz w:val="32"/>
          <w:szCs w:val="32"/>
        </w:rPr>
        <w:t>×（1+区位修正系数）</w:t>
      </w:r>
    </w:p>
    <w:p>
      <w:pPr>
        <w:pStyle w:val="2"/>
        <w:tabs>
          <w:tab w:val="left" w:pos="558"/>
        </w:tabs>
        <w:spacing w:line="560" w:lineRule="exact"/>
        <w:ind w:firstLine="640" w:firstLineChars="200"/>
        <w:jc w:val="left"/>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（二）区位修正系数</w:t>
      </w:r>
    </w:p>
    <w:p>
      <w:pPr>
        <w:pStyle w:val="5"/>
        <w:snapToGrid w:val="0"/>
        <w:spacing w:line="560" w:lineRule="exact"/>
        <w:ind w:firstLine="640"/>
        <w:rPr>
          <w:rFonts w:ascii="仿宋_GB2312" w:hAnsi="仿宋_GB2312" w:cs="仿宋_GB2312"/>
        </w:rPr>
      </w:pPr>
      <w:r>
        <w:rPr>
          <w:rFonts w:hint="eastAsia" w:ascii="仿宋_GB2312" w:hAnsi="仿宋_GB2312" w:cs="仿宋_GB2312"/>
        </w:rPr>
        <w:t>1.区位修正系数根据储备项目的区位因素综合确定，具体见下表。</w:t>
      </w:r>
    </w:p>
    <w:p>
      <w:pPr>
        <w:pStyle w:val="5"/>
        <w:snapToGrid w:val="0"/>
        <w:spacing w:line="560" w:lineRule="exact"/>
        <w:ind w:firstLine="640"/>
        <w:jc w:val="center"/>
        <w:rPr>
          <w:rFonts w:ascii="仿宋_GB2312" w:hAnsi="仿宋_GB2312" w:cs="仿宋_GB2312"/>
        </w:rPr>
      </w:pPr>
      <w:r>
        <w:rPr>
          <w:rFonts w:hint="eastAsia" w:ascii="仿宋_GB2312" w:hAnsi="仿宋_GB2312" w:cs="仿宋_GB2312"/>
        </w:rPr>
        <w:t>区位配套条件、自然条件、建设条件修正系数表</w:t>
      </w:r>
    </w:p>
    <w:tbl>
      <w:tblPr>
        <w:tblStyle w:val="3"/>
        <w:tblW w:w="8849" w:type="dxa"/>
        <w:jc w:val="center"/>
        <w:tblBorders>
          <w:top w:val="single" w:color="000000" w:sz="18" w:space="0"/>
          <w:left w:val="single" w:color="000000" w:sz="18" w:space="0"/>
          <w:bottom w:val="single" w:color="000000" w:sz="18" w:space="0"/>
          <w:right w:val="single" w:color="000000" w:sz="18" w:space="0"/>
          <w:insideH w:val="single" w:color="000000" w:sz="2" w:space="0"/>
          <w:insideV w:val="single" w:color="000000" w:sz="2" w:space="0"/>
        </w:tblBorders>
        <w:tblLayout w:type="fixed"/>
        <w:tblCellMar>
          <w:top w:w="0" w:type="dxa"/>
          <w:left w:w="108" w:type="dxa"/>
          <w:bottom w:w="0" w:type="dxa"/>
          <w:right w:w="108" w:type="dxa"/>
        </w:tblCellMar>
      </w:tblPr>
      <w:tblGrid>
        <w:gridCol w:w="1760"/>
        <w:gridCol w:w="2689"/>
        <w:gridCol w:w="1329"/>
        <w:gridCol w:w="1828"/>
        <w:gridCol w:w="1243"/>
      </w:tblGrid>
      <w:tr>
        <w:tblPrEx>
          <w:tblBorders>
            <w:top w:val="single" w:color="000000" w:sz="18" w:space="0"/>
            <w:left w:val="single" w:color="000000" w:sz="18" w:space="0"/>
            <w:bottom w:val="single" w:color="000000" w:sz="18" w:space="0"/>
            <w:right w:val="single" w:color="000000" w:sz="18" w:space="0"/>
            <w:insideH w:val="single" w:color="000000" w:sz="2" w:space="0"/>
            <w:insideV w:val="single" w:color="000000" w:sz="2" w:space="0"/>
          </w:tblBorders>
          <w:tblCellMar>
            <w:top w:w="0" w:type="dxa"/>
            <w:left w:w="108" w:type="dxa"/>
            <w:bottom w:w="0" w:type="dxa"/>
            <w:right w:w="108" w:type="dxa"/>
          </w:tblCellMar>
        </w:tblPrEx>
        <w:trPr>
          <w:trHeight w:val="710" w:hRule="atLeast"/>
          <w:jc w:val="center"/>
        </w:trPr>
        <w:tc>
          <w:tcPr>
            <w:tcW w:w="1760" w:type="dxa"/>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影响因素</w:t>
            </w:r>
          </w:p>
        </w:tc>
        <w:tc>
          <w:tcPr>
            <w:tcW w:w="2689" w:type="dxa"/>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标准</w:t>
            </w:r>
          </w:p>
        </w:tc>
        <w:tc>
          <w:tcPr>
            <w:tcW w:w="1329" w:type="dxa"/>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修正系数</w:t>
            </w:r>
          </w:p>
        </w:tc>
        <w:tc>
          <w:tcPr>
            <w:tcW w:w="3071" w:type="dxa"/>
            <w:gridSpan w:val="2"/>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确定方法</w:t>
            </w:r>
          </w:p>
        </w:tc>
      </w:tr>
      <w:tr>
        <w:tblPrEx>
          <w:tblBorders>
            <w:top w:val="single" w:color="000000" w:sz="18" w:space="0"/>
            <w:left w:val="single" w:color="000000" w:sz="18" w:space="0"/>
            <w:bottom w:val="single" w:color="000000" w:sz="18" w:space="0"/>
            <w:right w:val="single" w:color="000000" w:sz="18" w:space="0"/>
            <w:insideH w:val="single" w:color="000000" w:sz="2" w:space="0"/>
            <w:insideV w:val="single" w:color="000000" w:sz="2" w:space="0"/>
          </w:tblBorders>
          <w:tblCellMar>
            <w:top w:w="0" w:type="dxa"/>
            <w:left w:w="108" w:type="dxa"/>
            <w:bottom w:w="0" w:type="dxa"/>
            <w:right w:w="108" w:type="dxa"/>
          </w:tblCellMar>
        </w:tblPrEx>
        <w:trPr>
          <w:trHeight w:val="856" w:hRule="atLeast"/>
          <w:jc w:val="center"/>
        </w:trPr>
        <w:tc>
          <w:tcPr>
            <w:tcW w:w="1760" w:type="dxa"/>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对外通达度</w:t>
            </w:r>
          </w:p>
        </w:tc>
        <w:tc>
          <w:tcPr>
            <w:tcW w:w="2689" w:type="dxa"/>
            <w:vAlign w:val="center"/>
          </w:tcPr>
          <w:p>
            <w:pPr>
              <w:widowControl/>
              <w:spacing w:line="280" w:lineRule="exact"/>
              <w:jc w:val="center"/>
              <w:textAlignment w:val="top"/>
              <w:rPr>
                <w:rFonts w:ascii="仿宋" w:hAnsi="仿宋" w:eastAsia="仿宋" w:cs="仿宋"/>
                <w:kern w:val="0"/>
                <w:sz w:val="24"/>
                <w:lang w:bidi="ar"/>
              </w:rPr>
            </w:pPr>
            <w:r>
              <w:rPr>
                <w:rFonts w:hint="eastAsia" w:ascii="仿宋" w:hAnsi="仿宋" w:eastAsia="仿宋" w:cs="仿宋"/>
                <w:kern w:val="0"/>
                <w:sz w:val="24"/>
                <w:lang w:bidi="ar"/>
              </w:rPr>
              <w:t>距机场、火车站、汽车站、高速路口的可达性</w:t>
            </w:r>
          </w:p>
        </w:tc>
        <w:tc>
          <w:tcPr>
            <w:tcW w:w="1329" w:type="dxa"/>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0-0.01</w:t>
            </w:r>
          </w:p>
        </w:tc>
        <w:tc>
          <w:tcPr>
            <w:tcW w:w="1828" w:type="dxa"/>
            <w:vAlign w:val="center"/>
          </w:tcPr>
          <w:p>
            <w:pPr>
              <w:widowControl/>
              <w:spacing w:line="280" w:lineRule="exact"/>
              <w:jc w:val="center"/>
              <w:textAlignment w:val="center"/>
              <w:rPr>
                <w:rFonts w:ascii="仿宋" w:hAnsi="仿宋" w:eastAsia="仿宋" w:cs="仿宋"/>
                <w:sz w:val="24"/>
              </w:rPr>
            </w:pPr>
            <w:r>
              <w:rPr>
                <w:rFonts w:hint="eastAsia" w:ascii="仿宋" w:hAnsi="仿宋" w:eastAsia="仿宋" w:cs="仿宋"/>
                <w:kern w:val="0"/>
                <w:sz w:val="24"/>
                <w:lang w:bidi="ar"/>
              </w:rPr>
              <w:t>工业及商业基准地价级别，权重5:5</w:t>
            </w:r>
          </w:p>
        </w:tc>
        <w:tc>
          <w:tcPr>
            <w:tcW w:w="1243" w:type="dxa"/>
            <w:vMerge w:val="restart"/>
            <w:vAlign w:val="center"/>
          </w:tcPr>
          <w:p>
            <w:pPr>
              <w:widowControl/>
              <w:jc w:val="center"/>
              <w:textAlignment w:val="center"/>
              <w:rPr>
                <w:rFonts w:ascii="仿宋" w:hAnsi="仿宋" w:eastAsia="仿宋" w:cs="仿宋"/>
                <w:sz w:val="24"/>
              </w:rPr>
            </w:pPr>
            <w:r>
              <w:rPr>
                <w:rFonts w:hint="eastAsia" w:ascii="仿宋" w:hAnsi="仿宋" w:eastAsia="仿宋" w:cs="仿宋"/>
                <w:sz w:val="24"/>
              </w:rPr>
              <w:t>以基准地价最高级别为最高值，每下浮一个级别，修正幅度下浮5%。</w:t>
            </w:r>
          </w:p>
        </w:tc>
      </w:tr>
      <w:tr>
        <w:tblPrEx>
          <w:tblBorders>
            <w:top w:val="single" w:color="000000" w:sz="18" w:space="0"/>
            <w:left w:val="single" w:color="000000" w:sz="18" w:space="0"/>
            <w:bottom w:val="single" w:color="000000" w:sz="18" w:space="0"/>
            <w:right w:val="single" w:color="000000" w:sz="18" w:space="0"/>
            <w:insideH w:val="single" w:color="000000" w:sz="2" w:space="0"/>
            <w:insideV w:val="single" w:color="000000" w:sz="2" w:space="0"/>
          </w:tblBorders>
          <w:tblCellMar>
            <w:top w:w="0" w:type="dxa"/>
            <w:left w:w="108" w:type="dxa"/>
            <w:bottom w:w="0" w:type="dxa"/>
            <w:right w:w="108" w:type="dxa"/>
          </w:tblCellMar>
        </w:tblPrEx>
        <w:trPr>
          <w:trHeight w:val="572" w:hRule="atLeast"/>
          <w:jc w:val="center"/>
        </w:trPr>
        <w:tc>
          <w:tcPr>
            <w:tcW w:w="1760" w:type="dxa"/>
            <w:vAlign w:val="center"/>
          </w:tcPr>
          <w:p>
            <w:pPr>
              <w:widowControl/>
              <w:spacing w:line="280" w:lineRule="exact"/>
              <w:jc w:val="center"/>
              <w:textAlignment w:val="top"/>
              <w:rPr>
                <w:rFonts w:ascii="仿宋" w:hAnsi="仿宋" w:eastAsia="仿宋" w:cs="仿宋"/>
                <w:kern w:val="0"/>
                <w:sz w:val="24"/>
                <w:lang w:bidi="ar"/>
              </w:rPr>
            </w:pPr>
            <w:r>
              <w:rPr>
                <w:rFonts w:hint="eastAsia" w:ascii="仿宋" w:hAnsi="仿宋" w:eastAsia="仿宋" w:cs="仿宋"/>
                <w:kern w:val="0"/>
                <w:sz w:val="24"/>
                <w:lang w:bidi="ar"/>
              </w:rPr>
              <w:t>对内交通</w:t>
            </w:r>
          </w:p>
          <w:p>
            <w:pPr>
              <w:widowControl/>
              <w:spacing w:line="280" w:lineRule="exact"/>
              <w:jc w:val="center"/>
              <w:textAlignment w:val="top"/>
              <w:rPr>
                <w:rFonts w:ascii="仿宋" w:hAnsi="仿宋" w:eastAsia="仿宋" w:cs="仿宋"/>
                <w:kern w:val="0"/>
                <w:sz w:val="24"/>
                <w:lang w:bidi="ar"/>
              </w:rPr>
            </w:pPr>
            <w:r>
              <w:rPr>
                <w:rFonts w:hint="eastAsia" w:ascii="仿宋" w:hAnsi="仿宋" w:eastAsia="仿宋" w:cs="仿宋"/>
                <w:kern w:val="0"/>
                <w:sz w:val="24"/>
                <w:lang w:bidi="ar"/>
              </w:rPr>
              <w:t>便捷度</w:t>
            </w:r>
          </w:p>
        </w:tc>
        <w:tc>
          <w:tcPr>
            <w:tcW w:w="2689" w:type="dxa"/>
            <w:vAlign w:val="center"/>
          </w:tcPr>
          <w:p>
            <w:pPr>
              <w:widowControl/>
              <w:spacing w:line="280" w:lineRule="exact"/>
              <w:jc w:val="center"/>
              <w:textAlignment w:val="top"/>
              <w:rPr>
                <w:rFonts w:ascii="仿宋" w:hAnsi="仿宋" w:eastAsia="仿宋" w:cs="仿宋"/>
                <w:kern w:val="0"/>
                <w:sz w:val="24"/>
                <w:lang w:bidi="ar"/>
              </w:rPr>
            </w:pPr>
            <w:r>
              <w:rPr>
                <w:rFonts w:hint="eastAsia" w:ascii="仿宋" w:hAnsi="仿宋" w:eastAsia="仿宋" w:cs="仿宋"/>
                <w:kern w:val="0"/>
                <w:sz w:val="24"/>
                <w:lang w:bidi="ar"/>
              </w:rPr>
              <w:t>距公交站点、地铁站的距离和可达性</w:t>
            </w:r>
          </w:p>
        </w:tc>
        <w:tc>
          <w:tcPr>
            <w:tcW w:w="1329" w:type="dxa"/>
            <w:vAlign w:val="center"/>
          </w:tcPr>
          <w:p>
            <w:pPr>
              <w:widowControl/>
              <w:jc w:val="center"/>
              <w:textAlignment w:val="top"/>
              <w:rPr>
                <w:rFonts w:ascii="仿宋" w:hAnsi="仿宋" w:eastAsia="仿宋" w:cs="仿宋"/>
                <w:sz w:val="24"/>
              </w:rPr>
            </w:pPr>
            <w:r>
              <w:rPr>
                <w:rFonts w:hint="eastAsia" w:ascii="仿宋" w:hAnsi="仿宋" w:eastAsia="仿宋" w:cs="仿宋"/>
                <w:kern w:val="0"/>
                <w:sz w:val="24"/>
                <w:lang w:bidi="ar"/>
              </w:rPr>
              <w:t>0-0.01</w:t>
            </w:r>
          </w:p>
        </w:tc>
        <w:tc>
          <w:tcPr>
            <w:tcW w:w="1828" w:type="dxa"/>
            <w:vAlign w:val="center"/>
          </w:tcPr>
          <w:p>
            <w:pPr>
              <w:widowControl/>
              <w:spacing w:line="280" w:lineRule="exact"/>
              <w:jc w:val="center"/>
              <w:textAlignment w:val="top"/>
              <w:rPr>
                <w:rFonts w:ascii="仿宋" w:hAnsi="仿宋" w:eastAsia="仿宋" w:cs="仿宋"/>
                <w:sz w:val="24"/>
              </w:rPr>
            </w:pPr>
            <w:r>
              <w:rPr>
                <w:rFonts w:hint="eastAsia" w:ascii="仿宋" w:hAnsi="仿宋" w:eastAsia="仿宋" w:cs="仿宋"/>
                <w:kern w:val="0"/>
                <w:sz w:val="24"/>
                <w:lang w:bidi="ar"/>
              </w:rPr>
              <w:t>商业基准地价级别</w:t>
            </w:r>
          </w:p>
        </w:tc>
        <w:tc>
          <w:tcPr>
            <w:tcW w:w="1243" w:type="dxa"/>
            <w:vMerge w:val="continue"/>
            <w:vAlign w:val="center"/>
          </w:tcPr>
          <w:p>
            <w:pPr>
              <w:widowControl/>
              <w:jc w:val="center"/>
              <w:textAlignment w:val="top"/>
              <w:rPr>
                <w:rFonts w:ascii="仿宋" w:hAnsi="仿宋" w:eastAsia="仿宋" w:cs="仿宋"/>
                <w:sz w:val="24"/>
              </w:rPr>
            </w:pPr>
          </w:p>
        </w:tc>
      </w:tr>
      <w:tr>
        <w:tblPrEx>
          <w:tblBorders>
            <w:top w:val="single" w:color="000000" w:sz="18" w:space="0"/>
            <w:left w:val="single" w:color="000000" w:sz="18" w:space="0"/>
            <w:bottom w:val="single" w:color="000000" w:sz="18" w:space="0"/>
            <w:right w:val="single" w:color="000000" w:sz="18" w:space="0"/>
            <w:insideH w:val="single" w:color="000000" w:sz="2" w:space="0"/>
            <w:insideV w:val="single" w:color="000000" w:sz="2" w:space="0"/>
          </w:tblBorders>
          <w:tblCellMar>
            <w:top w:w="0" w:type="dxa"/>
            <w:left w:w="108" w:type="dxa"/>
            <w:bottom w:w="0" w:type="dxa"/>
            <w:right w:w="108" w:type="dxa"/>
          </w:tblCellMar>
        </w:tblPrEx>
        <w:trPr>
          <w:trHeight w:val="572" w:hRule="atLeast"/>
          <w:jc w:val="center"/>
        </w:trPr>
        <w:tc>
          <w:tcPr>
            <w:tcW w:w="1760" w:type="dxa"/>
            <w:vAlign w:val="center"/>
          </w:tcPr>
          <w:p>
            <w:pPr>
              <w:widowControl/>
              <w:spacing w:line="280" w:lineRule="exact"/>
              <w:jc w:val="center"/>
              <w:textAlignment w:val="top"/>
              <w:rPr>
                <w:rFonts w:ascii="仿宋" w:hAnsi="仿宋" w:eastAsia="仿宋" w:cs="仿宋"/>
                <w:kern w:val="0"/>
                <w:sz w:val="24"/>
                <w:lang w:bidi="ar"/>
              </w:rPr>
            </w:pPr>
            <w:r>
              <w:rPr>
                <w:rFonts w:hint="eastAsia" w:ascii="仿宋" w:hAnsi="仿宋" w:eastAsia="仿宋" w:cs="仿宋"/>
                <w:kern w:val="0"/>
                <w:sz w:val="24"/>
                <w:lang w:bidi="ar"/>
              </w:rPr>
              <w:t>义务教育</w:t>
            </w:r>
            <w:r>
              <w:rPr>
                <w:rFonts w:hint="eastAsia" w:ascii="仿宋" w:hAnsi="仿宋" w:eastAsia="仿宋"/>
                <w:kern w:val="0"/>
                <w:sz w:val="24"/>
              </w:rPr>
              <w:t>学校覆盖度</w:t>
            </w:r>
          </w:p>
        </w:tc>
        <w:tc>
          <w:tcPr>
            <w:tcW w:w="2689" w:type="dxa"/>
            <w:vAlign w:val="center"/>
          </w:tcPr>
          <w:p>
            <w:pPr>
              <w:widowControl/>
              <w:spacing w:line="280" w:lineRule="exact"/>
              <w:jc w:val="center"/>
              <w:textAlignment w:val="top"/>
              <w:rPr>
                <w:rFonts w:ascii="仿宋" w:hAnsi="仿宋" w:eastAsia="仿宋" w:cs="仿宋"/>
                <w:kern w:val="0"/>
                <w:sz w:val="24"/>
                <w:lang w:bidi="ar"/>
              </w:rPr>
            </w:pPr>
            <w:r>
              <w:rPr>
                <w:rFonts w:hint="eastAsia" w:ascii="仿宋" w:hAnsi="仿宋" w:eastAsia="仿宋" w:cs="仿宋"/>
                <w:kern w:val="0"/>
                <w:sz w:val="24"/>
                <w:lang w:bidi="ar"/>
              </w:rPr>
              <w:t>距中学及小学的</w:t>
            </w:r>
          </w:p>
          <w:p>
            <w:pPr>
              <w:widowControl/>
              <w:spacing w:line="280" w:lineRule="exact"/>
              <w:jc w:val="center"/>
              <w:textAlignment w:val="top"/>
              <w:rPr>
                <w:rFonts w:ascii="仿宋" w:hAnsi="仿宋" w:eastAsia="仿宋" w:cs="仿宋"/>
                <w:kern w:val="0"/>
                <w:sz w:val="24"/>
                <w:lang w:bidi="ar"/>
              </w:rPr>
            </w:pPr>
            <w:r>
              <w:rPr>
                <w:rFonts w:hint="eastAsia" w:ascii="仿宋" w:hAnsi="仿宋" w:eastAsia="仿宋" w:cs="仿宋"/>
                <w:kern w:val="0"/>
                <w:sz w:val="24"/>
                <w:lang w:bidi="ar"/>
              </w:rPr>
              <w:t>距离</w:t>
            </w:r>
          </w:p>
        </w:tc>
        <w:tc>
          <w:tcPr>
            <w:tcW w:w="1329" w:type="dxa"/>
            <w:vAlign w:val="center"/>
          </w:tcPr>
          <w:p>
            <w:pPr>
              <w:widowControl/>
              <w:jc w:val="center"/>
              <w:textAlignment w:val="top"/>
              <w:rPr>
                <w:rFonts w:ascii="仿宋" w:hAnsi="仿宋" w:eastAsia="仿宋" w:cs="仿宋"/>
                <w:sz w:val="24"/>
              </w:rPr>
            </w:pPr>
            <w:r>
              <w:rPr>
                <w:rFonts w:hint="eastAsia" w:ascii="仿宋" w:hAnsi="仿宋" w:eastAsia="仿宋" w:cs="仿宋"/>
                <w:kern w:val="0"/>
                <w:sz w:val="24"/>
                <w:lang w:bidi="ar"/>
              </w:rPr>
              <w:t>0-0.005</w:t>
            </w:r>
          </w:p>
        </w:tc>
        <w:tc>
          <w:tcPr>
            <w:tcW w:w="1828" w:type="dxa"/>
            <w:vAlign w:val="center"/>
          </w:tcPr>
          <w:p>
            <w:pPr>
              <w:widowControl/>
              <w:spacing w:line="280" w:lineRule="exact"/>
              <w:jc w:val="center"/>
              <w:textAlignment w:val="top"/>
              <w:rPr>
                <w:rFonts w:ascii="仿宋" w:hAnsi="仿宋" w:eastAsia="仿宋" w:cs="仿宋"/>
                <w:sz w:val="24"/>
              </w:rPr>
            </w:pPr>
            <w:r>
              <w:rPr>
                <w:rFonts w:hint="eastAsia" w:ascii="仿宋" w:hAnsi="仿宋" w:eastAsia="仿宋" w:cs="仿宋"/>
                <w:kern w:val="0"/>
                <w:sz w:val="24"/>
                <w:lang w:bidi="ar"/>
              </w:rPr>
              <w:t>住宅基准地价级别</w:t>
            </w:r>
          </w:p>
        </w:tc>
        <w:tc>
          <w:tcPr>
            <w:tcW w:w="1243" w:type="dxa"/>
            <w:vMerge w:val="continue"/>
            <w:vAlign w:val="center"/>
          </w:tcPr>
          <w:p>
            <w:pPr>
              <w:widowControl/>
              <w:jc w:val="center"/>
              <w:textAlignment w:val="top"/>
              <w:rPr>
                <w:rFonts w:ascii="仿宋" w:hAnsi="仿宋" w:eastAsia="仿宋" w:cs="仿宋"/>
                <w:sz w:val="24"/>
              </w:rPr>
            </w:pPr>
          </w:p>
        </w:tc>
      </w:tr>
      <w:tr>
        <w:tblPrEx>
          <w:tblBorders>
            <w:top w:val="single" w:color="000000" w:sz="18" w:space="0"/>
            <w:left w:val="single" w:color="000000" w:sz="18" w:space="0"/>
            <w:bottom w:val="single" w:color="000000" w:sz="18" w:space="0"/>
            <w:right w:val="single" w:color="000000" w:sz="18" w:space="0"/>
            <w:insideH w:val="single" w:color="000000" w:sz="2" w:space="0"/>
            <w:insideV w:val="single" w:color="000000" w:sz="2" w:space="0"/>
          </w:tblBorders>
          <w:tblCellMar>
            <w:top w:w="0" w:type="dxa"/>
            <w:left w:w="108" w:type="dxa"/>
            <w:bottom w:w="0" w:type="dxa"/>
            <w:right w:w="108" w:type="dxa"/>
          </w:tblCellMar>
        </w:tblPrEx>
        <w:trPr>
          <w:trHeight w:val="572" w:hRule="atLeast"/>
          <w:jc w:val="center"/>
        </w:trPr>
        <w:tc>
          <w:tcPr>
            <w:tcW w:w="1760" w:type="dxa"/>
            <w:vAlign w:val="center"/>
          </w:tcPr>
          <w:p>
            <w:pPr>
              <w:widowControl/>
              <w:spacing w:line="280" w:lineRule="exact"/>
              <w:jc w:val="center"/>
              <w:textAlignment w:val="top"/>
              <w:rPr>
                <w:rFonts w:ascii="仿宋" w:hAnsi="仿宋" w:eastAsia="仿宋" w:cs="仿宋"/>
                <w:kern w:val="0"/>
                <w:sz w:val="24"/>
                <w:lang w:bidi="ar"/>
              </w:rPr>
            </w:pPr>
            <w:r>
              <w:rPr>
                <w:rFonts w:hint="eastAsia" w:ascii="仿宋" w:hAnsi="仿宋" w:eastAsia="仿宋" w:cs="仿宋"/>
                <w:kern w:val="0"/>
                <w:sz w:val="24"/>
                <w:lang w:bidi="ar"/>
              </w:rPr>
              <w:t>社区卫生医疗设施覆盖度</w:t>
            </w:r>
          </w:p>
        </w:tc>
        <w:tc>
          <w:tcPr>
            <w:tcW w:w="2689" w:type="dxa"/>
            <w:vAlign w:val="center"/>
          </w:tcPr>
          <w:p>
            <w:pPr>
              <w:widowControl/>
              <w:spacing w:line="280" w:lineRule="exact"/>
              <w:jc w:val="center"/>
              <w:textAlignment w:val="top"/>
              <w:rPr>
                <w:rFonts w:ascii="仿宋" w:hAnsi="仿宋" w:eastAsia="仿宋" w:cs="仿宋"/>
                <w:kern w:val="0"/>
                <w:sz w:val="24"/>
                <w:lang w:bidi="ar"/>
              </w:rPr>
            </w:pPr>
            <w:r>
              <w:rPr>
                <w:rFonts w:hint="eastAsia" w:ascii="仿宋" w:hAnsi="仿宋" w:eastAsia="仿宋" w:cs="仿宋"/>
                <w:kern w:val="0"/>
                <w:sz w:val="24"/>
                <w:lang w:bidi="ar"/>
              </w:rPr>
              <w:t>距社区卫生医疗设施的距离</w:t>
            </w:r>
          </w:p>
        </w:tc>
        <w:tc>
          <w:tcPr>
            <w:tcW w:w="1329" w:type="dxa"/>
            <w:vAlign w:val="center"/>
          </w:tcPr>
          <w:p>
            <w:pPr>
              <w:widowControl/>
              <w:jc w:val="center"/>
              <w:textAlignment w:val="top"/>
              <w:rPr>
                <w:rFonts w:ascii="仿宋" w:hAnsi="仿宋" w:eastAsia="仿宋" w:cs="仿宋"/>
                <w:sz w:val="24"/>
              </w:rPr>
            </w:pPr>
            <w:r>
              <w:rPr>
                <w:rFonts w:hint="eastAsia" w:ascii="仿宋" w:hAnsi="仿宋" w:eastAsia="仿宋" w:cs="仿宋"/>
                <w:kern w:val="0"/>
                <w:sz w:val="24"/>
                <w:lang w:bidi="ar"/>
              </w:rPr>
              <w:t>0-0.005</w:t>
            </w:r>
          </w:p>
        </w:tc>
        <w:tc>
          <w:tcPr>
            <w:tcW w:w="1828" w:type="dxa"/>
            <w:vAlign w:val="center"/>
          </w:tcPr>
          <w:p>
            <w:pPr>
              <w:widowControl/>
              <w:spacing w:line="280" w:lineRule="exact"/>
              <w:jc w:val="center"/>
              <w:textAlignment w:val="top"/>
              <w:rPr>
                <w:rFonts w:ascii="仿宋" w:hAnsi="仿宋" w:eastAsia="仿宋" w:cs="仿宋"/>
                <w:sz w:val="24"/>
              </w:rPr>
            </w:pPr>
            <w:r>
              <w:rPr>
                <w:rFonts w:hint="eastAsia" w:ascii="仿宋" w:hAnsi="仿宋" w:eastAsia="仿宋" w:cs="仿宋"/>
                <w:kern w:val="0"/>
                <w:sz w:val="24"/>
                <w:lang w:bidi="ar"/>
              </w:rPr>
              <w:t>住宅基准地价级别</w:t>
            </w:r>
          </w:p>
        </w:tc>
        <w:tc>
          <w:tcPr>
            <w:tcW w:w="1243" w:type="dxa"/>
            <w:vMerge w:val="continue"/>
            <w:vAlign w:val="center"/>
          </w:tcPr>
          <w:p>
            <w:pPr>
              <w:widowControl/>
              <w:jc w:val="center"/>
              <w:textAlignment w:val="top"/>
              <w:rPr>
                <w:rFonts w:ascii="仿宋" w:hAnsi="仿宋" w:eastAsia="仿宋" w:cs="仿宋"/>
                <w:sz w:val="24"/>
              </w:rPr>
            </w:pPr>
          </w:p>
        </w:tc>
      </w:tr>
      <w:tr>
        <w:tblPrEx>
          <w:tblBorders>
            <w:top w:val="single" w:color="000000" w:sz="18" w:space="0"/>
            <w:left w:val="single" w:color="000000" w:sz="18" w:space="0"/>
            <w:bottom w:val="single" w:color="000000" w:sz="18" w:space="0"/>
            <w:right w:val="single" w:color="000000" w:sz="18" w:space="0"/>
            <w:insideH w:val="single" w:color="000000" w:sz="2" w:space="0"/>
            <w:insideV w:val="single" w:color="000000" w:sz="2" w:space="0"/>
          </w:tblBorders>
          <w:tblCellMar>
            <w:top w:w="0" w:type="dxa"/>
            <w:left w:w="108" w:type="dxa"/>
            <w:bottom w:w="0" w:type="dxa"/>
            <w:right w:w="108" w:type="dxa"/>
          </w:tblCellMar>
        </w:tblPrEx>
        <w:trPr>
          <w:trHeight w:val="856" w:hRule="atLeast"/>
          <w:jc w:val="center"/>
        </w:trPr>
        <w:tc>
          <w:tcPr>
            <w:tcW w:w="1760" w:type="dxa"/>
            <w:vAlign w:val="center"/>
          </w:tcPr>
          <w:p>
            <w:pPr>
              <w:widowControl/>
              <w:spacing w:line="280" w:lineRule="exact"/>
              <w:jc w:val="center"/>
              <w:textAlignment w:val="top"/>
              <w:rPr>
                <w:rFonts w:ascii="仿宋" w:hAnsi="仿宋" w:eastAsia="仿宋" w:cs="仿宋"/>
                <w:kern w:val="0"/>
                <w:sz w:val="24"/>
                <w:lang w:bidi="ar"/>
              </w:rPr>
            </w:pPr>
            <w:r>
              <w:rPr>
                <w:rFonts w:hint="eastAsia" w:ascii="仿宋" w:hAnsi="仿宋" w:eastAsia="仿宋" w:cs="仿宋"/>
                <w:kern w:val="0"/>
                <w:sz w:val="24"/>
                <w:lang w:bidi="ar"/>
              </w:rPr>
              <w:t>三甲医院</w:t>
            </w:r>
          </w:p>
          <w:p>
            <w:pPr>
              <w:widowControl/>
              <w:spacing w:line="280" w:lineRule="exact"/>
              <w:jc w:val="center"/>
              <w:textAlignment w:val="top"/>
              <w:rPr>
                <w:rFonts w:ascii="仿宋" w:hAnsi="仿宋" w:eastAsia="仿宋" w:cs="仿宋"/>
                <w:kern w:val="0"/>
                <w:sz w:val="24"/>
                <w:lang w:bidi="ar"/>
              </w:rPr>
            </w:pPr>
            <w:r>
              <w:rPr>
                <w:rFonts w:hint="eastAsia" w:ascii="仿宋" w:hAnsi="仿宋" w:eastAsia="仿宋" w:cs="仿宋"/>
                <w:kern w:val="0"/>
                <w:sz w:val="24"/>
                <w:lang w:bidi="ar"/>
              </w:rPr>
              <w:t>覆盖度</w:t>
            </w:r>
          </w:p>
        </w:tc>
        <w:tc>
          <w:tcPr>
            <w:tcW w:w="2689" w:type="dxa"/>
            <w:vAlign w:val="center"/>
          </w:tcPr>
          <w:p>
            <w:pPr>
              <w:widowControl/>
              <w:spacing w:line="280" w:lineRule="exact"/>
              <w:jc w:val="center"/>
              <w:textAlignment w:val="top"/>
              <w:rPr>
                <w:rFonts w:ascii="仿宋" w:hAnsi="仿宋" w:eastAsia="仿宋" w:cs="仿宋"/>
                <w:kern w:val="0"/>
                <w:sz w:val="24"/>
                <w:lang w:bidi="ar"/>
              </w:rPr>
            </w:pPr>
            <w:r>
              <w:rPr>
                <w:rFonts w:hint="eastAsia" w:ascii="仿宋" w:hAnsi="仿宋" w:eastAsia="仿宋" w:cs="仿宋"/>
                <w:kern w:val="0"/>
                <w:sz w:val="24"/>
                <w:lang w:bidi="ar"/>
              </w:rPr>
              <w:t>距三甲医院的距离</w:t>
            </w:r>
          </w:p>
        </w:tc>
        <w:tc>
          <w:tcPr>
            <w:tcW w:w="1329" w:type="dxa"/>
            <w:vAlign w:val="center"/>
          </w:tcPr>
          <w:p>
            <w:pPr>
              <w:widowControl/>
              <w:jc w:val="center"/>
              <w:textAlignment w:val="top"/>
              <w:rPr>
                <w:rFonts w:ascii="仿宋" w:hAnsi="仿宋" w:eastAsia="仿宋" w:cs="仿宋"/>
                <w:sz w:val="24"/>
              </w:rPr>
            </w:pPr>
            <w:r>
              <w:rPr>
                <w:rFonts w:hint="eastAsia" w:ascii="仿宋" w:hAnsi="仿宋" w:eastAsia="仿宋" w:cs="仿宋"/>
                <w:kern w:val="0"/>
                <w:sz w:val="24"/>
                <w:lang w:bidi="ar"/>
              </w:rPr>
              <w:t>0-0.005</w:t>
            </w:r>
          </w:p>
        </w:tc>
        <w:tc>
          <w:tcPr>
            <w:tcW w:w="1828" w:type="dxa"/>
            <w:vAlign w:val="center"/>
          </w:tcPr>
          <w:p>
            <w:pPr>
              <w:widowControl/>
              <w:spacing w:line="280" w:lineRule="exact"/>
              <w:jc w:val="center"/>
              <w:textAlignment w:val="top"/>
              <w:rPr>
                <w:rFonts w:ascii="仿宋" w:hAnsi="仿宋" w:eastAsia="仿宋" w:cs="仿宋"/>
                <w:sz w:val="24"/>
              </w:rPr>
            </w:pPr>
            <w:r>
              <w:rPr>
                <w:rFonts w:hint="eastAsia" w:ascii="仿宋" w:hAnsi="仿宋" w:eastAsia="仿宋" w:cs="仿宋"/>
                <w:kern w:val="0"/>
                <w:sz w:val="24"/>
                <w:lang w:bidi="ar"/>
              </w:rPr>
              <w:t>住宅及商业基准地价级别，权重6:4</w:t>
            </w:r>
          </w:p>
        </w:tc>
        <w:tc>
          <w:tcPr>
            <w:tcW w:w="1243" w:type="dxa"/>
            <w:vMerge w:val="continue"/>
            <w:vAlign w:val="center"/>
          </w:tcPr>
          <w:p>
            <w:pPr>
              <w:widowControl/>
              <w:jc w:val="center"/>
              <w:textAlignment w:val="top"/>
              <w:rPr>
                <w:rFonts w:ascii="仿宋" w:hAnsi="仿宋" w:eastAsia="仿宋" w:cs="仿宋"/>
                <w:sz w:val="24"/>
              </w:rPr>
            </w:pPr>
          </w:p>
        </w:tc>
      </w:tr>
      <w:tr>
        <w:tblPrEx>
          <w:tblBorders>
            <w:top w:val="single" w:color="000000" w:sz="18" w:space="0"/>
            <w:left w:val="single" w:color="000000" w:sz="18" w:space="0"/>
            <w:bottom w:val="single" w:color="000000" w:sz="18" w:space="0"/>
            <w:right w:val="single" w:color="000000" w:sz="18" w:space="0"/>
            <w:insideH w:val="single" w:color="000000" w:sz="2" w:space="0"/>
            <w:insideV w:val="single" w:color="000000" w:sz="2" w:space="0"/>
          </w:tblBorders>
          <w:tblCellMar>
            <w:top w:w="0" w:type="dxa"/>
            <w:left w:w="108" w:type="dxa"/>
            <w:bottom w:w="0" w:type="dxa"/>
            <w:right w:w="108" w:type="dxa"/>
          </w:tblCellMar>
        </w:tblPrEx>
        <w:trPr>
          <w:trHeight w:val="856" w:hRule="atLeast"/>
          <w:jc w:val="center"/>
        </w:trPr>
        <w:tc>
          <w:tcPr>
            <w:tcW w:w="1760" w:type="dxa"/>
            <w:vAlign w:val="center"/>
          </w:tcPr>
          <w:p>
            <w:pPr>
              <w:widowControl/>
              <w:spacing w:line="280" w:lineRule="exact"/>
              <w:jc w:val="center"/>
              <w:textAlignment w:val="top"/>
              <w:rPr>
                <w:rFonts w:ascii="仿宋" w:hAnsi="仿宋" w:eastAsia="仿宋" w:cs="仿宋"/>
                <w:kern w:val="0"/>
                <w:sz w:val="24"/>
                <w:lang w:bidi="ar"/>
              </w:rPr>
            </w:pPr>
            <w:r>
              <w:rPr>
                <w:rFonts w:hint="eastAsia" w:ascii="仿宋" w:hAnsi="仿宋" w:eastAsia="仿宋" w:cs="仿宋"/>
                <w:kern w:val="0"/>
                <w:sz w:val="24"/>
                <w:lang w:bidi="ar"/>
              </w:rPr>
              <w:t>大型商圈设施覆盖度</w:t>
            </w:r>
          </w:p>
        </w:tc>
        <w:tc>
          <w:tcPr>
            <w:tcW w:w="2689" w:type="dxa"/>
            <w:vAlign w:val="center"/>
          </w:tcPr>
          <w:p>
            <w:pPr>
              <w:widowControl/>
              <w:spacing w:line="280" w:lineRule="exact"/>
              <w:jc w:val="center"/>
              <w:textAlignment w:val="top"/>
              <w:rPr>
                <w:rFonts w:ascii="仿宋" w:hAnsi="仿宋" w:eastAsia="仿宋" w:cs="仿宋"/>
                <w:kern w:val="0"/>
                <w:sz w:val="24"/>
                <w:lang w:bidi="ar"/>
              </w:rPr>
            </w:pPr>
            <w:r>
              <w:rPr>
                <w:rFonts w:hint="eastAsia" w:ascii="仿宋" w:hAnsi="仿宋" w:eastAsia="仿宋" w:cs="仿宋"/>
                <w:kern w:val="0"/>
                <w:sz w:val="24"/>
                <w:lang w:bidi="ar"/>
              </w:rPr>
              <w:t>距大型商圈设施的距离</w:t>
            </w:r>
          </w:p>
        </w:tc>
        <w:tc>
          <w:tcPr>
            <w:tcW w:w="1329" w:type="dxa"/>
            <w:vAlign w:val="center"/>
          </w:tcPr>
          <w:p>
            <w:pPr>
              <w:widowControl/>
              <w:jc w:val="center"/>
              <w:textAlignment w:val="top"/>
              <w:rPr>
                <w:rFonts w:ascii="仿宋" w:hAnsi="仿宋" w:eastAsia="仿宋" w:cs="仿宋"/>
                <w:sz w:val="24"/>
              </w:rPr>
            </w:pPr>
            <w:r>
              <w:rPr>
                <w:rFonts w:hint="eastAsia" w:ascii="仿宋" w:hAnsi="仿宋" w:eastAsia="仿宋" w:cs="仿宋"/>
                <w:kern w:val="0"/>
                <w:sz w:val="24"/>
                <w:lang w:bidi="ar"/>
              </w:rPr>
              <w:t>0-0.005</w:t>
            </w:r>
          </w:p>
        </w:tc>
        <w:tc>
          <w:tcPr>
            <w:tcW w:w="1828" w:type="dxa"/>
            <w:vAlign w:val="center"/>
          </w:tcPr>
          <w:p>
            <w:pPr>
              <w:widowControl/>
              <w:spacing w:line="280" w:lineRule="exact"/>
              <w:jc w:val="center"/>
              <w:textAlignment w:val="top"/>
              <w:rPr>
                <w:rFonts w:ascii="仿宋" w:hAnsi="仿宋" w:eastAsia="仿宋" w:cs="仿宋"/>
                <w:sz w:val="24"/>
              </w:rPr>
            </w:pPr>
            <w:r>
              <w:rPr>
                <w:rFonts w:hint="eastAsia" w:ascii="仿宋" w:hAnsi="仿宋" w:eastAsia="仿宋" w:cs="仿宋"/>
                <w:kern w:val="0"/>
                <w:sz w:val="24"/>
                <w:lang w:bidi="ar"/>
              </w:rPr>
              <w:t>住宅及商业基准地价级别，权重2:8</w:t>
            </w:r>
          </w:p>
        </w:tc>
        <w:tc>
          <w:tcPr>
            <w:tcW w:w="1243" w:type="dxa"/>
            <w:vMerge w:val="continue"/>
            <w:vAlign w:val="center"/>
          </w:tcPr>
          <w:p>
            <w:pPr>
              <w:widowControl/>
              <w:jc w:val="center"/>
              <w:textAlignment w:val="top"/>
              <w:rPr>
                <w:rFonts w:ascii="仿宋" w:hAnsi="仿宋" w:eastAsia="仿宋" w:cs="仿宋"/>
                <w:sz w:val="24"/>
              </w:rPr>
            </w:pPr>
          </w:p>
        </w:tc>
      </w:tr>
      <w:tr>
        <w:tblPrEx>
          <w:tblBorders>
            <w:top w:val="single" w:color="000000" w:sz="18" w:space="0"/>
            <w:left w:val="single" w:color="000000" w:sz="18" w:space="0"/>
            <w:bottom w:val="single" w:color="000000" w:sz="18" w:space="0"/>
            <w:right w:val="single" w:color="000000" w:sz="18" w:space="0"/>
            <w:insideH w:val="single" w:color="000000" w:sz="2" w:space="0"/>
            <w:insideV w:val="single" w:color="000000" w:sz="2" w:space="0"/>
          </w:tblBorders>
          <w:tblCellMar>
            <w:top w:w="0" w:type="dxa"/>
            <w:left w:w="108" w:type="dxa"/>
            <w:bottom w:w="0" w:type="dxa"/>
            <w:right w:w="108" w:type="dxa"/>
          </w:tblCellMar>
        </w:tblPrEx>
        <w:trPr>
          <w:trHeight w:val="856" w:hRule="atLeast"/>
          <w:jc w:val="center"/>
        </w:trPr>
        <w:tc>
          <w:tcPr>
            <w:tcW w:w="1760" w:type="dxa"/>
            <w:vAlign w:val="center"/>
          </w:tcPr>
          <w:p>
            <w:pPr>
              <w:widowControl/>
              <w:spacing w:line="280" w:lineRule="exact"/>
              <w:jc w:val="center"/>
              <w:textAlignment w:val="top"/>
              <w:rPr>
                <w:rFonts w:ascii="仿宋" w:hAnsi="仿宋" w:eastAsia="仿宋" w:cs="仿宋"/>
                <w:kern w:val="0"/>
                <w:sz w:val="24"/>
                <w:lang w:bidi="ar"/>
              </w:rPr>
            </w:pPr>
            <w:r>
              <w:rPr>
                <w:rFonts w:hint="eastAsia" w:ascii="仿宋" w:hAnsi="仿宋" w:eastAsia="仿宋" w:cs="仿宋"/>
                <w:kern w:val="0"/>
                <w:sz w:val="24"/>
                <w:lang w:bidi="ar"/>
              </w:rPr>
              <w:t>与公园绿地</w:t>
            </w:r>
          </w:p>
          <w:p>
            <w:pPr>
              <w:widowControl/>
              <w:spacing w:line="280" w:lineRule="exact"/>
              <w:jc w:val="center"/>
              <w:textAlignment w:val="top"/>
              <w:rPr>
                <w:rFonts w:ascii="仿宋" w:hAnsi="仿宋" w:eastAsia="仿宋" w:cs="仿宋"/>
                <w:kern w:val="0"/>
                <w:sz w:val="24"/>
                <w:lang w:bidi="ar"/>
              </w:rPr>
            </w:pPr>
            <w:r>
              <w:rPr>
                <w:rFonts w:hint="eastAsia" w:ascii="仿宋" w:hAnsi="仿宋" w:eastAsia="仿宋" w:cs="仿宋"/>
                <w:kern w:val="0"/>
                <w:sz w:val="24"/>
                <w:lang w:bidi="ar"/>
              </w:rPr>
              <w:t>距离</w:t>
            </w:r>
          </w:p>
        </w:tc>
        <w:tc>
          <w:tcPr>
            <w:tcW w:w="2689" w:type="dxa"/>
            <w:vAlign w:val="center"/>
          </w:tcPr>
          <w:p>
            <w:pPr>
              <w:widowControl/>
              <w:jc w:val="center"/>
              <w:textAlignment w:val="top"/>
              <w:rPr>
                <w:rFonts w:ascii="仿宋" w:hAnsi="仿宋" w:eastAsia="仿宋" w:cs="仿宋"/>
                <w:sz w:val="24"/>
              </w:rPr>
            </w:pPr>
            <w:r>
              <w:rPr>
                <w:rFonts w:hint="eastAsia" w:ascii="仿宋" w:hAnsi="仿宋" w:eastAsia="仿宋" w:cs="仿宋"/>
                <w:sz w:val="24"/>
              </w:rPr>
              <w:t>距</w:t>
            </w:r>
            <w:r>
              <w:rPr>
                <w:rFonts w:hint="eastAsia" w:ascii="仿宋" w:hAnsi="仿宋" w:eastAsia="仿宋" w:cs="仿宋"/>
                <w:kern w:val="0"/>
                <w:sz w:val="24"/>
                <w:lang w:bidi="ar"/>
              </w:rPr>
              <w:t>公园绿地</w:t>
            </w:r>
            <w:r>
              <w:rPr>
                <w:rFonts w:hint="eastAsia" w:ascii="仿宋" w:hAnsi="仿宋" w:eastAsia="仿宋" w:cs="仿宋"/>
                <w:sz w:val="24"/>
              </w:rPr>
              <w:t>的距离</w:t>
            </w:r>
          </w:p>
        </w:tc>
        <w:tc>
          <w:tcPr>
            <w:tcW w:w="1329" w:type="dxa"/>
            <w:vAlign w:val="center"/>
          </w:tcPr>
          <w:p>
            <w:pPr>
              <w:widowControl/>
              <w:jc w:val="center"/>
              <w:textAlignment w:val="top"/>
              <w:rPr>
                <w:rFonts w:ascii="仿宋" w:hAnsi="仿宋" w:eastAsia="仿宋" w:cs="仿宋"/>
                <w:sz w:val="24"/>
              </w:rPr>
            </w:pPr>
            <w:r>
              <w:rPr>
                <w:rFonts w:hint="eastAsia" w:ascii="仿宋" w:hAnsi="仿宋" w:eastAsia="仿宋" w:cs="仿宋"/>
                <w:kern w:val="0"/>
                <w:sz w:val="24"/>
                <w:lang w:bidi="ar"/>
              </w:rPr>
              <w:t>0-0.005</w:t>
            </w:r>
          </w:p>
        </w:tc>
        <w:tc>
          <w:tcPr>
            <w:tcW w:w="1828" w:type="dxa"/>
            <w:vAlign w:val="center"/>
          </w:tcPr>
          <w:p>
            <w:pPr>
              <w:widowControl/>
              <w:spacing w:line="280" w:lineRule="exact"/>
              <w:jc w:val="center"/>
              <w:textAlignment w:val="top"/>
              <w:rPr>
                <w:rFonts w:ascii="仿宋" w:hAnsi="仿宋" w:eastAsia="仿宋" w:cs="仿宋"/>
                <w:sz w:val="24"/>
              </w:rPr>
            </w:pPr>
            <w:r>
              <w:rPr>
                <w:rFonts w:hint="eastAsia" w:ascii="仿宋" w:hAnsi="仿宋" w:eastAsia="仿宋" w:cs="仿宋"/>
                <w:kern w:val="0"/>
                <w:sz w:val="24"/>
                <w:lang w:bidi="ar"/>
              </w:rPr>
              <w:t>住宅及商业基准地价级别，权重8:2</w:t>
            </w:r>
          </w:p>
        </w:tc>
        <w:tc>
          <w:tcPr>
            <w:tcW w:w="1243" w:type="dxa"/>
            <w:vMerge w:val="continue"/>
            <w:vAlign w:val="center"/>
          </w:tcPr>
          <w:p>
            <w:pPr>
              <w:widowControl/>
              <w:jc w:val="center"/>
              <w:textAlignment w:val="center"/>
              <w:rPr>
                <w:rFonts w:ascii="仿宋" w:hAnsi="仿宋" w:eastAsia="仿宋" w:cs="仿宋"/>
                <w:sz w:val="24"/>
              </w:rPr>
            </w:pPr>
          </w:p>
        </w:tc>
      </w:tr>
      <w:tr>
        <w:tblPrEx>
          <w:tblBorders>
            <w:top w:val="single" w:color="000000" w:sz="18" w:space="0"/>
            <w:left w:val="single" w:color="000000" w:sz="18" w:space="0"/>
            <w:bottom w:val="single" w:color="000000" w:sz="18" w:space="0"/>
            <w:right w:val="single" w:color="000000" w:sz="18" w:space="0"/>
            <w:insideH w:val="single" w:color="000000" w:sz="2" w:space="0"/>
            <w:insideV w:val="single" w:color="000000" w:sz="2" w:space="0"/>
          </w:tblBorders>
          <w:tblCellMar>
            <w:top w:w="0" w:type="dxa"/>
            <w:left w:w="108" w:type="dxa"/>
            <w:bottom w:w="0" w:type="dxa"/>
            <w:right w:w="108" w:type="dxa"/>
          </w:tblCellMar>
        </w:tblPrEx>
        <w:trPr>
          <w:trHeight w:val="389" w:hRule="atLeast"/>
          <w:jc w:val="center"/>
        </w:trPr>
        <w:tc>
          <w:tcPr>
            <w:tcW w:w="1760" w:type="dxa"/>
            <w:vMerge w:val="restart"/>
            <w:vAlign w:val="center"/>
          </w:tcPr>
          <w:p>
            <w:pPr>
              <w:widowControl/>
              <w:jc w:val="center"/>
              <w:textAlignment w:val="top"/>
              <w:rPr>
                <w:rFonts w:ascii="仿宋" w:hAnsi="仿宋" w:eastAsia="仿宋" w:cs="仿宋"/>
                <w:sz w:val="24"/>
              </w:rPr>
            </w:pPr>
            <w:r>
              <w:rPr>
                <w:rFonts w:hint="eastAsia" w:ascii="仿宋" w:hAnsi="仿宋" w:eastAsia="仿宋" w:cs="仿宋"/>
                <w:kern w:val="0"/>
                <w:sz w:val="24"/>
                <w:lang w:bidi="ar"/>
              </w:rPr>
              <w:t>项目规模</w:t>
            </w:r>
          </w:p>
        </w:tc>
        <w:tc>
          <w:tcPr>
            <w:tcW w:w="2689" w:type="dxa"/>
            <w:vAlign w:val="center"/>
          </w:tcPr>
          <w:p>
            <w:pPr>
              <w:widowControl/>
              <w:spacing w:line="280" w:lineRule="exact"/>
              <w:jc w:val="center"/>
              <w:textAlignment w:val="top"/>
              <w:rPr>
                <w:rFonts w:ascii="仿宋" w:hAnsi="仿宋" w:eastAsia="仿宋" w:cs="仿宋"/>
                <w:kern w:val="0"/>
                <w:sz w:val="24"/>
                <w:lang w:bidi="ar"/>
              </w:rPr>
            </w:pPr>
            <w:r>
              <w:rPr>
                <w:rFonts w:hint="eastAsia" w:ascii="仿宋" w:hAnsi="仿宋" w:eastAsia="仿宋" w:cs="仿宋"/>
                <w:kern w:val="0"/>
                <w:sz w:val="24"/>
                <w:lang w:bidi="ar"/>
              </w:rPr>
              <w:t>规模≥100亩</w:t>
            </w:r>
          </w:p>
        </w:tc>
        <w:tc>
          <w:tcPr>
            <w:tcW w:w="1329" w:type="dxa"/>
            <w:vAlign w:val="center"/>
          </w:tcPr>
          <w:p>
            <w:pPr>
              <w:widowControl/>
              <w:jc w:val="center"/>
              <w:textAlignment w:val="top"/>
              <w:rPr>
                <w:rFonts w:ascii="仿宋" w:hAnsi="仿宋" w:eastAsia="仿宋" w:cs="仿宋"/>
                <w:sz w:val="24"/>
              </w:rPr>
            </w:pPr>
            <w:r>
              <w:rPr>
                <w:rFonts w:hint="eastAsia" w:ascii="仿宋" w:hAnsi="仿宋" w:eastAsia="仿宋" w:cs="仿宋"/>
                <w:kern w:val="0"/>
                <w:sz w:val="24"/>
                <w:lang w:bidi="ar"/>
              </w:rPr>
              <w:t>0.005</w:t>
            </w:r>
          </w:p>
        </w:tc>
        <w:tc>
          <w:tcPr>
            <w:tcW w:w="3071" w:type="dxa"/>
            <w:gridSpan w:val="2"/>
            <w:vMerge w:val="restart"/>
            <w:vAlign w:val="center"/>
          </w:tcPr>
          <w:p>
            <w:pPr>
              <w:widowControl/>
              <w:jc w:val="center"/>
              <w:textAlignment w:val="top"/>
              <w:rPr>
                <w:rFonts w:ascii="仿宋" w:hAnsi="仿宋" w:eastAsia="仿宋" w:cs="仿宋"/>
                <w:sz w:val="24"/>
              </w:rPr>
            </w:pPr>
            <w:r>
              <w:rPr>
                <w:rFonts w:hint="eastAsia" w:ascii="仿宋" w:hAnsi="仿宋" w:eastAsia="仿宋" w:cs="仿宋"/>
                <w:sz w:val="24"/>
              </w:rPr>
              <w:t>按项目实际确定</w:t>
            </w:r>
          </w:p>
        </w:tc>
      </w:tr>
      <w:tr>
        <w:tblPrEx>
          <w:tblBorders>
            <w:top w:val="single" w:color="000000" w:sz="18" w:space="0"/>
            <w:left w:val="single" w:color="000000" w:sz="18" w:space="0"/>
            <w:bottom w:val="single" w:color="000000" w:sz="18" w:space="0"/>
            <w:right w:val="single" w:color="000000" w:sz="18" w:space="0"/>
            <w:insideH w:val="single" w:color="000000" w:sz="2" w:space="0"/>
            <w:insideV w:val="single" w:color="000000" w:sz="2" w:space="0"/>
          </w:tblBorders>
          <w:tblCellMar>
            <w:top w:w="0" w:type="dxa"/>
            <w:left w:w="108" w:type="dxa"/>
            <w:bottom w:w="0" w:type="dxa"/>
            <w:right w:w="108" w:type="dxa"/>
          </w:tblCellMar>
        </w:tblPrEx>
        <w:trPr>
          <w:trHeight w:val="389" w:hRule="atLeast"/>
          <w:jc w:val="center"/>
        </w:trPr>
        <w:tc>
          <w:tcPr>
            <w:tcW w:w="1760" w:type="dxa"/>
            <w:vMerge w:val="continue"/>
            <w:vAlign w:val="center"/>
          </w:tcPr>
          <w:p>
            <w:pPr>
              <w:jc w:val="center"/>
              <w:rPr>
                <w:rFonts w:ascii="仿宋" w:hAnsi="仿宋" w:eastAsia="仿宋" w:cs="仿宋"/>
                <w:sz w:val="24"/>
              </w:rPr>
            </w:pPr>
          </w:p>
        </w:tc>
        <w:tc>
          <w:tcPr>
            <w:tcW w:w="2689" w:type="dxa"/>
            <w:vAlign w:val="center"/>
          </w:tcPr>
          <w:p>
            <w:pPr>
              <w:widowControl/>
              <w:spacing w:line="280" w:lineRule="exact"/>
              <w:jc w:val="center"/>
              <w:textAlignment w:val="top"/>
              <w:rPr>
                <w:rFonts w:ascii="仿宋" w:hAnsi="仿宋" w:eastAsia="仿宋" w:cs="仿宋"/>
                <w:kern w:val="0"/>
                <w:sz w:val="24"/>
                <w:lang w:bidi="ar"/>
              </w:rPr>
            </w:pPr>
            <w:r>
              <w:rPr>
                <w:rFonts w:hint="eastAsia" w:ascii="仿宋" w:hAnsi="仿宋" w:eastAsia="仿宋" w:cs="仿宋"/>
                <w:kern w:val="0"/>
                <w:sz w:val="24"/>
                <w:lang w:bidi="ar"/>
              </w:rPr>
              <w:t>70亩≤规模＜100亩</w:t>
            </w:r>
          </w:p>
        </w:tc>
        <w:tc>
          <w:tcPr>
            <w:tcW w:w="1329" w:type="dxa"/>
            <w:vAlign w:val="center"/>
          </w:tcPr>
          <w:p>
            <w:pPr>
              <w:widowControl/>
              <w:jc w:val="center"/>
              <w:textAlignment w:val="top"/>
              <w:rPr>
                <w:rFonts w:ascii="仿宋" w:hAnsi="仿宋" w:eastAsia="仿宋" w:cs="仿宋"/>
                <w:sz w:val="24"/>
              </w:rPr>
            </w:pPr>
            <w:r>
              <w:rPr>
                <w:rFonts w:hint="eastAsia" w:ascii="仿宋" w:hAnsi="仿宋" w:eastAsia="仿宋" w:cs="仿宋"/>
                <w:kern w:val="0"/>
                <w:sz w:val="24"/>
                <w:lang w:bidi="ar"/>
              </w:rPr>
              <w:t>0.004</w:t>
            </w:r>
          </w:p>
        </w:tc>
        <w:tc>
          <w:tcPr>
            <w:tcW w:w="3071" w:type="dxa"/>
            <w:gridSpan w:val="2"/>
            <w:vMerge w:val="continue"/>
            <w:vAlign w:val="center"/>
          </w:tcPr>
          <w:p>
            <w:pPr>
              <w:widowControl/>
              <w:jc w:val="center"/>
              <w:textAlignment w:val="top"/>
              <w:rPr>
                <w:rFonts w:ascii="仿宋" w:hAnsi="仿宋" w:eastAsia="仿宋" w:cs="仿宋"/>
                <w:sz w:val="24"/>
              </w:rPr>
            </w:pPr>
          </w:p>
        </w:tc>
      </w:tr>
      <w:tr>
        <w:tblPrEx>
          <w:tblBorders>
            <w:top w:val="single" w:color="000000" w:sz="18" w:space="0"/>
            <w:left w:val="single" w:color="000000" w:sz="18" w:space="0"/>
            <w:bottom w:val="single" w:color="000000" w:sz="18" w:space="0"/>
            <w:right w:val="single" w:color="000000" w:sz="18" w:space="0"/>
            <w:insideH w:val="single" w:color="000000" w:sz="2" w:space="0"/>
            <w:insideV w:val="single" w:color="000000" w:sz="2" w:space="0"/>
          </w:tblBorders>
          <w:tblCellMar>
            <w:top w:w="0" w:type="dxa"/>
            <w:left w:w="108" w:type="dxa"/>
            <w:bottom w:w="0" w:type="dxa"/>
            <w:right w:w="108" w:type="dxa"/>
          </w:tblCellMar>
        </w:tblPrEx>
        <w:trPr>
          <w:trHeight w:val="389" w:hRule="atLeast"/>
          <w:jc w:val="center"/>
        </w:trPr>
        <w:tc>
          <w:tcPr>
            <w:tcW w:w="1760" w:type="dxa"/>
            <w:vMerge w:val="continue"/>
            <w:vAlign w:val="center"/>
          </w:tcPr>
          <w:p>
            <w:pPr>
              <w:jc w:val="center"/>
              <w:rPr>
                <w:rFonts w:ascii="仿宋" w:hAnsi="仿宋" w:eastAsia="仿宋" w:cs="仿宋"/>
                <w:sz w:val="24"/>
              </w:rPr>
            </w:pPr>
          </w:p>
        </w:tc>
        <w:tc>
          <w:tcPr>
            <w:tcW w:w="2689" w:type="dxa"/>
            <w:vAlign w:val="center"/>
          </w:tcPr>
          <w:p>
            <w:pPr>
              <w:widowControl/>
              <w:spacing w:line="280" w:lineRule="exact"/>
              <w:jc w:val="center"/>
              <w:textAlignment w:val="top"/>
              <w:rPr>
                <w:rFonts w:ascii="仿宋" w:hAnsi="仿宋" w:eastAsia="仿宋" w:cs="仿宋"/>
                <w:kern w:val="0"/>
                <w:sz w:val="24"/>
                <w:lang w:bidi="ar"/>
              </w:rPr>
            </w:pPr>
            <w:r>
              <w:rPr>
                <w:rFonts w:hint="eastAsia" w:ascii="仿宋" w:hAnsi="仿宋" w:eastAsia="仿宋" w:cs="仿宋"/>
                <w:kern w:val="0"/>
                <w:sz w:val="24"/>
                <w:lang w:bidi="ar"/>
              </w:rPr>
              <w:t>50亩≤规模＜70亩</w:t>
            </w:r>
          </w:p>
        </w:tc>
        <w:tc>
          <w:tcPr>
            <w:tcW w:w="1329" w:type="dxa"/>
            <w:vAlign w:val="center"/>
          </w:tcPr>
          <w:p>
            <w:pPr>
              <w:widowControl/>
              <w:jc w:val="center"/>
              <w:textAlignment w:val="top"/>
              <w:rPr>
                <w:rFonts w:ascii="仿宋" w:hAnsi="仿宋" w:eastAsia="仿宋" w:cs="仿宋"/>
                <w:sz w:val="24"/>
              </w:rPr>
            </w:pPr>
            <w:r>
              <w:rPr>
                <w:rFonts w:hint="eastAsia" w:ascii="仿宋" w:hAnsi="仿宋" w:eastAsia="仿宋" w:cs="仿宋"/>
                <w:sz w:val="24"/>
              </w:rPr>
              <w:t>0.003</w:t>
            </w:r>
          </w:p>
        </w:tc>
        <w:tc>
          <w:tcPr>
            <w:tcW w:w="3071" w:type="dxa"/>
            <w:gridSpan w:val="2"/>
            <w:vMerge w:val="continue"/>
            <w:vAlign w:val="center"/>
          </w:tcPr>
          <w:p>
            <w:pPr>
              <w:widowControl/>
              <w:jc w:val="center"/>
              <w:textAlignment w:val="top"/>
              <w:rPr>
                <w:rFonts w:ascii="仿宋" w:hAnsi="仿宋" w:eastAsia="仿宋" w:cs="仿宋"/>
                <w:sz w:val="24"/>
              </w:rPr>
            </w:pPr>
          </w:p>
        </w:tc>
      </w:tr>
      <w:tr>
        <w:tblPrEx>
          <w:tblBorders>
            <w:top w:val="single" w:color="000000" w:sz="18" w:space="0"/>
            <w:left w:val="single" w:color="000000" w:sz="18" w:space="0"/>
            <w:bottom w:val="single" w:color="000000" w:sz="18" w:space="0"/>
            <w:right w:val="single" w:color="000000" w:sz="18" w:space="0"/>
            <w:insideH w:val="single" w:color="000000" w:sz="2" w:space="0"/>
            <w:insideV w:val="single" w:color="000000" w:sz="2" w:space="0"/>
          </w:tblBorders>
          <w:tblCellMar>
            <w:top w:w="0" w:type="dxa"/>
            <w:left w:w="108" w:type="dxa"/>
            <w:bottom w:w="0" w:type="dxa"/>
            <w:right w:w="108" w:type="dxa"/>
          </w:tblCellMar>
        </w:tblPrEx>
        <w:trPr>
          <w:trHeight w:val="389" w:hRule="atLeast"/>
          <w:jc w:val="center"/>
        </w:trPr>
        <w:tc>
          <w:tcPr>
            <w:tcW w:w="1760" w:type="dxa"/>
            <w:vMerge w:val="continue"/>
            <w:vAlign w:val="center"/>
          </w:tcPr>
          <w:p>
            <w:pPr>
              <w:jc w:val="center"/>
              <w:rPr>
                <w:rFonts w:ascii="仿宋" w:hAnsi="仿宋" w:eastAsia="仿宋" w:cs="仿宋"/>
                <w:sz w:val="24"/>
              </w:rPr>
            </w:pPr>
          </w:p>
        </w:tc>
        <w:tc>
          <w:tcPr>
            <w:tcW w:w="2689" w:type="dxa"/>
            <w:vAlign w:val="center"/>
          </w:tcPr>
          <w:p>
            <w:pPr>
              <w:widowControl/>
              <w:spacing w:line="280" w:lineRule="exact"/>
              <w:jc w:val="center"/>
              <w:textAlignment w:val="top"/>
              <w:rPr>
                <w:rFonts w:ascii="仿宋" w:hAnsi="仿宋" w:eastAsia="仿宋" w:cs="仿宋"/>
                <w:kern w:val="0"/>
                <w:sz w:val="24"/>
                <w:lang w:bidi="ar"/>
              </w:rPr>
            </w:pPr>
            <w:r>
              <w:rPr>
                <w:rFonts w:hint="eastAsia" w:ascii="仿宋" w:hAnsi="仿宋" w:eastAsia="仿宋" w:cs="仿宋"/>
                <w:kern w:val="0"/>
                <w:sz w:val="24"/>
                <w:lang w:bidi="ar"/>
              </w:rPr>
              <w:t>30亩≤规模＜50亩</w:t>
            </w:r>
          </w:p>
        </w:tc>
        <w:tc>
          <w:tcPr>
            <w:tcW w:w="1329" w:type="dxa"/>
            <w:vAlign w:val="center"/>
          </w:tcPr>
          <w:p>
            <w:pPr>
              <w:widowControl/>
              <w:jc w:val="center"/>
              <w:textAlignment w:val="top"/>
              <w:rPr>
                <w:rFonts w:ascii="仿宋" w:hAnsi="仿宋" w:eastAsia="仿宋" w:cs="仿宋"/>
                <w:sz w:val="24"/>
              </w:rPr>
            </w:pPr>
            <w:r>
              <w:rPr>
                <w:rFonts w:hint="eastAsia" w:ascii="仿宋" w:hAnsi="仿宋" w:eastAsia="仿宋" w:cs="仿宋"/>
                <w:sz w:val="24"/>
              </w:rPr>
              <w:t>0.002</w:t>
            </w:r>
          </w:p>
        </w:tc>
        <w:tc>
          <w:tcPr>
            <w:tcW w:w="3071" w:type="dxa"/>
            <w:gridSpan w:val="2"/>
            <w:vMerge w:val="continue"/>
            <w:vAlign w:val="center"/>
          </w:tcPr>
          <w:p>
            <w:pPr>
              <w:widowControl/>
              <w:jc w:val="center"/>
              <w:textAlignment w:val="top"/>
              <w:rPr>
                <w:rFonts w:ascii="仿宋" w:hAnsi="仿宋" w:eastAsia="仿宋" w:cs="仿宋"/>
                <w:sz w:val="24"/>
              </w:rPr>
            </w:pPr>
          </w:p>
        </w:tc>
      </w:tr>
      <w:tr>
        <w:tblPrEx>
          <w:tblBorders>
            <w:top w:val="single" w:color="000000" w:sz="18" w:space="0"/>
            <w:left w:val="single" w:color="000000" w:sz="18" w:space="0"/>
            <w:bottom w:val="single" w:color="000000" w:sz="18" w:space="0"/>
            <w:right w:val="single" w:color="000000" w:sz="18" w:space="0"/>
            <w:insideH w:val="single" w:color="000000" w:sz="2" w:space="0"/>
            <w:insideV w:val="single" w:color="000000" w:sz="2" w:space="0"/>
          </w:tblBorders>
          <w:tblCellMar>
            <w:top w:w="0" w:type="dxa"/>
            <w:left w:w="108" w:type="dxa"/>
            <w:bottom w:w="0" w:type="dxa"/>
            <w:right w:w="108" w:type="dxa"/>
          </w:tblCellMar>
        </w:tblPrEx>
        <w:trPr>
          <w:trHeight w:val="389" w:hRule="atLeast"/>
          <w:jc w:val="center"/>
        </w:trPr>
        <w:tc>
          <w:tcPr>
            <w:tcW w:w="1760" w:type="dxa"/>
            <w:vMerge w:val="continue"/>
            <w:vAlign w:val="center"/>
          </w:tcPr>
          <w:p>
            <w:pPr>
              <w:jc w:val="center"/>
              <w:rPr>
                <w:rFonts w:ascii="仿宋" w:hAnsi="仿宋" w:eastAsia="仿宋" w:cs="仿宋"/>
                <w:sz w:val="24"/>
              </w:rPr>
            </w:pPr>
          </w:p>
        </w:tc>
        <w:tc>
          <w:tcPr>
            <w:tcW w:w="2689" w:type="dxa"/>
            <w:vAlign w:val="center"/>
          </w:tcPr>
          <w:p>
            <w:pPr>
              <w:widowControl/>
              <w:spacing w:line="280" w:lineRule="exact"/>
              <w:jc w:val="center"/>
              <w:textAlignment w:val="top"/>
              <w:rPr>
                <w:rFonts w:ascii="仿宋" w:hAnsi="仿宋" w:eastAsia="仿宋" w:cs="仿宋"/>
                <w:kern w:val="0"/>
                <w:sz w:val="24"/>
                <w:lang w:bidi="ar"/>
              </w:rPr>
            </w:pPr>
            <w:r>
              <w:rPr>
                <w:rFonts w:hint="eastAsia" w:ascii="仿宋" w:hAnsi="仿宋" w:eastAsia="仿宋" w:cs="仿宋"/>
                <w:kern w:val="0"/>
                <w:sz w:val="24"/>
                <w:lang w:bidi="ar"/>
              </w:rPr>
              <w:t>规模&lt;30亩</w:t>
            </w:r>
          </w:p>
        </w:tc>
        <w:tc>
          <w:tcPr>
            <w:tcW w:w="1329" w:type="dxa"/>
            <w:vAlign w:val="center"/>
          </w:tcPr>
          <w:p>
            <w:pPr>
              <w:widowControl/>
              <w:jc w:val="center"/>
              <w:textAlignment w:val="top"/>
              <w:rPr>
                <w:rFonts w:ascii="仿宋" w:hAnsi="仿宋" w:eastAsia="仿宋" w:cs="仿宋"/>
                <w:sz w:val="24"/>
              </w:rPr>
            </w:pPr>
            <w:r>
              <w:rPr>
                <w:rFonts w:hint="eastAsia" w:ascii="仿宋" w:hAnsi="仿宋" w:eastAsia="仿宋" w:cs="仿宋"/>
                <w:kern w:val="0"/>
                <w:sz w:val="24"/>
                <w:lang w:bidi="ar"/>
              </w:rPr>
              <w:t>0.001</w:t>
            </w:r>
          </w:p>
        </w:tc>
        <w:tc>
          <w:tcPr>
            <w:tcW w:w="3071" w:type="dxa"/>
            <w:gridSpan w:val="2"/>
            <w:vMerge w:val="continue"/>
            <w:vAlign w:val="center"/>
          </w:tcPr>
          <w:p>
            <w:pPr>
              <w:widowControl/>
              <w:jc w:val="center"/>
              <w:textAlignment w:val="top"/>
              <w:rPr>
                <w:rFonts w:ascii="仿宋" w:hAnsi="仿宋" w:eastAsia="仿宋" w:cs="仿宋"/>
                <w:sz w:val="24"/>
              </w:rPr>
            </w:pPr>
          </w:p>
        </w:tc>
      </w:tr>
    </w:tbl>
    <w:p>
      <w:pPr>
        <w:pStyle w:val="2"/>
        <w:tabs>
          <w:tab w:val="left" w:pos="558"/>
        </w:tabs>
        <w:spacing w:line="560" w:lineRule="exact"/>
        <w:ind w:firstLine="640" w:firstLineChars="200"/>
        <w:jc w:val="left"/>
        <w:rPr>
          <w:rStyle w:val="6"/>
          <w:rFonts w:ascii="仿宋_GB2312" w:hAnsi="仿宋_GB2312" w:eastAsia="仿宋_GB2312" w:cs="仿宋_GB2312"/>
          <w:sz w:val="32"/>
          <w:szCs w:val="32"/>
        </w:rPr>
      </w:pPr>
      <w:r>
        <w:rPr>
          <w:rStyle w:val="6"/>
          <w:rFonts w:hint="eastAsia" w:ascii="仿宋_GB2312" w:hAnsi="仿宋_GB2312" w:eastAsia="仿宋_GB2312" w:cs="仿宋_GB2312"/>
          <w:sz w:val="32"/>
          <w:szCs w:val="32"/>
        </w:rPr>
        <w:t>2.期日修正系数</w:t>
      </w:r>
    </w:p>
    <w:p>
      <w:pPr>
        <w:pStyle w:val="2"/>
        <w:tabs>
          <w:tab w:val="left" w:pos="558"/>
        </w:tabs>
        <w:spacing w:line="560" w:lineRule="exact"/>
        <w:ind w:firstLine="640" w:firstLineChars="200"/>
        <w:jc w:val="left"/>
        <w:rPr>
          <w:rStyle w:val="6"/>
          <w:rFonts w:ascii="仿宋_GB2312" w:hAnsi="仿宋_GB2312" w:eastAsia="仿宋_GB2312" w:cs="仿宋_GB2312"/>
          <w:sz w:val="32"/>
          <w:szCs w:val="32"/>
        </w:rPr>
      </w:pPr>
      <w:r>
        <w:rPr>
          <w:rStyle w:val="6"/>
          <w:rFonts w:hint="eastAsia" w:ascii="仿宋_GB2312" w:hAnsi="仿宋_GB2312" w:eastAsia="仿宋_GB2312" w:cs="仿宋_GB2312"/>
          <w:sz w:val="32"/>
          <w:szCs w:val="32"/>
        </w:rPr>
        <w:t>项目基准日与片区综合地价的基准日不相同时，需参考中国城市地价动态监测网站公布的地价指数确定期日修正系数。储备项目基准日以项目设立方案批准时间为准。</w:t>
      </w:r>
    </w:p>
    <w:p>
      <w:pPr>
        <w:pStyle w:val="5"/>
        <w:snapToGrid w:val="0"/>
        <w:spacing w:line="560" w:lineRule="exact"/>
        <w:ind w:firstLine="800" w:firstLineChars="250"/>
        <w:rPr>
          <w:rFonts w:ascii="黑体" w:hAnsi="黑体" w:eastAsia="黑体" w:cs="黑体"/>
        </w:rPr>
      </w:pPr>
      <w:r>
        <w:rPr>
          <w:rFonts w:hint="eastAsia" w:ascii="黑体" w:hAnsi="黑体" w:eastAsia="黑体" w:cs="黑体"/>
        </w:rPr>
        <w:t>三、宗地补偿费用测算</w:t>
      </w:r>
    </w:p>
    <w:p>
      <w:pPr>
        <w:pStyle w:val="2"/>
        <w:tabs>
          <w:tab w:val="left" w:pos="558"/>
        </w:tabs>
        <w:spacing w:line="560" w:lineRule="exact"/>
        <w:ind w:firstLine="640" w:firstLineChars="200"/>
        <w:jc w:val="left"/>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（一）测算公式</w:t>
      </w:r>
    </w:p>
    <w:p>
      <w:pPr>
        <w:pStyle w:val="2"/>
        <w:tabs>
          <w:tab w:val="left" w:pos="558"/>
        </w:tabs>
        <w:spacing w:line="560" w:lineRule="exact"/>
        <w:ind w:firstLine="640" w:firstLineChars="200"/>
        <w:jc w:val="left"/>
        <w:rPr>
          <w:rStyle w:val="6"/>
          <w:rFonts w:ascii="仿宋_GB2312" w:hAnsi="仿宋_GB2312" w:eastAsia="仿宋_GB2312" w:cs="仿宋_GB2312"/>
          <w:sz w:val="32"/>
          <w:szCs w:val="32"/>
        </w:rPr>
      </w:pPr>
      <w:r>
        <w:rPr>
          <w:rStyle w:val="6"/>
          <w:rFonts w:hint="eastAsia" w:ascii="仿宋_GB2312" w:hAnsi="仿宋_GB2312" w:eastAsia="仿宋_GB2312" w:cs="仿宋_GB2312"/>
          <w:sz w:val="32"/>
          <w:szCs w:val="32"/>
        </w:rPr>
        <w:t>储备项目宗地补偿费用</w:t>
      </w:r>
    </w:p>
    <w:p>
      <w:pPr>
        <w:pStyle w:val="2"/>
        <w:tabs>
          <w:tab w:val="left" w:pos="558"/>
        </w:tabs>
        <w:spacing w:line="560" w:lineRule="exact"/>
        <w:ind w:firstLine="640" w:firstLineChars="200"/>
        <w:jc w:val="left"/>
        <w:rPr>
          <w:rFonts w:ascii="仿宋_GB2312" w:hAnsi="仿宋_GB2312" w:eastAsia="仿宋_GB2312" w:cs="仿宋_GB2312"/>
          <w:sz w:val="32"/>
          <w:szCs w:val="32"/>
        </w:rPr>
      </w:pPr>
      <w:r>
        <w:rPr>
          <w:rStyle w:val="6"/>
          <w:rFonts w:hint="eastAsia" w:ascii="仿宋_GB2312" w:hAnsi="仿宋_GB2312" w:eastAsia="仿宋_GB2312" w:cs="仿宋_GB2312"/>
          <w:sz w:val="32"/>
          <w:szCs w:val="32"/>
        </w:rPr>
        <w:t>宗地补偿费用（TP</w:t>
      </w:r>
      <w:r>
        <w:rPr>
          <w:rStyle w:val="6"/>
          <w:rFonts w:hint="eastAsia" w:ascii="仿宋_GB2312" w:hAnsi="仿宋_GB2312" w:eastAsia="仿宋_GB2312" w:cs="仿宋_GB2312"/>
          <w:sz w:val="32"/>
          <w:szCs w:val="32"/>
          <w:vertAlign w:val="subscript"/>
        </w:rPr>
        <w:t>宗</w:t>
      </w:r>
      <w:r>
        <w:rPr>
          <w:rStyle w:val="6"/>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w:t>
      </w:r>
      <w:r>
        <w:rPr>
          <w:rStyle w:val="6"/>
          <w:rFonts w:hint="eastAsia" w:ascii="仿宋_GB2312" w:hAnsi="仿宋_GB2312" w:eastAsia="仿宋_GB2312" w:cs="仿宋_GB2312"/>
          <w:sz w:val="32"/>
          <w:szCs w:val="32"/>
        </w:rPr>
        <w:t>宗地补偿单价（P</w:t>
      </w:r>
      <w:r>
        <w:rPr>
          <w:rStyle w:val="6"/>
          <w:rFonts w:hint="eastAsia" w:ascii="仿宋_GB2312" w:hAnsi="仿宋_GB2312" w:eastAsia="仿宋_GB2312" w:cs="仿宋_GB2312"/>
          <w:sz w:val="32"/>
          <w:szCs w:val="32"/>
          <w:vertAlign w:val="subscript"/>
        </w:rPr>
        <w:t>宗</w:t>
      </w:r>
      <w:r>
        <w:rPr>
          <w:rStyle w:val="6"/>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w:t>
      </w:r>
      <w:r>
        <w:rPr>
          <w:rStyle w:val="6"/>
          <w:rFonts w:hint="eastAsia" w:ascii="仿宋_GB2312" w:hAnsi="仿宋_GB2312" w:eastAsia="仿宋_GB2312" w:cs="仿宋_GB2312"/>
          <w:sz w:val="32"/>
          <w:szCs w:val="32"/>
        </w:rPr>
        <w:t>宗地面积</w:t>
      </w:r>
    </w:p>
    <w:p>
      <w:pPr>
        <w:pStyle w:val="2"/>
        <w:tabs>
          <w:tab w:val="left" w:pos="558"/>
        </w:tabs>
        <w:spacing w:line="560" w:lineRule="exact"/>
        <w:ind w:firstLine="640" w:firstLineChars="200"/>
        <w:jc w:val="left"/>
        <w:rPr>
          <w:rFonts w:ascii="仿宋_GB2312" w:hAnsi="仿宋_GB2312" w:eastAsia="仿宋_GB2312" w:cs="仿宋_GB2312"/>
          <w:sz w:val="32"/>
          <w:szCs w:val="32"/>
        </w:rPr>
      </w:pPr>
      <w:r>
        <w:rPr>
          <w:rStyle w:val="6"/>
          <w:rFonts w:hint="eastAsia" w:ascii="仿宋_GB2312" w:hAnsi="仿宋_GB2312" w:eastAsia="仿宋_GB2312" w:cs="仿宋_GB2312"/>
          <w:sz w:val="32"/>
          <w:szCs w:val="32"/>
        </w:rPr>
        <w:t>宗地补偿单价（P</w:t>
      </w:r>
      <w:r>
        <w:rPr>
          <w:rStyle w:val="6"/>
          <w:rFonts w:hint="eastAsia" w:ascii="仿宋_GB2312" w:hAnsi="仿宋_GB2312" w:eastAsia="仿宋_GB2312" w:cs="仿宋_GB2312"/>
          <w:sz w:val="32"/>
          <w:szCs w:val="32"/>
          <w:vertAlign w:val="subscript"/>
        </w:rPr>
        <w:t>宗</w:t>
      </w:r>
      <w:r>
        <w:rPr>
          <w:rStyle w:val="6"/>
          <w:rFonts w:hint="eastAsia" w:ascii="仿宋_GB2312" w:hAnsi="仿宋_GB2312" w:eastAsia="仿宋_GB2312" w:cs="仿宋_GB2312"/>
          <w:sz w:val="32"/>
          <w:szCs w:val="32"/>
        </w:rPr>
        <w:t>）=</w:t>
      </w:r>
      <w:r>
        <w:rPr>
          <w:rFonts w:hint="eastAsia" w:ascii="仿宋_GB2312" w:hAnsi="仿宋_GB2312" w:eastAsia="仿宋_GB2312" w:cs="仿宋_GB2312"/>
          <w:bCs/>
          <w:kern w:val="0"/>
          <w:sz w:val="32"/>
          <w:szCs w:val="32"/>
        </w:rPr>
        <w:t>储备项目指导价（P</w:t>
      </w:r>
      <w:r>
        <w:rPr>
          <w:rFonts w:hint="eastAsia" w:ascii="仿宋_GB2312" w:hAnsi="仿宋_GB2312" w:eastAsia="仿宋_GB2312" w:cs="仿宋_GB2312"/>
          <w:bCs/>
          <w:kern w:val="0"/>
          <w:sz w:val="32"/>
          <w:szCs w:val="32"/>
          <w:vertAlign w:val="subscript"/>
        </w:rPr>
        <w:t>指导</w:t>
      </w:r>
      <w:r>
        <w:rPr>
          <w:rFonts w:hint="eastAsia" w:ascii="仿宋_GB2312" w:hAnsi="仿宋_GB2312" w:eastAsia="仿宋_GB2312" w:cs="仿宋_GB2312"/>
          <w:bCs/>
          <w:kern w:val="0"/>
          <w:sz w:val="32"/>
          <w:szCs w:val="32"/>
        </w:rPr>
        <w:t>）</w:t>
      </w:r>
      <w:r>
        <w:rPr>
          <w:rFonts w:hint="eastAsia" w:ascii="仿宋_GB2312" w:hAnsi="仿宋_GB2312" w:eastAsia="仿宋_GB2312" w:cs="仿宋_GB2312"/>
          <w:sz w:val="32"/>
          <w:szCs w:val="32"/>
        </w:rPr>
        <w:t>×（1+K</w:t>
      </w:r>
      <w:r>
        <w:rPr>
          <w:rFonts w:hint="eastAsia" w:ascii="仿宋_GB2312" w:hAnsi="仿宋_GB2312" w:eastAsia="仿宋_GB2312" w:cs="仿宋_GB2312"/>
          <w:sz w:val="32"/>
          <w:szCs w:val="32"/>
          <w:vertAlign w:val="subscript"/>
        </w:rPr>
        <w:t>类型</w:t>
      </w:r>
      <w:r>
        <w:rPr>
          <w:rFonts w:hint="eastAsia" w:ascii="仿宋_GB2312" w:hAnsi="仿宋_GB2312" w:eastAsia="仿宋_GB2312" w:cs="仿宋_GB2312"/>
          <w:sz w:val="32"/>
          <w:szCs w:val="32"/>
        </w:rPr>
        <w:t>+K</w:t>
      </w:r>
      <w:r>
        <w:rPr>
          <w:rFonts w:hint="eastAsia" w:ascii="仿宋_GB2312" w:hAnsi="仿宋_GB2312" w:eastAsia="仿宋_GB2312" w:cs="仿宋_GB2312"/>
          <w:sz w:val="32"/>
          <w:szCs w:val="32"/>
          <w:vertAlign w:val="subscript"/>
        </w:rPr>
        <w:t>年期</w:t>
      </w:r>
      <w:r>
        <w:rPr>
          <w:rFonts w:hint="eastAsia" w:ascii="仿宋_GB2312" w:hAnsi="仿宋_GB2312" w:eastAsia="仿宋_GB2312" w:cs="仿宋_GB2312"/>
          <w:sz w:val="32"/>
          <w:szCs w:val="32"/>
        </w:rPr>
        <w:t>+K</w:t>
      </w:r>
      <w:r>
        <w:rPr>
          <w:rFonts w:hint="eastAsia" w:ascii="仿宋_GB2312" w:hAnsi="仿宋_GB2312" w:eastAsia="仿宋_GB2312" w:cs="仿宋_GB2312"/>
          <w:sz w:val="32"/>
          <w:szCs w:val="32"/>
          <w:vertAlign w:val="subscript"/>
        </w:rPr>
        <w:t>用途</w:t>
      </w:r>
      <w:r>
        <w:rPr>
          <w:rFonts w:hint="eastAsia" w:ascii="仿宋_GB2312" w:hAnsi="仿宋_GB2312" w:eastAsia="仿宋_GB2312" w:cs="仿宋_GB2312"/>
          <w:sz w:val="32"/>
          <w:szCs w:val="32"/>
        </w:rPr>
        <w:t>+K</w:t>
      </w:r>
      <w:r>
        <w:rPr>
          <w:rFonts w:hint="eastAsia" w:ascii="仿宋_GB2312" w:hAnsi="仿宋_GB2312" w:eastAsia="仿宋_GB2312" w:cs="仿宋_GB2312"/>
          <w:sz w:val="32"/>
          <w:szCs w:val="32"/>
          <w:vertAlign w:val="subscript"/>
        </w:rPr>
        <w:t>容积率</w:t>
      </w:r>
      <w:r>
        <w:rPr>
          <w:rFonts w:hint="eastAsia" w:ascii="仿宋_GB2312" w:hAnsi="仿宋_GB2312" w:eastAsia="仿宋_GB2312" w:cs="仿宋_GB2312"/>
          <w:sz w:val="32"/>
          <w:szCs w:val="32"/>
        </w:rPr>
        <w:t>）</w:t>
      </w:r>
    </w:p>
    <w:p>
      <w:pPr>
        <w:pStyle w:val="2"/>
        <w:tabs>
          <w:tab w:val="left" w:pos="558"/>
        </w:tabs>
        <w:spacing w:line="560" w:lineRule="exact"/>
        <w:ind w:firstLine="640" w:firstLineChars="200"/>
        <w:jc w:val="left"/>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（二）修正系数</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1.土地使用权类型修正系数（</w:t>
      </w:r>
      <w:r>
        <w:rPr>
          <w:rStyle w:val="6"/>
          <w:rFonts w:hint="eastAsia" w:ascii="仿宋_GB2312" w:hAnsi="仿宋_GB2312" w:eastAsia="仿宋_GB2312" w:cs="仿宋_GB2312"/>
          <w:sz w:val="32"/>
          <w:szCs w:val="32"/>
        </w:rPr>
        <w:t>K</w:t>
      </w:r>
      <w:r>
        <w:rPr>
          <w:rStyle w:val="6"/>
          <w:rFonts w:hint="eastAsia" w:ascii="仿宋_GB2312" w:hAnsi="仿宋_GB2312" w:eastAsia="仿宋_GB2312" w:cs="仿宋_GB2312"/>
          <w:sz w:val="32"/>
          <w:szCs w:val="32"/>
          <w:vertAlign w:val="subscript"/>
        </w:rPr>
        <w:t>类型</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土地使用权权利类型为划拨的，修正系数为0；土地使用权权利类型为出让的，修正系数为0.03。</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2.土地使用权年限修正系数（K</w:t>
      </w:r>
      <w:r>
        <w:rPr>
          <w:rFonts w:hint="eastAsia" w:ascii="仿宋_GB2312" w:hAnsi="仿宋_GB2312" w:eastAsia="仿宋_GB2312" w:cs="仿宋_GB2312"/>
          <w:sz w:val="32"/>
          <w:szCs w:val="32"/>
          <w:vertAlign w:val="subscript"/>
        </w:rPr>
        <w:t>年期</w:t>
      </w:r>
      <w:r>
        <w:rPr>
          <w:rFonts w:hint="eastAsia" w:ascii="仿宋_GB2312" w:hAnsi="仿宋_GB2312" w:eastAsia="仿宋_GB2312" w:cs="仿宋_GB2312"/>
          <w:sz w:val="32"/>
          <w:szCs w:val="32"/>
        </w:rPr>
        <w:t>）</w:t>
      </w:r>
    </w:p>
    <w:tbl>
      <w:tblPr>
        <w:tblStyle w:val="3"/>
        <w:tblW w:w="8484" w:type="dxa"/>
        <w:jc w:val="center"/>
        <w:tblBorders>
          <w:top w:val="single" w:color="auto" w:sz="18" w:space="0"/>
          <w:left w:val="single" w:color="auto" w:sz="18" w:space="0"/>
          <w:bottom w:val="single" w:color="auto" w:sz="18" w:space="0"/>
          <w:right w:val="single" w:color="auto" w:sz="18" w:space="0"/>
          <w:insideH w:val="single" w:color="auto" w:sz="2" w:space="0"/>
          <w:insideV w:val="single" w:color="auto" w:sz="2" w:space="0"/>
        </w:tblBorders>
        <w:tblLayout w:type="autofit"/>
        <w:tblCellMar>
          <w:top w:w="0" w:type="dxa"/>
          <w:left w:w="108" w:type="dxa"/>
          <w:bottom w:w="0" w:type="dxa"/>
          <w:right w:w="108" w:type="dxa"/>
        </w:tblCellMar>
      </w:tblPr>
      <w:tblGrid>
        <w:gridCol w:w="1316"/>
        <w:gridCol w:w="779"/>
        <w:gridCol w:w="1450"/>
        <w:gridCol w:w="1450"/>
        <w:gridCol w:w="1450"/>
        <w:gridCol w:w="2039"/>
      </w:tblGrid>
      <w:tr>
        <w:tblPrEx>
          <w:tblBorders>
            <w:top w:val="single" w:color="auto" w:sz="18" w:space="0"/>
            <w:left w:val="single" w:color="auto" w:sz="18" w:space="0"/>
            <w:bottom w:val="single" w:color="auto" w:sz="18" w:space="0"/>
            <w:right w:val="single" w:color="auto" w:sz="18" w:space="0"/>
            <w:insideH w:val="single" w:color="auto" w:sz="2" w:space="0"/>
            <w:insideV w:val="single" w:color="auto" w:sz="2" w:space="0"/>
          </w:tblBorders>
          <w:tblCellMar>
            <w:top w:w="0" w:type="dxa"/>
            <w:left w:w="108" w:type="dxa"/>
            <w:bottom w:w="0" w:type="dxa"/>
            <w:right w:w="108" w:type="dxa"/>
          </w:tblCellMar>
        </w:tblPrEx>
        <w:trPr>
          <w:trHeight w:val="424" w:hRule="atLeast"/>
          <w:jc w:val="center"/>
        </w:trPr>
        <w:tc>
          <w:tcPr>
            <w:tcW w:w="8484" w:type="dxa"/>
            <w:gridSpan w:val="6"/>
            <w:noWrap/>
            <w:vAlign w:val="center"/>
          </w:tcPr>
          <w:p>
            <w:pPr>
              <w:widowControl/>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年限修正系数表</w:t>
            </w:r>
          </w:p>
        </w:tc>
      </w:tr>
      <w:tr>
        <w:tblPrEx>
          <w:tblBorders>
            <w:top w:val="single" w:color="auto" w:sz="18" w:space="0"/>
            <w:left w:val="single" w:color="auto" w:sz="18" w:space="0"/>
            <w:bottom w:val="single" w:color="auto" w:sz="18" w:space="0"/>
            <w:right w:val="single" w:color="auto" w:sz="18"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0" w:type="auto"/>
            <w:noWrap/>
            <w:vAlign w:val="center"/>
          </w:tcPr>
          <w:p>
            <w:pPr>
              <w:widowControl/>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使用年期</w:t>
            </w:r>
          </w:p>
        </w:tc>
        <w:tc>
          <w:tcPr>
            <w:tcW w:w="0" w:type="auto"/>
            <w:noWrap/>
            <w:vAlign w:val="center"/>
          </w:tcPr>
          <w:p>
            <w:pPr>
              <w:widowControl/>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＜10</w:t>
            </w:r>
          </w:p>
        </w:tc>
        <w:tc>
          <w:tcPr>
            <w:tcW w:w="0" w:type="auto"/>
            <w:noWrap/>
            <w:vAlign w:val="center"/>
          </w:tcPr>
          <w:p>
            <w:pPr>
              <w:widowControl/>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10≤Y＜20</w:t>
            </w:r>
          </w:p>
        </w:tc>
        <w:tc>
          <w:tcPr>
            <w:tcW w:w="0" w:type="auto"/>
            <w:noWrap/>
            <w:vAlign w:val="center"/>
          </w:tcPr>
          <w:p>
            <w:pPr>
              <w:widowControl/>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20≤Y＜30</w:t>
            </w:r>
          </w:p>
        </w:tc>
        <w:tc>
          <w:tcPr>
            <w:tcW w:w="0" w:type="auto"/>
            <w:noWrap/>
            <w:vAlign w:val="center"/>
          </w:tcPr>
          <w:p>
            <w:pPr>
              <w:widowControl/>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30≤Y＜40</w:t>
            </w:r>
          </w:p>
        </w:tc>
        <w:tc>
          <w:tcPr>
            <w:tcW w:w="1824" w:type="dxa"/>
            <w:noWrap/>
            <w:vAlign w:val="center"/>
          </w:tcPr>
          <w:p>
            <w:pPr>
              <w:widowControl/>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40≤Y≤50</w:t>
            </w:r>
          </w:p>
        </w:tc>
      </w:tr>
      <w:tr>
        <w:tblPrEx>
          <w:tblBorders>
            <w:top w:val="single" w:color="auto" w:sz="18" w:space="0"/>
            <w:left w:val="single" w:color="auto" w:sz="18" w:space="0"/>
            <w:bottom w:val="single" w:color="auto" w:sz="18" w:space="0"/>
            <w:right w:val="single" w:color="auto" w:sz="18" w:space="0"/>
            <w:insideH w:val="single" w:color="auto" w:sz="2" w:space="0"/>
            <w:insideV w:val="single" w:color="auto" w:sz="2" w:space="0"/>
          </w:tblBorders>
          <w:tblCellMar>
            <w:top w:w="0" w:type="dxa"/>
            <w:left w:w="108" w:type="dxa"/>
            <w:bottom w:w="0" w:type="dxa"/>
            <w:right w:w="108" w:type="dxa"/>
          </w:tblCellMar>
        </w:tblPrEx>
        <w:trPr>
          <w:trHeight w:val="594" w:hRule="atLeast"/>
          <w:jc w:val="center"/>
        </w:trPr>
        <w:tc>
          <w:tcPr>
            <w:tcW w:w="0" w:type="auto"/>
            <w:noWrap/>
            <w:vAlign w:val="center"/>
          </w:tcPr>
          <w:p>
            <w:pPr>
              <w:widowControl/>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修正系数</w:t>
            </w:r>
          </w:p>
        </w:tc>
        <w:tc>
          <w:tcPr>
            <w:tcW w:w="0" w:type="auto"/>
            <w:noWrap/>
            <w:vAlign w:val="center"/>
          </w:tcPr>
          <w:p>
            <w:pPr>
              <w:widowControl/>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0</w:t>
            </w:r>
          </w:p>
        </w:tc>
        <w:tc>
          <w:tcPr>
            <w:tcW w:w="0" w:type="auto"/>
            <w:noWrap/>
            <w:vAlign w:val="center"/>
          </w:tcPr>
          <w:p>
            <w:pPr>
              <w:widowControl/>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0.005</w:t>
            </w:r>
          </w:p>
        </w:tc>
        <w:tc>
          <w:tcPr>
            <w:tcW w:w="0" w:type="auto"/>
            <w:noWrap/>
            <w:vAlign w:val="center"/>
          </w:tcPr>
          <w:p>
            <w:pPr>
              <w:widowControl/>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0.01</w:t>
            </w:r>
          </w:p>
        </w:tc>
        <w:tc>
          <w:tcPr>
            <w:tcW w:w="0" w:type="auto"/>
            <w:noWrap/>
            <w:vAlign w:val="center"/>
          </w:tcPr>
          <w:p>
            <w:pPr>
              <w:widowControl/>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0.015</w:t>
            </w:r>
          </w:p>
        </w:tc>
        <w:tc>
          <w:tcPr>
            <w:tcW w:w="1824" w:type="dxa"/>
            <w:noWrap/>
            <w:vAlign w:val="center"/>
          </w:tcPr>
          <w:p>
            <w:pPr>
              <w:widowControl/>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0.02</w:t>
            </w:r>
          </w:p>
        </w:tc>
      </w:tr>
    </w:tbl>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3.用途修正系数（K</w:t>
      </w:r>
      <w:r>
        <w:rPr>
          <w:rFonts w:hint="eastAsia" w:ascii="仿宋_GB2312" w:hAnsi="仿宋_GB2312" w:eastAsia="仿宋_GB2312" w:cs="仿宋_GB2312"/>
          <w:sz w:val="32"/>
          <w:szCs w:val="32"/>
          <w:vertAlign w:val="subscript"/>
        </w:rPr>
        <w:t>用途</w:t>
      </w:r>
      <w:r>
        <w:rPr>
          <w:rFonts w:hint="eastAsia" w:ascii="仿宋_GB2312" w:hAnsi="仿宋_GB2312" w:eastAsia="仿宋_GB2312" w:cs="仿宋_GB2312"/>
          <w:sz w:val="32"/>
          <w:szCs w:val="32"/>
        </w:rPr>
        <w:t>）</w:t>
      </w:r>
    </w:p>
    <w:tbl>
      <w:tblPr>
        <w:tblStyle w:val="3"/>
        <w:tblW w:w="8424" w:type="dxa"/>
        <w:jc w:val="cente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1415"/>
        <w:gridCol w:w="1752"/>
        <w:gridCol w:w="1752"/>
        <w:gridCol w:w="1752"/>
        <w:gridCol w:w="1753"/>
      </w:tblGrid>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8424" w:type="dxa"/>
            <w:gridSpan w:val="5"/>
            <w:noWrap/>
            <w:vAlign w:val="center"/>
          </w:tcPr>
          <w:p>
            <w:pPr>
              <w:widowControl/>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用途修正系数表</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415" w:type="dxa"/>
            <w:noWrap/>
            <w:vAlign w:val="center"/>
          </w:tcPr>
          <w:p>
            <w:pPr>
              <w:widowControl/>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用途</w:t>
            </w:r>
          </w:p>
        </w:tc>
        <w:tc>
          <w:tcPr>
            <w:tcW w:w="1752" w:type="dxa"/>
            <w:noWrap/>
            <w:vAlign w:val="center"/>
          </w:tcPr>
          <w:p>
            <w:pPr>
              <w:widowControl/>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工矿仓储用地及非经营性公服用地</w:t>
            </w:r>
          </w:p>
        </w:tc>
        <w:tc>
          <w:tcPr>
            <w:tcW w:w="1752" w:type="dxa"/>
            <w:noWrap/>
            <w:vAlign w:val="center"/>
          </w:tcPr>
          <w:p>
            <w:pPr>
              <w:widowControl/>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交通运输用地</w:t>
            </w:r>
          </w:p>
        </w:tc>
        <w:tc>
          <w:tcPr>
            <w:tcW w:w="1752" w:type="dxa"/>
            <w:noWrap/>
            <w:vAlign w:val="center"/>
          </w:tcPr>
          <w:p>
            <w:pPr>
              <w:widowControl/>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经营性公共管理与公共服务用地</w:t>
            </w:r>
          </w:p>
        </w:tc>
        <w:tc>
          <w:tcPr>
            <w:tcW w:w="1753" w:type="dxa"/>
            <w:noWrap/>
            <w:vAlign w:val="center"/>
          </w:tcPr>
          <w:p>
            <w:pPr>
              <w:widowControl/>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商业、住宅、机关团体用地</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415" w:type="dxa"/>
            <w:noWrap/>
            <w:vAlign w:val="center"/>
          </w:tcPr>
          <w:p>
            <w:pPr>
              <w:widowControl/>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修正系数</w:t>
            </w:r>
          </w:p>
        </w:tc>
        <w:tc>
          <w:tcPr>
            <w:tcW w:w="1752" w:type="dxa"/>
            <w:noWrap/>
            <w:vAlign w:val="center"/>
          </w:tcPr>
          <w:p>
            <w:pPr>
              <w:widowControl/>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0</w:t>
            </w:r>
          </w:p>
        </w:tc>
        <w:tc>
          <w:tcPr>
            <w:tcW w:w="1752" w:type="dxa"/>
            <w:noWrap/>
            <w:vAlign w:val="center"/>
          </w:tcPr>
          <w:p>
            <w:pPr>
              <w:widowControl/>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0.005</w:t>
            </w:r>
          </w:p>
        </w:tc>
        <w:tc>
          <w:tcPr>
            <w:tcW w:w="1752" w:type="dxa"/>
            <w:noWrap/>
            <w:vAlign w:val="center"/>
          </w:tcPr>
          <w:p>
            <w:pPr>
              <w:widowControl/>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0.01</w:t>
            </w:r>
          </w:p>
        </w:tc>
        <w:tc>
          <w:tcPr>
            <w:tcW w:w="1753" w:type="dxa"/>
            <w:noWrap/>
            <w:vAlign w:val="center"/>
          </w:tcPr>
          <w:p>
            <w:pPr>
              <w:widowControl/>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0.05</w:t>
            </w:r>
          </w:p>
        </w:tc>
      </w:tr>
    </w:tbl>
    <w:p>
      <w:p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4.现状容积率修正系数（K</w:t>
      </w:r>
      <w:r>
        <w:rPr>
          <w:rFonts w:hint="eastAsia" w:ascii="仿宋_GB2312" w:hAnsi="仿宋_GB2312" w:eastAsia="仿宋_GB2312" w:cs="仿宋_GB2312"/>
          <w:sz w:val="32"/>
          <w:szCs w:val="32"/>
          <w:vertAlign w:val="subscript"/>
        </w:rPr>
        <w:t>容积率</w:t>
      </w:r>
      <w:r>
        <w:rPr>
          <w:rFonts w:hint="eastAsia" w:ascii="仿宋_GB2312" w:hAnsi="仿宋_GB2312" w:eastAsia="仿宋_GB2312" w:cs="仿宋_GB2312"/>
          <w:sz w:val="32"/>
          <w:szCs w:val="32"/>
        </w:rPr>
        <w:t>）</w:t>
      </w:r>
    </w:p>
    <w:tbl>
      <w:tblPr>
        <w:tblStyle w:val="3"/>
        <w:tblW w:w="8460" w:type="dxa"/>
        <w:jc w:val="cente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1325"/>
        <w:gridCol w:w="1222"/>
        <w:gridCol w:w="1679"/>
        <w:gridCol w:w="1492"/>
        <w:gridCol w:w="1454"/>
        <w:gridCol w:w="1288"/>
      </w:tblGrid>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8460" w:type="dxa"/>
            <w:gridSpan w:val="6"/>
            <w:noWrap/>
            <w:vAlign w:val="center"/>
          </w:tcPr>
          <w:p>
            <w:pPr>
              <w:widowControl/>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现状容积率修正系数表</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325" w:type="dxa"/>
            <w:noWrap/>
            <w:vAlign w:val="center"/>
          </w:tcPr>
          <w:p>
            <w:pPr>
              <w:widowControl/>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容积率</w:t>
            </w:r>
          </w:p>
        </w:tc>
        <w:tc>
          <w:tcPr>
            <w:tcW w:w="1222" w:type="dxa"/>
            <w:noWrap/>
            <w:vAlign w:val="center"/>
          </w:tcPr>
          <w:p>
            <w:pPr>
              <w:widowControl/>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R＜0.3</w:t>
            </w:r>
          </w:p>
        </w:tc>
        <w:tc>
          <w:tcPr>
            <w:tcW w:w="1679" w:type="dxa"/>
            <w:noWrap/>
            <w:vAlign w:val="center"/>
          </w:tcPr>
          <w:p>
            <w:pPr>
              <w:widowControl/>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0.3≤R&lt;0.6</w:t>
            </w:r>
          </w:p>
        </w:tc>
        <w:tc>
          <w:tcPr>
            <w:tcW w:w="1492" w:type="dxa"/>
            <w:noWrap/>
            <w:vAlign w:val="center"/>
          </w:tcPr>
          <w:p>
            <w:pPr>
              <w:widowControl/>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0.6≤R&lt;1</w:t>
            </w:r>
          </w:p>
        </w:tc>
        <w:tc>
          <w:tcPr>
            <w:tcW w:w="1454" w:type="dxa"/>
            <w:noWrap/>
            <w:vAlign w:val="center"/>
          </w:tcPr>
          <w:p>
            <w:pPr>
              <w:widowControl/>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1≤R&lt;1.5</w:t>
            </w:r>
          </w:p>
        </w:tc>
        <w:tc>
          <w:tcPr>
            <w:tcW w:w="1288" w:type="dxa"/>
            <w:noWrap/>
            <w:vAlign w:val="center"/>
          </w:tcPr>
          <w:p>
            <w:pPr>
              <w:widowControl/>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1.5≤R</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325" w:type="dxa"/>
            <w:noWrap/>
            <w:vAlign w:val="center"/>
          </w:tcPr>
          <w:p>
            <w:pPr>
              <w:widowControl/>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修正系数</w:t>
            </w:r>
          </w:p>
        </w:tc>
        <w:tc>
          <w:tcPr>
            <w:tcW w:w="1222" w:type="dxa"/>
            <w:noWrap/>
            <w:vAlign w:val="center"/>
          </w:tcPr>
          <w:p>
            <w:pPr>
              <w:widowControl/>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0</w:t>
            </w:r>
          </w:p>
        </w:tc>
        <w:tc>
          <w:tcPr>
            <w:tcW w:w="1679" w:type="dxa"/>
            <w:noWrap/>
            <w:vAlign w:val="center"/>
          </w:tcPr>
          <w:p>
            <w:pPr>
              <w:widowControl/>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0.01</w:t>
            </w:r>
          </w:p>
        </w:tc>
        <w:tc>
          <w:tcPr>
            <w:tcW w:w="1492" w:type="dxa"/>
            <w:noWrap/>
            <w:vAlign w:val="center"/>
          </w:tcPr>
          <w:p>
            <w:pPr>
              <w:widowControl/>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0.02</w:t>
            </w:r>
          </w:p>
        </w:tc>
        <w:tc>
          <w:tcPr>
            <w:tcW w:w="1454" w:type="dxa"/>
            <w:noWrap/>
            <w:vAlign w:val="center"/>
          </w:tcPr>
          <w:p>
            <w:pPr>
              <w:widowControl/>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0.03</w:t>
            </w:r>
          </w:p>
        </w:tc>
        <w:tc>
          <w:tcPr>
            <w:tcW w:w="1288" w:type="dxa"/>
            <w:noWrap/>
            <w:vAlign w:val="center"/>
          </w:tcPr>
          <w:p>
            <w:pPr>
              <w:widowControl/>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0.04</w:t>
            </w:r>
          </w:p>
        </w:tc>
      </w:tr>
    </w:tbl>
    <w:p>
      <w:pPr>
        <w:pStyle w:val="5"/>
        <w:snapToGrid w:val="0"/>
        <w:spacing w:line="560" w:lineRule="exact"/>
        <w:ind w:firstLine="800" w:firstLineChars="250"/>
        <w:rPr>
          <w:rFonts w:ascii="黑体" w:hAnsi="黑体" w:eastAsia="黑体" w:cs="黑体"/>
        </w:rPr>
      </w:pPr>
      <w:r>
        <w:rPr>
          <w:rFonts w:hint="eastAsia" w:ascii="黑体" w:hAnsi="黑体" w:eastAsia="黑体" w:cs="黑体"/>
        </w:rPr>
        <w:t>四、项目指导价上限管理</w:t>
      </w:r>
    </w:p>
    <w:p>
      <w:pPr>
        <w:spacing w:line="560" w:lineRule="exact"/>
        <w:ind w:firstLine="640" w:firstLineChars="200"/>
        <w:jc w:val="left"/>
        <w:rPr>
          <w:rStyle w:val="6"/>
          <w:rFonts w:ascii="仿宋_GB2312" w:hAnsi="仿宋_GB2312" w:eastAsia="仿宋_GB2312" w:cs="仿宋_GB2312"/>
          <w:sz w:val="32"/>
          <w:szCs w:val="32"/>
          <w:lang w:val="zh-CN"/>
        </w:rPr>
      </w:pPr>
      <w:r>
        <w:rPr>
          <w:rStyle w:val="6"/>
          <w:rFonts w:hint="eastAsia" w:ascii="仿宋_GB2312" w:hAnsi="仿宋_GB2312" w:eastAsia="仿宋_GB2312" w:cs="仿宋_GB2312"/>
          <w:sz w:val="32"/>
          <w:szCs w:val="32"/>
        </w:rPr>
        <w:t>为保障储备工作平稳有序健康实施，储备项目应确保资金平衡。储备项目指导价实行上限管理，价格上限最高不超过规划用途评估土地单价（规划用途为住宅的，按照住宅配建25%租赁型人才住房测算）的50%。按照本技术路线第二条测算确定的储备项目指导价结果超过价格上限的，储备项目指导价直接按照价格上限确定。</w:t>
      </w:r>
    </w:p>
    <w:p>
      <w:pPr>
        <w:spacing w:line="560" w:lineRule="exact"/>
        <w:rPr>
          <w:rFonts w:ascii="黑体" w:hAnsi="黑体" w:eastAsia="黑体" w:cs="黑体"/>
          <w:sz w:val="32"/>
          <w:szCs w:val="32"/>
        </w:rPr>
      </w:pPr>
    </w:p>
    <w:p>
      <w:pPr>
        <w:spacing w:line="560" w:lineRule="exact"/>
        <w:rPr>
          <w:rFonts w:ascii="黑体" w:hAnsi="黑体" w:eastAsia="黑体" w:cs="黑体"/>
          <w:sz w:val="32"/>
          <w:szCs w:val="32"/>
        </w:rPr>
      </w:pPr>
    </w:p>
    <w:p>
      <w:pPr>
        <w:spacing w:line="560" w:lineRule="exact"/>
        <w:rPr>
          <w:rFonts w:ascii="黑体" w:hAnsi="黑体" w:eastAsia="黑体" w:cs="黑体"/>
          <w:sz w:val="32"/>
          <w:szCs w:val="32"/>
        </w:rPr>
      </w:pPr>
    </w:p>
    <w:p>
      <w:pPr>
        <w:spacing w:line="560" w:lineRule="exact"/>
        <w:rPr>
          <w:rFonts w:ascii="黑体" w:hAnsi="黑体" w:eastAsia="黑体" w:cs="黑体"/>
          <w:sz w:val="32"/>
          <w:szCs w:val="32"/>
        </w:rPr>
      </w:pPr>
    </w:p>
    <w:p>
      <w:pPr>
        <w:spacing w:line="560" w:lineRule="exact"/>
        <w:rPr>
          <w:rFonts w:ascii="黑体" w:hAnsi="黑体" w:eastAsia="黑体" w:cs="黑体"/>
          <w:sz w:val="32"/>
          <w:szCs w:val="32"/>
        </w:rPr>
      </w:pPr>
    </w:p>
    <w:p>
      <w:pPr>
        <w:spacing w:line="560" w:lineRule="exact"/>
        <w:rPr>
          <w:rFonts w:ascii="黑体" w:hAnsi="黑体" w:eastAsia="黑体" w:cs="黑体"/>
          <w:sz w:val="32"/>
          <w:szCs w:val="32"/>
        </w:rPr>
      </w:pPr>
    </w:p>
    <w:p>
      <w:pPr>
        <w:spacing w:line="560" w:lineRule="exact"/>
        <w:rPr>
          <w:rFonts w:ascii="黑体" w:hAnsi="黑体" w:eastAsia="黑体" w:cs="黑体"/>
          <w:sz w:val="32"/>
          <w:szCs w:val="32"/>
        </w:rPr>
      </w:pPr>
    </w:p>
    <w:p>
      <w:pPr>
        <w:spacing w:line="560" w:lineRule="exact"/>
        <w:rPr>
          <w:rFonts w:ascii="黑体" w:hAnsi="黑体" w:eastAsia="黑体" w:cs="黑体"/>
          <w:sz w:val="32"/>
          <w:szCs w:val="32"/>
        </w:rPr>
      </w:pPr>
    </w:p>
    <w:p>
      <w:pPr>
        <w:spacing w:line="560" w:lineRule="exact"/>
        <w:rPr>
          <w:rFonts w:ascii="黑体" w:hAnsi="黑体" w:eastAsia="黑体" w:cs="黑体"/>
          <w:sz w:val="32"/>
          <w:szCs w:val="32"/>
        </w:rPr>
      </w:pPr>
    </w:p>
    <w:p>
      <w:pPr>
        <w:spacing w:line="560" w:lineRule="exact"/>
        <w:rPr>
          <w:rFonts w:ascii="黑体" w:hAnsi="黑体" w:eastAsia="黑体" w:cs="黑体"/>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A00002BF" w:usb1="38CF7CFA" w:usb2="0008201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C5488A"/>
    <w:rsid w:val="3BC548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sz w:val="28"/>
    </w:rPr>
  </w:style>
  <w:style w:type="paragraph" w:customStyle="1" w:styleId="5">
    <w:name w:val="d正文"/>
    <w:basedOn w:val="1"/>
    <w:qFormat/>
    <w:uiPriority w:val="0"/>
    <w:pPr>
      <w:ind w:firstLine="200" w:firstLineChars="200"/>
      <w:outlineLvl w:val="0"/>
    </w:pPr>
    <w:rPr>
      <w:rFonts w:eastAsia="仿宋_GB2312" w:cs="Arial"/>
      <w:bCs/>
      <w:sz w:val="32"/>
      <w:szCs w:val="32"/>
    </w:rPr>
  </w:style>
  <w:style w:type="character" w:customStyle="1" w:styleId="6">
    <w:name w:val="NormalCharacter"/>
    <w:qFormat/>
    <w:uiPriority w:val="0"/>
    <w:rPr>
      <w:rFonts w:hint="default" w:ascii="Calibri" w:hAnsi="Calibri" w:eastAsia="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2024-02-06T09:50:00Z</dcterms:created>
  <dc:creator>user</dc:creator>
  <cp:lastModifiedBy>user</cp:lastModifiedBy>
  <dcterms:modified xsi:type="dcterms:W3CDTF">2024-02-06T09:50:52Z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