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13" w:rsidRPr="005D2813" w:rsidRDefault="005D2813" w:rsidP="005D2813">
      <w:pPr>
        <w:spacing w:line="360" w:lineRule="auto"/>
        <w:rPr>
          <w:rFonts w:ascii="黑体" w:eastAsia="黑体" w:hAnsi="黑体"/>
          <w:sz w:val="32"/>
          <w:szCs w:val="32"/>
        </w:rPr>
      </w:pPr>
      <w:bookmarkStart w:id="0" w:name="_Toc471481797"/>
      <w:bookmarkStart w:id="1" w:name="_Toc473036583"/>
      <w:r w:rsidRPr="005D2813">
        <w:rPr>
          <w:rFonts w:ascii="黑体" w:eastAsia="黑体" w:hAnsi="黑体" w:hint="eastAsia"/>
          <w:sz w:val="32"/>
          <w:szCs w:val="32"/>
        </w:rPr>
        <w:t>附件</w:t>
      </w:r>
    </w:p>
    <w:p w:rsidR="005D2813" w:rsidRDefault="002F484F" w:rsidP="005D2813">
      <w:pPr>
        <w:pStyle w:val="2"/>
        <w:spacing w:before="0" w:after="0" w:line="360" w:lineRule="auto"/>
        <w:jc w:val="center"/>
        <w:rPr>
          <w:rFonts w:ascii="楷体" w:eastAsia="楷体" w:hAnsi="楷体"/>
          <w:b w:val="0"/>
        </w:rPr>
      </w:pPr>
      <w:r w:rsidRPr="005D2813">
        <w:rPr>
          <w:rFonts w:ascii="楷体" w:eastAsia="楷体" w:hAnsi="楷体" w:hint="eastAsia"/>
          <w:b w:val="0"/>
        </w:rPr>
        <w:t>青岛市市区公共服务设施配套标准及规划导则</w:t>
      </w:r>
      <w:bookmarkEnd w:id="0"/>
      <w:bookmarkEnd w:id="1"/>
    </w:p>
    <w:p w:rsidR="005D2813" w:rsidRPr="006C416F" w:rsidRDefault="005D2813" w:rsidP="005D2813">
      <w:pPr>
        <w:spacing w:line="360" w:lineRule="auto"/>
        <w:rPr>
          <w:rFonts w:ascii="黑体" w:eastAsia="黑体" w:hAnsi="黑体"/>
          <w:sz w:val="24"/>
        </w:rPr>
      </w:pPr>
      <w:r w:rsidRPr="006C416F">
        <w:rPr>
          <w:rFonts w:ascii="黑体" w:eastAsia="黑体" w:hAnsi="黑体" w:hint="eastAsia"/>
          <w:sz w:val="24"/>
        </w:rPr>
        <w:t>3.8.1停车位</w:t>
      </w:r>
    </w:p>
    <w:p w:rsidR="005D2813" w:rsidRPr="006C416F" w:rsidRDefault="005D2813" w:rsidP="009D6936">
      <w:pPr>
        <w:spacing w:beforeLines="50" w:before="156" w:line="360" w:lineRule="auto"/>
        <w:ind w:firstLineChars="200" w:firstLine="480"/>
        <w:rPr>
          <w:rFonts w:asciiTheme="minorEastAsia" w:hAnsiTheme="minorEastAsia"/>
          <w:sz w:val="24"/>
        </w:rPr>
      </w:pPr>
      <w:r w:rsidRPr="006C416F">
        <w:rPr>
          <w:rFonts w:asciiTheme="minorEastAsia" w:hAnsiTheme="minorEastAsia" w:hint="eastAsia"/>
          <w:sz w:val="24"/>
        </w:rPr>
        <w:t>1.差别化设置</w:t>
      </w:r>
    </w:p>
    <w:p w:rsidR="005D2813" w:rsidRPr="006C416F" w:rsidRDefault="005D2813" w:rsidP="005D2813">
      <w:pPr>
        <w:spacing w:line="360" w:lineRule="auto"/>
        <w:ind w:firstLineChars="200" w:firstLine="480"/>
        <w:rPr>
          <w:sz w:val="24"/>
        </w:rPr>
      </w:pPr>
      <w:r w:rsidRPr="006C416F">
        <w:rPr>
          <w:rFonts w:hint="eastAsia"/>
          <w:sz w:val="24"/>
        </w:rPr>
        <w:t>根据不同区域的土地利用性质和开发强度、公交可达性及道路网容量等因素，将青岛市划分为四类停车区域。</w:t>
      </w:r>
    </w:p>
    <w:p w:rsidR="005D2813" w:rsidRPr="006C416F" w:rsidRDefault="005D2813" w:rsidP="005D2813">
      <w:pPr>
        <w:spacing w:line="360" w:lineRule="auto"/>
        <w:ind w:firstLineChars="200" w:firstLine="480"/>
        <w:rPr>
          <w:sz w:val="24"/>
        </w:rPr>
      </w:pPr>
      <w:r w:rsidRPr="006C416F">
        <w:rPr>
          <w:rFonts w:hint="eastAsia"/>
          <w:sz w:val="24"/>
        </w:rPr>
        <w:t>一类区域为严格控制区，包括主要的商业、办公核心区和有</w:t>
      </w:r>
      <w:r w:rsidRPr="006C416F">
        <w:rPr>
          <w:sz w:val="24"/>
        </w:rPr>
        <w:t>2~3</w:t>
      </w:r>
      <w:r w:rsidRPr="006C416F">
        <w:rPr>
          <w:rFonts w:hint="eastAsia"/>
          <w:sz w:val="24"/>
        </w:rPr>
        <w:t>条轨道交通线路覆盖，且轨道交通车站</w:t>
      </w:r>
      <w:r w:rsidRPr="006C416F">
        <w:rPr>
          <w:sz w:val="24"/>
        </w:rPr>
        <w:t>500</w:t>
      </w:r>
      <w:r w:rsidRPr="006C416F">
        <w:rPr>
          <w:rFonts w:hint="eastAsia"/>
          <w:sz w:val="24"/>
        </w:rPr>
        <w:t>米范围覆盖的区域。</w:t>
      </w:r>
    </w:p>
    <w:p w:rsidR="005D2813" w:rsidRPr="006C416F" w:rsidRDefault="005D2813" w:rsidP="005D2813">
      <w:pPr>
        <w:spacing w:line="360" w:lineRule="auto"/>
        <w:ind w:firstLineChars="200" w:firstLine="480"/>
        <w:rPr>
          <w:sz w:val="24"/>
        </w:rPr>
      </w:pPr>
      <w:r w:rsidRPr="006C416F">
        <w:rPr>
          <w:rFonts w:hint="eastAsia"/>
          <w:sz w:val="24"/>
        </w:rPr>
        <w:t>二类区域为一般控制区，这些区域有轨道交通线路覆盖，出行方式多样，近期以提高停车设施供应水平为主，远期维持停车供需基本平衡。</w:t>
      </w:r>
    </w:p>
    <w:p w:rsidR="005D2813" w:rsidRPr="006C416F" w:rsidRDefault="005D2813" w:rsidP="005D2813">
      <w:pPr>
        <w:spacing w:line="360" w:lineRule="auto"/>
        <w:ind w:firstLineChars="200" w:firstLine="480"/>
        <w:rPr>
          <w:sz w:val="24"/>
        </w:rPr>
      </w:pPr>
      <w:r w:rsidRPr="006C416F">
        <w:rPr>
          <w:rFonts w:hint="eastAsia"/>
          <w:sz w:val="24"/>
        </w:rPr>
        <w:t>三类区域为基本满足区，主要是城市外围区，应充分适应未来外围区域较高的机动化出行水平，采用相对较高的配建标准，充分满足停车需求。</w:t>
      </w:r>
    </w:p>
    <w:p w:rsidR="005D2813" w:rsidRPr="006C416F" w:rsidRDefault="005D2813" w:rsidP="005D2813">
      <w:pPr>
        <w:spacing w:line="360" w:lineRule="auto"/>
        <w:ind w:firstLineChars="200" w:firstLine="480"/>
        <w:rPr>
          <w:sz w:val="24"/>
        </w:rPr>
      </w:pPr>
      <w:r w:rsidRPr="006C416F">
        <w:rPr>
          <w:rFonts w:hint="eastAsia"/>
          <w:sz w:val="24"/>
        </w:rPr>
        <w:t>停车矛盾突出区域：</w:t>
      </w:r>
      <w:r w:rsidR="000F1EA6" w:rsidRPr="006C416F">
        <w:rPr>
          <w:rFonts w:hint="eastAsia"/>
          <w:sz w:val="24"/>
        </w:rPr>
        <w:t>主要指停车设施严重缺乏、公共交通不便捷的区域，新改建项目鼓励采用相对较高的配建标准，弥补停车设施不足，保障居民出行。</w:t>
      </w:r>
    </w:p>
    <w:p w:rsidR="005D2813" w:rsidRPr="006C416F" w:rsidRDefault="005D2813" w:rsidP="009D6936">
      <w:pPr>
        <w:spacing w:beforeLines="50" w:before="156" w:line="360" w:lineRule="auto"/>
        <w:ind w:firstLineChars="200" w:firstLine="480"/>
        <w:rPr>
          <w:sz w:val="24"/>
        </w:rPr>
      </w:pPr>
      <w:r w:rsidRPr="006C416F">
        <w:rPr>
          <w:sz w:val="24"/>
        </w:rPr>
        <w:t>2.</w:t>
      </w:r>
      <w:r w:rsidRPr="006C416F">
        <w:rPr>
          <w:rFonts w:hint="eastAsia"/>
          <w:sz w:val="24"/>
        </w:rPr>
        <w:t>设置规定</w:t>
      </w:r>
      <w:r w:rsidRPr="006C416F">
        <w:rPr>
          <w:rFonts w:hint="eastAsia"/>
          <w:sz w:val="24"/>
        </w:rPr>
        <w:t xml:space="preserve">                                                                                      </w:t>
      </w:r>
    </w:p>
    <w:p w:rsidR="005D2813" w:rsidRPr="006C416F" w:rsidRDefault="005D2813" w:rsidP="005D2813">
      <w:pPr>
        <w:spacing w:line="360" w:lineRule="auto"/>
        <w:ind w:firstLineChars="200" w:firstLine="480"/>
        <w:rPr>
          <w:rFonts w:ascii="宋体" w:eastAsia="宋体" w:hAnsi="宋体"/>
          <w:sz w:val="24"/>
        </w:rPr>
      </w:pPr>
      <w:r w:rsidRPr="006C416F">
        <w:rPr>
          <w:rFonts w:ascii="宋体" w:eastAsia="宋体" w:hAnsi="宋体" w:hint="eastAsia"/>
          <w:sz w:val="24"/>
        </w:rPr>
        <w:t>（</w:t>
      </w:r>
      <w:r w:rsidRPr="006C416F">
        <w:rPr>
          <w:rFonts w:ascii="宋体" w:eastAsia="宋体" w:hAnsi="宋体"/>
          <w:sz w:val="24"/>
        </w:rPr>
        <w:t>1</w:t>
      </w:r>
      <w:r w:rsidRPr="006C416F">
        <w:rPr>
          <w:rFonts w:ascii="宋体" w:eastAsia="宋体" w:hAnsi="宋体" w:hint="eastAsia"/>
          <w:sz w:val="24"/>
        </w:rPr>
        <w:t>）建设项目应按规定分别配建机动车、非机动车以及特殊车辆停车位，其中机动车位仅指标准小型车位，不包括微型车位和子母车位。如在实际中</w:t>
      </w:r>
      <w:r w:rsidR="00C471A8" w:rsidRPr="006C416F">
        <w:rPr>
          <w:rFonts w:ascii="宋体" w:eastAsia="宋体" w:hAnsi="宋体" w:hint="eastAsia"/>
          <w:sz w:val="24"/>
        </w:rPr>
        <w:t>因</w:t>
      </w:r>
      <w:r w:rsidRPr="006C416F">
        <w:rPr>
          <w:rFonts w:ascii="宋体" w:eastAsia="宋体" w:hAnsi="宋体" w:hint="eastAsia"/>
          <w:sz w:val="24"/>
        </w:rPr>
        <w:t>地下建筑结构、设备、人防等受限原因确有设置微型车位和子母车位必要的，须在满足不少于1位/户的基础上设置并严格控制总量，微型车位按照0.7个标准车位折算，子母车位按照0.5个标准车位折算。</w:t>
      </w:r>
    </w:p>
    <w:p w:rsidR="005D2813" w:rsidRPr="006C416F" w:rsidRDefault="005D2813" w:rsidP="005D2813">
      <w:pPr>
        <w:spacing w:line="360" w:lineRule="auto"/>
        <w:ind w:firstLineChars="200" w:firstLine="480"/>
        <w:rPr>
          <w:rFonts w:ascii="宋体" w:eastAsia="宋体" w:hAnsi="宋体"/>
          <w:sz w:val="24"/>
        </w:rPr>
      </w:pPr>
      <w:r w:rsidRPr="006C416F">
        <w:rPr>
          <w:rFonts w:ascii="宋体" w:eastAsia="宋体" w:hAnsi="宋体" w:hint="eastAsia"/>
          <w:sz w:val="24"/>
        </w:rPr>
        <w:t>（</w:t>
      </w:r>
      <w:r w:rsidRPr="006C416F">
        <w:rPr>
          <w:rFonts w:ascii="宋体" w:eastAsia="宋体" w:hAnsi="宋体"/>
          <w:sz w:val="24"/>
        </w:rPr>
        <w:t>2</w:t>
      </w:r>
      <w:r w:rsidRPr="006C416F">
        <w:rPr>
          <w:rFonts w:ascii="宋体" w:eastAsia="宋体" w:hAnsi="宋体" w:hint="eastAsia"/>
          <w:sz w:val="24"/>
        </w:rPr>
        <w:t>）历史文化保护、商业步行街等特殊区域开发的建设项目，其停车设施配建指标可依据经批准的规划设计方案执行。</w:t>
      </w:r>
    </w:p>
    <w:p w:rsidR="005D2813" w:rsidRPr="006C416F" w:rsidRDefault="005D2813" w:rsidP="005D2813">
      <w:pPr>
        <w:spacing w:line="360" w:lineRule="auto"/>
        <w:ind w:firstLineChars="200" w:firstLine="480"/>
        <w:rPr>
          <w:rFonts w:ascii="宋体" w:eastAsia="宋体" w:hAnsi="宋体"/>
          <w:sz w:val="24"/>
        </w:rPr>
      </w:pPr>
      <w:r w:rsidRPr="006C416F">
        <w:rPr>
          <w:rFonts w:ascii="宋体" w:eastAsia="宋体" w:hAnsi="宋体" w:hint="eastAsia"/>
          <w:sz w:val="24"/>
        </w:rPr>
        <w:t>（3）已有建筑的改建和扩建，其改、扩建部分应按照《标准及导则》规定设置各类停车位。原建筑物配建不足、新增建筑面积超过</w:t>
      </w:r>
      <w:r w:rsidRPr="006C416F">
        <w:rPr>
          <w:rFonts w:ascii="宋体" w:eastAsia="宋体" w:hAnsi="宋体"/>
          <w:sz w:val="24"/>
        </w:rPr>
        <w:t>3000m</w:t>
      </w:r>
      <w:r w:rsidRPr="006C416F">
        <w:rPr>
          <w:rFonts w:ascii="宋体" w:eastAsia="宋体" w:hAnsi="宋体" w:hint="eastAsia"/>
          <w:sz w:val="24"/>
        </w:rPr>
        <w:t>²且超过原建筑规模</w:t>
      </w:r>
      <w:r w:rsidRPr="006C416F">
        <w:rPr>
          <w:rFonts w:ascii="宋体" w:eastAsia="宋体" w:hAnsi="宋体"/>
          <w:sz w:val="24"/>
        </w:rPr>
        <w:t>25%</w:t>
      </w:r>
      <w:r w:rsidRPr="006C416F">
        <w:rPr>
          <w:rFonts w:ascii="宋体" w:eastAsia="宋体" w:hAnsi="宋体" w:hint="eastAsia"/>
          <w:sz w:val="24"/>
        </w:rPr>
        <w:t>的，原建筑物配建不足部分宜在改扩建工程中</w:t>
      </w:r>
      <w:proofErr w:type="gramStart"/>
      <w:r w:rsidRPr="006C416F">
        <w:rPr>
          <w:rFonts w:ascii="宋体" w:eastAsia="宋体" w:hAnsi="宋体" w:hint="eastAsia"/>
          <w:sz w:val="24"/>
        </w:rPr>
        <w:t>按不足</w:t>
      </w:r>
      <w:proofErr w:type="gramEnd"/>
      <w:r w:rsidRPr="006C416F">
        <w:rPr>
          <w:rFonts w:ascii="宋体" w:eastAsia="宋体" w:hAnsi="宋体" w:hint="eastAsia"/>
          <w:sz w:val="24"/>
        </w:rPr>
        <w:t>车位的</w:t>
      </w:r>
      <w:r w:rsidRPr="006C416F">
        <w:rPr>
          <w:rFonts w:ascii="宋体" w:eastAsia="宋体" w:hAnsi="宋体"/>
          <w:sz w:val="24"/>
        </w:rPr>
        <w:t>50%</w:t>
      </w:r>
      <w:r w:rsidRPr="006C416F">
        <w:rPr>
          <w:rFonts w:ascii="宋体" w:eastAsia="宋体" w:hAnsi="宋体" w:hint="eastAsia"/>
          <w:sz w:val="24"/>
        </w:rPr>
        <w:t>补建。</w:t>
      </w:r>
    </w:p>
    <w:p w:rsidR="005D2813" w:rsidRPr="006C416F" w:rsidRDefault="005D2813" w:rsidP="005D2813">
      <w:pPr>
        <w:spacing w:line="360" w:lineRule="auto"/>
        <w:ind w:firstLineChars="200" w:firstLine="480"/>
        <w:rPr>
          <w:rFonts w:ascii="宋体" w:eastAsia="宋体" w:hAnsi="宋体"/>
          <w:sz w:val="24"/>
        </w:rPr>
      </w:pPr>
      <w:r w:rsidRPr="006C416F">
        <w:rPr>
          <w:rFonts w:ascii="宋体" w:eastAsia="宋体" w:hAnsi="宋体" w:hint="eastAsia"/>
          <w:sz w:val="24"/>
        </w:rPr>
        <w:t>（4）综合性公共建筑，其配建车位数量应按各类建筑性质及其规模分别计算后累计确定。其中总建筑面积在</w:t>
      </w:r>
      <w:r w:rsidRPr="006C416F">
        <w:rPr>
          <w:rFonts w:ascii="宋体" w:eastAsia="宋体" w:hAnsi="宋体"/>
          <w:sz w:val="24"/>
        </w:rPr>
        <w:t>5</w:t>
      </w:r>
      <w:r w:rsidRPr="006C416F">
        <w:rPr>
          <w:rFonts w:ascii="宋体" w:eastAsia="宋体" w:hAnsi="宋体" w:hint="eastAsia"/>
          <w:sz w:val="24"/>
        </w:rPr>
        <w:t>万</w:t>
      </w:r>
      <w:r w:rsidRPr="006C416F">
        <w:rPr>
          <w:rFonts w:ascii="宋体" w:eastAsia="宋体" w:hAnsi="宋体"/>
          <w:sz w:val="24"/>
        </w:rPr>
        <w:t>m</w:t>
      </w:r>
      <w:r w:rsidRPr="006C416F">
        <w:rPr>
          <w:rFonts w:ascii="宋体" w:eastAsia="宋体" w:hAnsi="宋体" w:hint="eastAsia"/>
          <w:sz w:val="24"/>
        </w:rPr>
        <w:t>²以上的商办建筑，</w:t>
      </w:r>
      <w:proofErr w:type="gramStart"/>
      <w:r w:rsidRPr="006C416F">
        <w:rPr>
          <w:rFonts w:ascii="宋体" w:eastAsia="宋体" w:hAnsi="宋体" w:hint="eastAsia"/>
          <w:sz w:val="24"/>
        </w:rPr>
        <w:t>次功能</w:t>
      </w:r>
      <w:proofErr w:type="gramEnd"/>
      <w:r w:rsidRPr="006C416F">
        <w:rPr>
          <w:rFonts w:ascii="宋体" w:eastAsia="宋体" w:hAnsi="宋体" w:hint="eastAsia"/>
          <w:sz w:val="24"/>
        </w:rPr>
        <w:t>面积占总面积</w:t>
      </w:r>
      <w:r w:rsidRPr="006C416F">
        <w:rPr>
          <w:rFonts w:ascii="宋体" w:eastAsia="宋体" w:hAnsi="宋体"/>
          <w:sz w:val="24"/>
        </w:rPr>
        <w:t>20%</w:t>
      </w:r>
      <w:r w:rsidRPr="006C416F">
        <w:rPr>
          <w:rFonts w:ascii="宋体" w:eastAsia="宋体" w:hAnsi="宋体" w:hint="eastAsia"/>
          <w:sz w:val="24"/>
        </w:rPr>
        <w:t>以上的，在充分考虑车位共享的可能后车位总数可按各类建筑性质配建车</w:t>
      </w:r>
      <w:r w:rsidRPr="006C416F">
        <w:rPr>
          <w:rFonts w:ascii="宋体" w:eastAsia="宋体" w:hAnsi="宋体" w:hint="eastAsia"/>
          <w:sz w:val="24"/>
        </w:rPr>
        <w:lastRenderedPageBreak/>
        <w:t>位需求总和的</w:t>
      </w:r>
      <w:r w:rsidRPr="006C416F">
        <w:rPr>
          <w:rFonts w:ascii="宋体" w:eastAsia="宋体" w:hAnsi="宋体"/>
          <w:sz w:val="24"/>
        </w:rPr>
        <w:t>80%</w:t>
      </w:r>
      <w:r w:rsidRPr="006C416F">
        <w:rPr>
          <w:rFonts w:ascii="宋体" w:eastAsia="宋体" w:hAnsi="宋体" w:hint="eastAsia"/>
          <w:sz w:val="24"/>
        </w:rPr>
        <w:t>计算。</w:t>
      </w:r>
    </w:p>
    <w:p w:rsidR="005D2813" w:rsidRPr="006C416F" w:rsidRDefault="005D2813" w:rsidP="005D2813">
      <w:pPr>
        <w:spacing w:line="360" w:lineRule="auto"/>
        <w:ind w:firstLineChars="200" w:firstLine="480"/>
        <w:rPr>
          <w:rFonts w:ascii="宋体" w:eastAsia="宋体" w:hAnsi="宋体"/>
          <w:sz w:val="24"/>
        </w:rPr>
      </w:pPr>
      <w:r w:rsidRPr="006C416F">
        <w:rPr>
          <w:rFonts w:ascii="宋体" w:eastAsia="宋体" w:hAnsi="宋体" w:hint="eastAsia"/>
          <w:sz w:val="24"/>
        </w:rPr>
        <w:t>（5）停车矛盾突出区域新建、改建建筑停车泊位配建在标准的基础上提高10%-30%，对周边停车缺口较大，建设条件较好的项目可突破限制，单独论证停车配建规模。</w:t>
      </w:r>
    </w:p>
    <w:p w:rsidR="005D2813" w:rsidRPr="006C416F" w:rsidRDefault="005D2813" w:rsidP="005D2813">
      <w:pPr>
        <w:spacing w:line="360" w:lineRule="auto"/>
        <w:ind w:firstLineChars="200" w:firstLine="480"/>
        <w:rPr>
          <w:rFonts w:ascii="宋体" w:eastAsia="宋体" w:hAnsi="宋体"/>
          <w:sz w:val="24"/>
        </w:rPr>
      </w:pPr>
      <w:r w:rsidRPr="006C416F">
        <w:rPr>
          <w:rFonts w:ascii="宋体" w:eastAsia="宋体" w:hAnsi="宋体" w:hint="eastAsia"/>
          <w:sz w:val="24"/>
        </w:rPr>
        <w:t>（6）一类区、二类区内有</w:t>
      </w:r>
      <w:r w:rsidRPr="006C416F">
        <w:rPr>
          <w:rFonts w:ascii="宋体" w:eastAsia="宋体" w:hAnsi="宋体"/>
          <w:sz w:val="24"/>
        </w:rPr>
        <w:t>50%</w:t>
      </w:r>
      <w:r w:rsidRPr="006C416F">
        <w:rPr>
          <w:rFonts w:ascii="宋体" w:eastAsia="宋体" w:hAnsi="宋体" w:hint="eastAsia"/>
          <w:sz w:val="24"/>
        </w:rPr>
        <w:t>以上的用地面积在距离已建成或已正式立项批准建设的城市轨道交通站出入口</w:t>
      </w:r>
      <w:r w:rsidRPr="006C416F">
        <w:rPr>
          <w:rFonts w:ascii="宋体" w:eastAsia="宋体" w:hAnsi="宋体"/>
          <w:sz w:val="24"/>
        </w:rPr>
        <w:t>100</w:t>
      </w:r>
      <w:r w:rsidRPr="006C416F">
        <w:rPr>
          <w:rFonts w:ascii="宋体" w:eastAsia="宋体" w:hAnsi="宋体" w:hint="eastAsia"/>
          <w:sz w:val="24"/>
        </w:rPr>
        <w:t>米、300米范围内的公共建筑，可分别相应减少</w:t>
      </w:r>
      <w:r w:rsidRPr="006C416F">
        <w:rPr>
          <w:rFonts w:ascii="宋体" w:eastAsia="宋体" w:hAnsi="宋体"/>
          <w:sz w:val="24"/>
        </w:rPr>
        <w:t>20%</w:t>
      </w:r>
      <w:r w:rsidRPr="006C416F">
        <w:rPr>
          <w:rFonts w:ascii="宋体" w:eastAsia="宋体" w:hAnsi="宋体" w:hint="eastAsia"/>
          <w:sz w:val="24"/>
        </w:rPr>
        <w:t>、10%的机动车停车泊位配置。但综合性公共建筑不得在上</w:t>
      </w:r>
      <w:proofErr w:type="gramStart"/>
      <w:r w:rsidRPr="006C416F">
        <w:rPr>
          <w:rFonts w:ascii="宋体" w:eastAsia="宋体" w:hAnsi="宋体" w:hint="eastAsia"/>
          <w:sz w:val="24"/>
        </w:rPr>
        <w:t>条基础</w:t>
      </w:r>
      <w:proofErr w:type="gramEnd"/>
      <w:r w:rsidRPr="006C416F">
        <w:rPr>
          <w:rFonts w:ascii="宋体" w:eastAsia="宋体" w:hAnsi="宋体" w:hint="eastAsia"/>
          <w:sz w:val="24"/>
        </w:rPr>
        <w:t>上重复折减。</w:t>
      </w:r>
    </w:p>
    <w:p w:rsidR="005D2813" w:rsidRPr="006C416F" w:rsidRDefault="005D2813" w:rsidP="005D2813">
      <w:pPr>
        <w:spacing w:line="360" w:lineRule="auto"/>
        <w:ind w:firstLineChars="200" w:firstLine="480"/>
        <w:rPr>
          <w:rFonts w:ascii="宋体" w:eastAsia="宋体" w:hAnsi="宋体"/>
          <w:sz w:val="24"/>
        </w:rPr>
      </w:pPr>
      <w:r w:rsidRPr="006C416F">
        <w:rPr>
          <w:rFonts w:ascii="宋体" w:eastAsia="宋体" w:hAnsi="宋体" w:hint="eastAsia"/>
          <w:sz w:val="24"/>
        </w:rPr>
        <w:t>（7）群体建设的建筑物，在符合规定的配建停车设施总体指标的条件下，可统一安排，协调布置。但分期建设的群体性建筑，其分期停车设施配建数量应不低于</w:t>
      </w:r>
      <w:proofErr w:type="gramStart"/>
      <w:r w:rsidRPr="006C416F">
        <w:rPr>
          <w:rFonts w:ascii="宋体" w:eastAsia="宋体" w:hAnsi="宋体" w:hint="eastAsia"/>
          <w:sz w:val="24"/>
        </w:rPr>
        <w:t>同期应</w:t>
      </w:r>
      <w:proofErr w:type="gramEnd"/>
      <w:r w:rsidRPr="006C416F">
        <w:rPr>
          <w:rFonts w:ascii="宋体" w:eastAsia="宋体" w:hAnsi="宋体" w:hint="eastAsia"/>
          <w:sz w:val="24"/>
        </w:rPr>
        <w:t>配建规模。</w:t>
      </w:r>
    </w:p>
    <w:p w:rsidR="005D2813" w:rsidRPr="006C416F" w:rsidRDefault="005D2813" w:rsidP="005D2813">
      <w:pPr>
        <w:spacing w:line="360" w:lineRule="auto"/>
        <w:ind w:firstLineChars="200" w:firstLine="480"/>
        <w:rPr>
          <w:rFonts w:ascii="宋体" w:eastAsia="宋体" w:hAnsi="宋体"/>
          <w:sz w:val="24"/>
        </w:rPr>
      </w:pPr>
      <w:r w:rsidRPr="006C416F">
        <w:rPr>
          <w:rFonts w:ascii="宋体" w:eastAsia="宋体" w:hAnsi="宋体" w:hint="eastAsia"/>
          <w:sz w:val="24"/>
        </w:rPr>
        <w:t>（8）地面停车泊位应集中安排用地，并设置专用停车场和通道，不得在建筑物间任意设置和占用小区出入口通道设置停车位。居住区配套地面停车位数量不宜超过住宅总套数的10%。</w:t>
      </w:r>
    </w:p>
    <w:p w:rsidR="005D2813" w:rsidRPr="006C416F" w:rsidRDefault="005D2813" w:rsidP="005D2813">
      <w:pPr>
        <w:spacing w:line="360" w:lineRule="auto"/>
        <w:ind w:firstLineChars="200" w:firstLine="480"/>
        <w:rPr>
          <w:rFonts w:ascii="宋体" w:eastAsia="宋体" w:hAnsi="宋体"/>
          <w:sz w:val="24"/>
        </w:rPr>
      </w:pPr>
      <w:r w:rsidRPr="006C416F">
        <w:rPr>
          <w:rFonts w:ascii="宋体" w:eastAsia="宋体" w:hAnsi="宋体" w:hint="eastAsia"/>
          <w:sz w:val="24"/>
        </w:rPr>
        <w:t>（9）住宅类建筑一般应设置地下停车库，其他类建筑鼓励建设立体机械车库，并配备相应的智能停车设备。剧院、商业、展览馆、体育场馆等人流、车流集中疏散的大型公共建筑不宜采用机械式停车位。</w:t>
      </w:r>
    </w:p>
    <w:p w:rsidR="005D2813" w:rsidRPr="006C416F" w:rsidRDefault="005D2813" w:rsidP="005D2813">
      <w:pPr>
        <w:spacing w:line="360" w:lineRule="auto"/>
        <w:ind w:firstLineChars="200" w:firstLine="480"/>
        <w:rPr>
          <w:rFonts w:ascii="宋体" w:eastAsia="宋体" w:hAnsi="宋体"/>
          <w:sz w:val="24"/>
        </w:rPr>
      </w:pPr>
      <w:r w:rsidRPr="006C416F">
        <w:rPr>
          <w:rFonts w:ascii="宋体" w:eastAsia="宋体" w:hAnsi="宋体" w:hint="eastAsia"/>
          <w:sz w:val="24"/>
        </w:rPr>
        <w:t>（10）各类公共建筑物的配建停车位应满足向社会开放使用的条件，按照相关要求接入青岛市智能停车一体化平台，实施资源共享。鼓励非公共建筑停车位对社会开放。开放使用的停车位需要设置收费设施的，其出入口处收费排队等候空间应不少于两车位。</w:t>
      </w:r>
    </w:p>
    <w:p w:rsidR="005D2813" w:rsidRPr="006C416F" w:rsidRDefault="005D2813" w:rsidP="005D2813">
      <w:pPr>
        <w:spacing w:line="360" w:lineRule="auto"/>
        <w:ind w:firstLineChars="200" w:firstLine="480"/>
        <w:rPr>
          <w:rFonts w:ascii="宋体" w:eastAsia="宋体" w:hAnsi="宋体"/>
          <w:sz w:val="24"/>
        </w:rPr>
      </w:pPr>
      <w:r w:rsidRPr="006C416F">
        <w:rPr>
          <w:rFonts w:ascii="宋体" w:eastAsia="宋体" w:hAnsi="宋体" w:hint="eastAsia"/>
          <w:sz w:val="24"/>
        </w:rPr>
        <w:t>（11）</w:t>
      </w:r>
      <w:r w:rsidRPr="006C416F">
        <w:rPr>
          <w:rFonts w:ascii="宋体" w:eastAsia="宋体" w:hAnsi="宋体"/>
          <w:sz w:val="24"/>
        </w:rPr>
        <w:t>新建住宅小区应按不低于30%的</w:t>
      </w:r>
      <w:r w:rsidRPr="006C416F">
        <w:rPr>
          <w:rFonts w:ascii="宋体" w:eastAsia="宋体" w:hAnsi="宋体" w:hint="eastAsia"/>
          <w:sz w:val="24"/>
        </w:rPr>
        <w:t>车位</w:t>
      </w:r>
      <w:r w:rsidRPr="006C416F">
        <w:rPr>
          <w:rFonts w:ascii="宋体" w:eastAsia="宋体" w:hAnsi="宋体"/>
          <w:sz w:val="24"/>
        </w:rPr>
        <w:t>比例</w:t>
      </w:r>
      <w:r w:rsidRPr="006C416F">
        <w:rPr>
          <w:rFonts w:ascii="宋体" w:eastAsia="宋体" w:hAnsi="宋体" w:hint="eastAsia"/>
          <w:sz w:val="24"/>
        </w:rPr>
        <w:t>建设充电基础设施，</w:t>
      </w:r>
      <w:r w:rsidRPr="006C416F">
        <w:rPr>
          <w:rFonts w:ascii="宋体" w:eastAsia="宋体" w:hAnsi="宋体"/>
          <w:sz w:val="24"/>
        </w:rPr>
        <w:t>其他车位预留扩建敷设条件</w:t>
      </w:r>
      <w:r w:rsidRPr="006C416F">
        <w:rPr>
          <w:rFonts w:ascii="宋体" w:eastAsia="宋体" w:hAnsi="宋体" w:hint="eastAsia"/>
          <w:sz w:val="24"/>
        </w:rPr>
        <w:t>并</w:t>
      </w:r>
      <w:r w:rsidRPr="006C416F">
        <w:rPr>
          <w:rFonts w:ascii="宋体" w:eastAsia="宋体" w:hAnsi="宋体"/>
          <w:sz w:val="24"/>
        </w:rPr>
        <w:t>配置电力容量</w:t>
      </w:r>
      <w:r w:rsidRPr="006C416F">
        <w:rPr>
          <w:rFonts w:ascii="宋体" w:eastAsia="宋体" w:hAnsi="宋体" w:hint="eastAsia"/>
          <w:sz w:val="24"/>
        </w:rPr>
        <w:t>。新建大型公共建筑物停车场、社会公共停车场、公共文化娱乐场所停车场等，按不低于20%的车位比例建设充电基础设施。</w:t>
      </w:r>
    </w:p>
    <w:p w:rsidR="005D2813" w:rsidRPr="006C416F" w:rsidRDefault="005D2813" w:rsidP="005D2813">
      <w:pPr>
        <w:spacing w:line="360" w:lineRule="auto"/>
        <w:ind w:firstLineChars="200" w:firstLine="480"/>
        <w:rPr>
          <w:rFonts w:ascii="宋体" w:eastAsia="宋体" w:hAnsi="宋体"/>
          <w:sz w:val="24"/>
        </w:rPr>
      </w:pPr>
      <w:r w:rsidRPr="006C416F">
        <w:rPr>
          <w:rFonts w:ascii="宋体" w:eastAsia="宋体" w:hAnsi="宋体" w:hint="eastAsia"/>
          <w:sz w:val="24"/>
        </w:rPr>
        <w:t>（12）临时建筑根据其使用性质参考相应的停车配建标准。</w:t>
      </w:r>
    </w:p>
    <w:p w:rsidR="005D2813" w:rsidRPr="006C416F" w:rsidRDefault="005D2813" w:rsidP="005D2813">
      <w:pPr>
        <w:spacing w:line="360" w:lineRule="auto"/>
        <w:ind w:firstLineChars="200" w:firstLine="480"/>
        <w:rPr>
          <w:rFonts w:asciiTheme="minorEastAsia" w:hAnsiTheme="minorEastAsia"/>
          <w:sz w:val="24"/>
        </w:rPr>
      </w:pPr>
      <w:r w:rsidRPr="006C416F">
        <w:rPr>
          <w:rFonts w:ascii="宋体" w:eastAsia="宋体" w:hAnsi="宋体" w:hint="eastAsia"/>
          <w:sz w:val="24"/>
        </w:rPr>
        <w:t>（13）建筑物按</w:t>
      </w:r>
      <w:r w:rsidRPr="006C416F">
        <w:rPr>
          <w:rFonts w:asciiTheme="minorEastAsia" w:hAnsiTheme="minorEastAsia" w:hint="eastAsia"/>
          <w:sz w:val="24"/>
        </w:rPr>
        <w:t>配建指标计算出的车位数，尾数不足1个的按1个计算。</w:t>
      </w:r>
    </w:p>
    <w:p w:rsidR="005D2813" w:rsidRPr="006C416F" w:rsidRDefault="005D2813" w:rsidP="005D2813">
      <w:pPr>
        <w:spacing w:line="360" w:lineRule="auto"/>
        <w:ind w:firstLineChars="200" w:firstLine="480"/>
        <w:rPr>
          <w:rFonts w:asciiTheme="minorEastAsia" w:hAnsiTheme="minorEastAsia"/>
          <w:sz w:val="24"/>
        </w:rPr>
      </w:pPr>
      <w:r w:rsidRPr="006C416F">
        <w:rPr>
          <w:rFonts w:asciiTheme="minorEastAsia" w:hAnsiTheme="minorEastAsia" w:hint="eastAsia"/>
          <w:sz w:val="24"/>
        </w:rPr>
        <w:t>（14）未列入本指标分类、已列入但存在特殊情况以及特殊地块内的建筑物配建停车位，可通过交通影响评价进行配建。</w:t>
      </w:r>
    </w:p>
    <w:p w:rsidR="005D2813" w:rsidRPr="006C416F" w:rsidRDefault="005D2813" w:rsidP="005D2813">
      <w:pPr>
        <w:spacing w:line="360" w:lineRule="auto"/>
        <w:ind w:firstLineChars="200" w:firstLine="480"/>
        <w:rPr>
          <w:rFonts w:asciiTheme="minorEastAsia" w:hAnsiTheme="minorEastAsia"/>
          <w:sz w:val="24"/>
        </w:rPr>
      </w:pPr>
      <w:r w:rsidRPr="006C416F">
        <w:rPr>
          <w:rFonts w:asciiTheme="minorEastAsia" w:hAnsiTheme="minorEastAsia" w:hint="eastAsia"/>
          <w:sz w:val="24"/>
        </w:rPr>
        <w:t>（1</w:t>
      </w:r>
      <w:r w:rsidRPr="006C416F">
        <w:rPr>
          <w:rFonts w:asciiTheme="minorEastAsia" w:hAnsiTheme="minorEastAsia"/>
          <w:sz w:val="24"/>
        </w:rPr>
        <w:t>5</w:t>
      </w:r>
      <w:r w:rsidRPr="006C416F">
        <w:rPr>
          <w:rFonts w:asciiTheme="minorEastAsia" w:hAnsiTheme="minorEastAsia" w:hint="eastAsia"/>
          <w:sz w:val="24"/>
        </w:rPr>
        <w:t>）平行式、斜列式、垂直式停车的最小停车位长宽尺寸应当符合《汽车</w:t>
      </w:r>
      <w:r w:rsidRPr="006C416F">
        <w:rPr>
          <w:rFonts w:asciiTheme="minorEastAsia" w:hAnsiTheme="minorEastAsia" w:hint="eastAsia"/>
          <w:sz w:val="24"/>
        </w:rPr>
        <w:lastRenderedPageBreak/>
        <w:t>库建筑设计规范（JGJ</w:t>
      </w:r>
      <w:r w:rsidRPr="006C416F">
        <w:rPr>
          <w:rFonts w:asciiTheme="minorEastAsia" w:hAnsiTheme="minorEastAsia"/>
          <w:sz w:val="24"/>
        </w:rPr>
        <w:t>100</w:t>
      </w:r>
      <w:r w:rsidRPr="006C416F">
        <w:rPr>
          <w:rFonts w:asciiTheme="minorEastAsia" w:hAnsiTheme="minorEastAsia" w:hint="eastAsia"/>
          <w:sz w:val="24"/>
        </w:rPr>
        <w:t>）》等相关规范要求，停车泊位</w:t>
      </w:r>
      <w:r w:rsidRPr="006C416F">
        <w:rPr>
          <w:rFonts w:asciiTheme="minorEastAsia" w:hAnsiTheme="minorEastAsia"/>
          <w:sz w:val="24"/>
        </w:rPr>
        <w:t>应排列紧凑、通道短捷、出入迅速、保证安全和与柱网相协调，并应满足一次进出停车位要求。</w:t>
      </w:r>
    </w:p>
    <w:p w:rsidR="005D2813" w:rsidRPr="006C416F" w:rsidRDefault="005D2813" w:rsidP="009D6936">
      <w:pPr>
        <w:spacing w:beforeLines="50" w:before="156" w:line="360" w:lineRule="auto"/>
        <w:ind w:firstLineChars="200" w:firstLine="480"/>
        <w:rPr>
          <w:sz w:val="24"/>
        </w:rPr>
      </w:pPr>
      <w:bookmarkStart w:id="2" w:name="_Toc461174935"/>
      <w:r w:rsidRPr="006C416F">
        <w:rPr>
          <w:rFonts w:hint="eastAsia"/>
          <w:sz w:val="24"/>
        </w:rPr>
        <w:t>3.</w:t>
      </w:r>
      <w:hyperlink r:id="rId9" w:anchor="_Toc309894144" w:history="1">
        <w:r w:rsidRPr="006C416F">
          <w:rPr>
            <w:rFonts w:hint="eastAsia"/>
            <w:sz w:val="24"/>
          </w:rPr>
          <w:t>主要建筑类型</w:t>
        </w:r>
        <w:r w:rsidRPr="006C416F">
          <w:rPr>
            <w:rFonts w:asciiTheme="minorEastAsia" w:hAnsiTheme="minorEastAsia" w:hint="eastAsia"/>
            <w:sz w:val="24"/>
          </w:rPr>
          <w:t>停车位</w:t>
        </w:r>
        <w:r w:rsidRPr="006C416F">
          <w:rPr>
            <w:rFonts w:hint="eastAsia"/>
            <w:sz w:val="24"/>
          </w:rPr>
          <w:t>设置标准</w:t>
        </w:r>
        <w:bookmarkEnd w:id="2"/>
      </w:hyperlink>
    </w:p>
    <w:p w:rsidR="005D2813" w:rsidRPr="006C416F" w:rsidRDefault="005D2813" w:rsidP="005D2813">
      <w:pPr>
        <w:spacing w:beforeLines="50" w:before="156" w:line="360" w:lineRule="auto"/>
        <w:ind w:firstLineChars="200" w:firstLine="480"/>
        <w:rPr>
          <w:rFonts w:asciiTheme="minorEastAsia" w:hAnsiTheme="minorEastAsia"/>
          <w:sz w:val="24"/>
        </w:rPr>
      </w:pPr>
      <w:r w:rsidRPr="006C416F">
        <w:rPr>
          <w:rFonts w:asciiTheme="minorEastAsia" w:hAnsiTheme="minorEastAsia" w:hint="eastAsia"/>
          <w:sz w:val="24"/>
        </w:rPr>
        <w:t>（1）住宅类</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144"/>
        <w:gridCol w:w="2838"/>
        <w:gridCol w:w="872"/>
        <w:gridCol w:w="878"/>
        <w:gridCol w:w="895"/>
      </w:tblGrid>
      <w:tr w:rsidR="006C416F" w:rsidRPr="006C416F" w:rsidTr="000F1EA6">
        <w:trPr>
          <w:trHeight w:val="270"/>
          <w:jc w:val="center"/>
        </w:trPr>
        <w:tc>
          <w:tcPr>
            <w:tcW w:w="1728" w:type="pct"/>
            <w:gridSpan w:val="2"/>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类型</w:t>
            </w:r>
          </w:p>
        </w:tc>
        <w:tc>
          <w:tcPr>
            <w:tcW w:w="1693"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计量单位</w:t>
            </w:r>
          </w:p>
        </w:tc>
        <w:tc>
          <w:tcPr>
            <w:tcW w:w="52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一类区</w:t>
            </w:r>
          </w:p>
        </w:tc>
        <w:tc>
          <w:tcPr>
            <w:tcW w:w="52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二类区</w:t>
            </w:r>
          </w:p>
        </w:tc>
        <w:tc>
          <w:tcPr>
            <w:tcW w:w="53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三类区</w:t>
            </w:r>
          </w:p>
        </w:tc>
      </w:tr>
      <w:tr w:rsidR="006C416F" w:rsidRPr="006C416F" w:rsidTr="000F1EA6">
        <w:trPr>
          <w:trHeight w:val="270"/>
          <w:jc w:val="center"/>
        </w:trPr>
        <w:tc>
          <w:tcPr>
            <w:tcW w:w="1728" w:type="pct"/>
            <w:gridSpan w:val="2"/>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b/>
                <w:bCs/>
                <w:kern w:val="0"/>
                <w:szCs w:val="21"/>
              </w:rPr>
            </w:pPr>
          </w:p>
        </w:tc>
        <w:tc>
          <w:tcPr>
            <w:tcW w:w="52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下限</w:t>
            </w:r>
          </w:p>
        </w:tc>
        <w:tc>
          <w:tcPr>
            <w:tcW w:w="52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下限</w:t>
            </w:r>
          </w:p>
        </w:tc>
        <w:tc>
          <w:tcPr>
            <w:tcW w:w="53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下限</w:t>
            </w:r>
          </w:p>
        </w:tc>
      </w:tr>
      <w:tr w:rsidR="006C416F" w:rsidRPr="006C416F" w:rsidTr="008A2FB4">
        <w:trPr>
          <w:trHeight w:val="284"/>
          <w:jc w:val="center"/>
        </w:trPr>
        <w:tc>
          <w:tcPr>
            <w:tcW w:w="1728" w:type="pct"/>
            <w:gridSpan w:val="2"/>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独立式住宅或S建＞200</w:t>
            </w:r>
            <w:r w:rsidRPr="006C416F">
              <w:rPr>
                <w:szCs w:val="21"/>
              </w:rPr>
              <w:t>m²</w:t>
            </w:r>
          </w:p>
        </w:tc>
        <w:tc>
          <w:tcPr>
            <w:tcW w:w="1693"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车位/户</w:t>
            </w:r>
          </w:p>
        </w:tc>
        <w:tc>
          <w:tcPr>
            <w:tcW w:w="5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52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53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r>
      <w:tr w:rsidR="006C416F" w:rsidRPr="006C416F" w:rsidTr="008A2FB4">
        <w:trPr>
          <w:trHeight w:val="284"/>
          <w:jc w:val="center"/>
        </w:trPr>
        <w:tc>
          <w:tcPr>
            <w:tcW w:w="449" w:type="pct"/>
            <w:vMerge w:val="restart"/>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住宅</w:t>
            </w:r>
          </w:p>
        </w:tc>
        <w:tc>
          <w:tcPr>
            <w:tcW w:w="1279"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S建≤90</w:t>
            </w:r>
            <w:r w:rsidRPr="006C416F">
              <w:rPr>
                <w:szCs w:val="21"/>
              </w:rPr>
              <w:t>m²</w:t>
            </w:r>
          </w:p>
        </w:tc>
        <w:tc>
          <w:tcPr>
            <w:tcW w:w="1693"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车位/户</w:t>
            </w:r>
          </w:p>
        </w:tc>
        <w:tc>
          <w:tcPr>
            <w:tcW w:w="5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w:t>
            </w:r>
            <w:r w:rsidRPr="006C416F">
              <w:rPr>
                <w:rFonts w:ascii="宋体" w:hAnsi="宋体" w:cs="宋体"/>
                <w:kern w:val="0"/>
                <w:szCs w:val="21"/>
              </w:rPr>
              <w:t>1</w:t>
            </w:r>
          </w:p>
        </w:tc>
        <w:tc>
          <w:tcPr>
            <w:tcW w:w="52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w:t>
            </w:r>
            <w:r w:rsidRPr="006C416F">
              <w:rPr>
                <w:rFonts w:ascii="宋体" w:hAnsi="宋体" w:cs="宋体"/>
                <w:kern w:val="0"/>
                <w:szCs w:val="21"/>
              </w:rPr>
              <w:t>1</w:t>
            </w:r>
          </w:p>
        </w:tc>
        <w:tc>
          <w:tcPr>
            <w:tcW w:w="53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w:t>
            </w:r>
            <w:r w:rsidRPr="006C416F">
              <w:rPr>
                <w:rFonts w:ascii="宋体" w:hAnsi="宋体" w:cs="宋体"/>
                <w:kern w:val="0"/>
                <w:szCs w:val="21"/>
              </w:rPr>
              <w:t>1</w:t>
            </w:r>
          </w:p>
        </w:tc>
      </w:tr>
      <w:tr w:rsidR="006C416F" w:rsidRPr="006C416F" w:rsidTr="008A2FB4">
        <w:trPr>
          <w:trHeight w:val="284"/>
          <w:jc w:val="center"/>
        </w:trPr>
        <w:tc>
          <w:tcPr>
            <w:tcW w:w="449" w:type="pct"/>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1279"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90</w:t>
            </w:r>
            <w:r w:rsidRPr="006C416F">
              <w:rPr>
                <w:szCs w:val="21"/>
              </w:rPr>
              <w:t>m²</w:t>
            </w:r>
            <w:r w:rsidRPr="006C416F">
              <w:rPr>
                <w:rFonts w:ascii="宋体" w:hAnsi="宋体" w:cs="宋体" w:hint="eastAsia"/>
                <w:kern w:val="0"/>
                <w:szCs w:val="21"/>
              </w:rPr>
              <w:t>＜S建≤120</w:t>
            </w:r>
            <w:r w:rsidRPr="006C416F">
              <w:rPr>
                <w:szCs w:val="21"/>
              </w:rPr>
              <w:t>m²</w:t>
            </w:r>
          </w:p>
        </w:tc>
        <w:tc>
          <w:tcPr>
            <w:tcW w:w="1693"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车位/户</w:t>
            </w:r>
          </w:p>
        </w:tc>
        <w:tc>
          <w:tcPr>
            <w:tcW w:w="5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1.2</w:t>
            </w:r>
          </w:p>
        </w:tc>
        <w:tc>
          <w:tcPr>
            <w:tcW w:w="52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1.2</w:t>
            </w:r>
          </w:p>
        </w:tc>
        <w:tc>
          <w:tcPr>
            <w:tcW w:w="53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1.2</w:t>
            </w:r>
          </w:p>
        </w:tc>
      </w:tr>
      <w:tr w:rsidR="006C416F" w:rsidRPr="006C416F" w:rsidTr="008A2FB4">
        <w:trPr>
          <w:trHeight w:val="284"/>
          <w:jc w:val="center"/>
        </w:trPr>
        <w:tc>
          <w:tcPr>
            <w:tcW w:w="449" w:type="pct"/>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1279"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120</w:t>
            </w:r>
            <w:r w:rsidRPr="006C416F">
              <w:rPr>
                <w:szCs w:val="21"/>
              </w:rPr>
              <w:t>m²</w:t>
            </w:r>
            <w:r w:rsidRPr="006C416F">
              <w:rPr>
                <w:rFonts w:ascii="宋体" w:hAnsi="宋体" w:cs="宋体" w:hint="eastAsia"/>
                <w:kern w:val="0"/>
                <w:szCs w:val="21"/>
              </w:rPr>
              <w:t>＜S建≤160</w:t>
            </w:r>
            <w:r w:rsidRPr="006C416F">
              <w:rPr>
                <w:szCs w:val="21"/>
              </w:rPr>
              <w:t>m²</w:t>
            </w:r>
          </w:p>
        </w:tc>
        <w:tc>
          <w:tcPr>
            <w:tcW w:w="1693"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车位/户</w:t>
            </w:r>
          </w:p>
        </w:tc>
        <w:tc>
          <w:tcPr>
            <w:tcW w:w="5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1.5</w:t>
            </w:r>
          </w:p>
        </w:tc>
        <w:tc>
          <w:tcPr>
            <w:tcW w:w="52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1.5</w:t>
            </w:r>
          </w:p>
        </w:tc>
        <w:tc>
          <w:tcPr>
            <w:tcW w:w="53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1.5</w:t>
            </w:r>
          </w:p>
        </w:tc>
      </w:tr>
      <w:tr w:rsidR="006C416F" w:rsidRPr="006C416F" w:rsidTr="008A2FB4">
        <w:trPr>
          <w:trHeight w:val="284"/>
          <w:jc w:val="center"/>
        </w:trPr>
        <w:tc>
          <w:tcPr>
            <w:tcW w:w="449" w:type="pct"/>
            <w:vMerge/>
            <w:tcBorders>
              <w:top w:val="single" w:sz="4" w:space="0" w:color="auto"/>
              <w:left w:val="single" w:sz="4" w:space="0" w:color="auto"/>
              <w:bottom w:val="single" w:sz="4" w:space="0" w:color="auto"/>
              <w:right w:val="single" w:sz="4" w:space="0" w:color="auto"/>
            </w:tcBorders>
            <w:vAlign w:val="center"/>
          </w:tcPr>
          <w:p w:rsidR="005D2813" w:rsidRPr="006C416F" w:rsidRDefault="005D2813" w:rsidP="000F1EA6">
            <w:pPr>
              <w:widowControl/>
              <w:jc w:val="left"/>
              <w:rPr>
                <w:rFonts w:ascii="宋体" w:hAnsi="宋体" w:cs="宋体"/>
                <w:kern w:val="0"/>
                <w:szCs w:val="21"/>
              </w:rPr>
            </w:pPr>
          </w:p>
        </w:tc>
        <w:tc>
          <w:tcPr>
            <w:tcW w:w="1279" w:type="pct"/>
            <w:tcBorders>
              <w:top w:val="single" w:sz="4" w:space="0" w:color="auto"/>
              <w:left w:val="single" w:sz="4" w:space="0" w:color="auto"/>
              <w:bottom w:val="single" w:sz="4" w:space="0" w:color="auto"/>
              <w:right w:val="single" w:sz="4" w:space="0" w:color="auto"/>
            </w:tcBorders>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160</w:t>
            </w:r>
            <w:r w:rsidRPr="006C416F">
              <w:rPr>
                <w:szCs w:val="21"/>
              </w:rPr>
              <w:t>m²</w:t>
            </w:r>
            <w:r w:rsidRPr="006C416F">
              <w:rPr>
                <w:rFonts w:ascii="宋体" w:hAnsi="宋体" w:cs="宋体" w:hint="eastAsia"/>
                <w:kern w:val="0"/>
                <w:szCs w:val="21"/>
              </w:rPr>
              <w:t>＜S建≤200</w:t>
            </w:r>
            <w:r w:rsidRPr="006C416F">
              <w:rPr>
                <w:szCs w:val="21"/>
              </w:rPr>
              <w:t>m²</w:t>
            </w:r>
          </w:p>
        </w:tc>
        <w:tc>
          <w:tcPr>
            <w:tcW w:w="1693" w:type="pct"/>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车位/户</w:t>
            </w:r>
          </w:p>
        </w:tc>
        <w:tc>
          <w:tcPr>
            <w:tcW w:w="520" w:type="pct"/>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1.8</w:t>
            </w:r>
          </w:p>
        </w:tc>
        <w:tc>
          <w:tcPr>
            <w:tcW w:w="524" w:type="pct"/>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1.8</w:t>
            </w:r>
          </w:p>
        </w:tc>
        <w:tc>
          <w:tcPr>
            <w:tcW w:w="534" w:type="pct"/>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1.8</w:t>
            </w:r>
          </w:p>
        </w:tc>
      </w:tr>
      <w:tr w:rsidR="006C416F" w:rsidRPr="006C416F" w:rsidTr="008A2FB4">
        <w:trPr>
          <w:trHeight w:val="284"/>
          <w:jc w:val="center"/>
        </w:trPr>
        <w:tc>
          <w:tcPr>
            <w:tcW w:w="449" w:type="pct"/>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1279" w:type="pct"/>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未分户</w:t>
            </w:r>
          </w:p>
        </w:tc>
        <w:tc>
          <w:tcPr>
            <w:tcW w:w="1693"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left"/>
              <w:rPr>
                <w:rFonts w:ascii="宋体" w:hAnsi="宋体" w:cs="宋体"/>
                <w:kern w:val="0"/>
                <w:szCs w:val="21"/>
              </w:rPr>
            </w:pPr>
            <w:r w:rsidRPr="006C416F">
              <w:rPr>
                <w:rFonts w:ascii="宋体" w:hAnsi="宋体" w:cs="宋体" w:hint="eastAsia"/>
                <w:kern w:val="0"/>
                <w:szCs w:val="21"/>
              </w:rPr>
              <w:t>车位/100</w:t>
            </w:r>
            <w:r w:rsidRPr="006C416F">
              <w:rPr>
                <w:szCs w:val="21"/>
              </w:rPr>
              <w:t>m²</w:t>
            </w:r>
            <w:r w:rsidRPr="006C416F">
              <w:rPr>
                <w:rFonts w:ascii="宋体" w:hAnsi="宋体" w:cs="宋体" w:hint="eastAsia"/>
                <w:kern w:val="0"/>
                <w:szCs w:val="21"/>
              </w:rPr>
              <w:t>建筑面积</w:t>
            </w:r>
          </w:p>
        </w:tc>
        <w:tc>
          <w:tcPr>
            <w:tcW w:w="5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1.2</w:t>
            </w:r>
          </w:p>
        </w:tc>
        <w:tc>
          <w:tcPr>
            <w:tcW w:w="52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1.2</w:t>
            </w:r>
          </w:p>
        </w:tc>
        <w:tc>
          <w:tcPr>
            <w:tcW w:w="53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1.2</w:t>
            </w:r>
          </w:p>
        </w:tc>
      </w:tr>
      <w:tr w:rsidR="006C416F" w:rsidRPr="006C416F" w:rsidTr="008A2FB4">
        <w:trPr>
          <w:trHeight w:val="284"/>
          <w:jc w:val="center"/>
        </w:trPr>
        <w:tc>
          <w:tcPr>
            <w:tcW w:w="1728" w:type="pct"/>
            <w:gridSpan w:val="2"/>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保障性住房</w:t>
            </w:r>
          </w:p>
        </w:tc>
        <w:tc>
          <w:tcPr>
            <w:tcW w:w="1693"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w:t>
            </w:r>
            <w:r w:rsidRPr="006C416F">
              <w:rPr>
                <w:szCs w:val="21"/>
              </w:rPr>
              <w:t>m²</w:t>
            </w:r>
            <w:r w:rsidRPr="006C416F">
              <w:rPr>
                <w:rFonts w:ascii="宋体" w:hAnsi="宋体" w:cs="宋体" w:hint="eastAsia"/>
                <w:kern w:val="0"/>
                <w:szCs w:val="21"/>
              </w:rPr>
              <w:t>建筑面积</w:t>
            </w:r>
          </w:p>
        </w:tc>
        <w:tc>
          <w:tcPr>
            <w:tcW w:w="5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w:t>
            </w:r>
            <w:r w:rsidRPr="006C416F">
              <w:rPr>
                <w:rFonts w:ascii="宋体" w:hAnsi="宋体" w:cs="宋体"/>
                <w:kern w:val="0"/>
                <w:szCs w:val="21"/>
              </w:rPr>
              <w:t>1</w:t>
            </w:r>
          </w:p>
        </w:tc>
        <w:tc>
          <w:tcPr>
            <w:tcW w:w="52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w:t>
            </w:r>
            <w:r w:rsidRPr="006C416F">
              <w:rPr>
                <w:rFonts w:ascii="宋体" w:hAnsi="宋体" w:cs="宋体"/>
                <w:kern w:val="0"/>
                <w:szCs w:val="21"/>
              </w:rPr>
              <w:t>1</w:t>
            </w:r>
          </w:p>
        </w:tc>
        <w:tc>
          <w:tcPr>
            <w:tcW w:w="53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w:t>
            </w:r>
            <w:r w:rsidRPr="006C416F">
              <w:rPr>
                <w:rFonts w:ascii="宋体" w:hAnsi="宋体" w:cs="宋体"/>
                <w:kern w:val="0"/>
                <w:szCs w:val="21"/>
              </w:rPr>
              <w:t>1</w:t>
            </w:r>
          </w:p>
        </w:tc>
      </w:tr>
      <w:tr w:rsidR="006C416F" w:rsidRPr="006C416F" w:rsidTr="008A2FB4">
        <w:trPr>
          <w:trHeight w:val="284"/>
          <w:jc w:val="center"/>
        </w:trPr>
        <w:tc>
          <w:tcPr>
            <w:tcW w:w="1728" w:type="pct"/>
            <w:gridSpan w:val="2"/>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集体宿舍</w:t>
            </w:r>
          </w:p>
        </w:tc>
        <w:tc>
          <w:tcPr>
            <w:tcW w:w="1693"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w:t>
            </w:r>
            <w:r w:rsidRPr="006C416F">
              <w:rPr>
                <w:szCs w:val="21"/>
              </w:rPr>
              <w:t>m²</w:t>
            </w:r>
            <w:r w:rsidRPr="006C416F">
              <w:rPr>
                <w:rFonts w:ascii="宋体" w:hAnsi="宋体" w:cs="宋体" w:hint="eastAsia"/>
                <w:kern w:val="0"/>
                <w:szCs w:val="21"/>
              </w:rPr>
              <w:t>建筑面积</w:t>
            </w:r>
          </w:p>
        </w:tc>
        <w:tc>
          <w:tcPr>
            <w:tcW w:w="5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w:t>
            </w:r>
            <w:r w:rsidRPr="006C416F">
              <w:rPr>
                <w:rFonts w:ascii="宋体" w:hAnsi="宋体" w:cs="宋体"/>
                <w:kern w:val="0"/>
                <w:szCs w:val="21"/>
              </w:rPr>
              <w:t>1</w:t>
            </w:r>
          </w:p>
        </w:tc>
        <w:tc>
          <w:tcPr>
            <w:tcW w:w="52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w:t>
            </w:r>
            <w:r w:rsidRPr="006C416F">
              <w:rPr>
                <w:rFonts w:ascii="宋体" w:hAnsi="宋体" w:cs="宋体"/>
                <w:kern w:val="0"/>
                <w:szCs w:val="21"/>
              </w:rPr>
              <w:t>1</w:t>
            </w:r>
          </w:p>
        </w:tc>
        <w:tc>
          <w:tcPr>
            <w:tcW w:w="53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w:t>
            </w:r>
            <w:r w:rsidRPr="006C416F">
              <w:rPr>
                <w:rFonts w:ascii="宋体" w:hAnsi="宋体" w:cs="宋体"/>
                <w:kern w:val="0"/>
                <w:szCs w:val="21"/>
              </w:rPr>
              <w:t>1</w:t>
            </w:r>
          </w:p>
        </w:tc>
      </w:tr>
    </w:tbl>
    <w:p w:rsidR="005D2813" w:rsidRPr="006C416F" w:rsidRDefault="005D2813" w:rsidP="005D2813">
      <w:pPr>
        <w:spacing w:line="320" w:lineRule="exact"/>
        <w:rPr>
          <w:rFonts w:ascii="仿宋_GB2312" w:eastAsia="仿宋_GB2312"/>
          <w:spacing w:val="-6"/>
          <w:szCs w:val="21"/>
        </w:rPr>
      </w:pPr>
      <w:r w:rsidRPr="006C416F">
        <w:rPr>
          <w:rFonts w:ascii="仿宋_GB2312" w:eastAsia="仿宋_GB2312" w:hint="eastAsia"/>
          <w:spacing w:val="-6"/>
          <w:szCs w:val="21"/>
        </w:rPr>
        <w:t>说明：（1）S</w:t>
      </w:r>
      <w:proofErr w:type="gramStart"/>
      <w:r w:rsidRPr="006C416F">
        <w:rPr>
          <w:rFonts w:ascii="仿宋_GB2312" w:eastAsia="仿宋_GB2312" w:hint="eastAsia"/>
          <w:spacing w:val="-6"/>
          <w:szCs w:val="21"/>
        </w:rPr>
        <w:t>建指建筑面积</w:t>
      </w:r>
      <w:proofErr w:type="gramEnd"/>
      <w:r w:rsidRPr="006C416F">
        <w:rPr>
          <w:rFonts w:ascii="仿宋_GB2312" w:eastAsia="仿宋_GB2312" w:hint="eastAsia"/>
          <w:spacing w:val="-6"/>
          <w:szCs w:val="21"/>
        </w:rPr>
        <w:t>（下同）。</w:t>
      </w:r>
    </w:p>
    <w:p w:rsidR="005D2813" w:rsidRPr="006C416F" w:rsidRDefault="005D2813" w:rsidP="005D2813">
      <w:pPr>
        <w:spacing w:line="320" w:lineRule="exact"/>
        <w:rPr>
          <w:rFonts w:ascii="仿宋_GB2312" w:eastAsia="仿宋_GB2312"/>
          <w:spacing w:val="-6"/>
          <w:szCs w:val="21"/>
        </w:rPr>
      </w:pPr>
      <w:r w:rsidRPr="006C416F">
        <w:rPr>
          <w:rFonts w:ascii="仿宋_GB2312" w:eastAsia="仿宋_GB2312" w:hint="eastAsia"/>
          <w:spacing w:val="-6"/>
          <w:szCs w:val="21"/>
        </w:rPr>
        <w:t>（2）增加访客泊位兼顾装卸货泊位，按不低于配建车位总数2%设置；结合住宅小区出入口在用地范围内设置不少于2个微型车位，作为</w:t>
      </w:r>
      <w:proofErr w:type="gramStart"/>
      <w:r w:rsidRPr="006C416F">
        <w:rPr>
          <w:rFonts w:ascii="仿宋_GB2312" w:eastAsia="仿宋_GB2312" w:hint="eastAsia"/>
          <w:spacing w:val="-6"/>
          <w:szCs w:val="21"/>
        </w:rPr>
        <w:t>快递车</w:t>
      </w:r>
      <w:proofErr w:type="gramEnd"/>
      <w:r w:rsidRPr="006C416F">
        <w:rPr>
          <w:rFonts w:ascii="仿宋_GB2312" w:eastAsia="仿宋_GB2312" w:hint="eastAsia"/>
          <w:spacing w:val="-6"/>
          <w:szCs w:val="21"/>
        </w:rPr>
        <w:t>临时泊位。</w:t>
      </w:r>
    </w:p>
    <w:p w:rsidR="005D2813" w:rsidRPr="006C416F" w:rsidRDefault="005D2813" w:rsidP="005D2813">
      <w:pPr>
        <w:spacing w:beforeLines="50" w:before="156" w:line="360" w:lineRule="auto"/>
        <w:ind w:firstLineChars="200" w:firstLine="480"/>
        <w:rPr>
          <w:rFonts w:asciiTheme="minorEastAsia" w:hAnsiTheme="minorEastAsia"/>
          <w:sz w:val="24"/>
        </w:rPr>
      </w:pPr>
      <w:r w:rsidRPr="006C416F">
        <w:rPr>
          <w:rFonts w:asciiTheme="minorEastAsia" w:hAnsiTheme="minorEastAsia" w:hint="eastAsia"/>
          <w:sz w:val="24"/>
        </w:rPr>
        <w:t>（2）办公类</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4"/>
        <w:gridCol w:w="3236"/>
        <w:gridCol w:w="2169"/>
        <w:gridCol w:w="1021"/>
        <w:gridCol w:w="992"/>
        <w:gridCol w:w="992"/>
      </w:tblGrid>
      <w:tr w:rsidR="006C416F" w:rsidRPr="006C416F" w:rsidTr="008A2FB4">
        <w:trPr>
          <w:trHeight w:val="285"/>
          <w:jc w:val="center"/>
        </w:trPr>
        <w:tc>
          <w:tcPr>
            <w:tcW w:w="3940"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类型</w:t>
            </w:r>
          </w:p>
        </w:tc>
        <w:tc>
          <w:tcPr>
            <w:tcW w:w="2169"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计量单位</w:t>
            </w:r>
          </w:p>
        </w:tc>
        <w:tc>
          <w:tcPr>
            <w:tcW w:w="10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一类区</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二类区</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三类区</w:t>
            </w:r>
          </w:p>
        </w:tc>
      </w:tr>
      <w:tr w:rsidR="006C416F" w:rsidRPr="006C416F" w:rsidTr="008A2FB4">
        <w:trPr>
          <w:trHeight w:val="285"/>
          <w:jc w:val="center"/>
        </w:trPr>
        <w:tc>
          <w:tcPr>
            <w:tcW w:w="3940" w:type="dxa"/>
            <w:gridSpan w:val="2"/>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b/>
                <w:bCs/>
                <w:kern w:val="0"/>
                <w:szCs w:val="21"/>
              </w:rPr>
            </w:pPr>
          </w:p>
        </w:tc>
        <w:tc>
          <w:tcPr>
            <w:tcW w:w="2169"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b/>
                <w:bCs/>
                <w:kern w:val="0"/>
                <w:szCs w:val="21"/>
              </w:rPr>
            </w:pPr>
          </w:p>
        </w:tc>
        <w:tc>
          <w:tcPr>
            <w:tcW w:w="10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下限</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下限</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下限</w:t>
            </w:r>
          </w:p>
        </w:tc>
      </w:tr>
      <w:tr w:rsidR="006C416F" w:rsidRPr="006C416F" w:rsidTr="008A2FB4">
        <w:trPr>
          <w:trHeight w:val="284"/>
          <w:jc w:val="center"/>
        </w:trPr>
        <w:tc>
          <w:tcPr>
            <w:tcW w:w="704" w:type="dxa"/>
            <w:vMerge w:val="restar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行政办公</w:t>
            </w:r>
          </w:p>
        </w:tc>
        <w:tc>
          <w:tcPr>
            <w:tcW w:w="323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拥有执法、服务窗口的单位</w:t>
            </w:r>
          </w:p>
        </w:tc>
        <w:tc>
          <w:tcPr>
            <w:tcW w:w="2169"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102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 w:val="20"/>
                <w:szCs w:val="20"/>
              </w:rPr>
            </w:pPr>
            <w:r w:rsidRPr="006C416F">
              <w:rPr>
                <w:rFonts w:ascii="宋体" w:hAnsi="宋体" w:cs="宋体" w:hint="eastAsia"/>
                <w:kern w:val="0"/>
                <w:sz w:val="20"/>
                <w:szCs w:val="20"/>
              </w:rPr>
              <w:t>1.5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 w:val="20"/>
                <w:szCs w:val="20"/>
              </w:rPr>
            </w:pPr>
            <w:r w:rsidRPr="006C416F">
              <w:rPr>
                <w:rFonts w:ascii="宋体" w:hAnsi="宋体" w:cs="宋体" w:hint="eastAsia"/>
                <w:kern w:val="0"/>
                <w:sz w:val="20"/>
                <w:szCs w:val="20"/>
              </w:rPr>
              <w:t>1.</w:t>
            </w:r>
            <w:r w:rsidRPr="006C416F">
              <w:rPr>
                <w:rFonts w:ascii="宋体" w:hAnsi="宋体" w:cs="宋体" w:hint="eastAsia"/>
                <w:kern w:val="0"/>
                <w:szCs w:val="21"/>
              </w:rPr>
              <w:t>8</w:t>
            </w:r>
          </w:p>
        </w:tc>
      </w:tr>
      <w:tr w:rsidR="006C416F" w:rsidRPr="006C416F" w:rsidTr="008A2FB4">
        <w:trPr>
          <w:trHeight w:val="284"/>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323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其他</w:t>
            </w:r>
          </w:p>
        </w:tc>
        <w:tc>
          <w:tcPr>
            <w:tcW w:w="2169"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102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1.5</w:t>
            </w:r>
          </w:p>
        </w:tc>
      </w:tr>
      <w:tr w:rsidR="006C416F" w:rsidRPr="006C416F" w:rsidTr="008A2FB4">
        <w:trPr>
          <w:trHeight w:val="284"/>
          <w:jc w:val="center"/>
        </w:trPr>
        <w:tc>
          <w:tcPr>
            <w:tcW w:w="3940" w:type="dxa"/>
            <w:gridSpan w:val="2"/>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商务办公</w:t>
            </w:r>
          </w:p>
        </w:tc>
        <w:tc>
          <w:tcPr>
            <w:tcW w:w="2169"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102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1.5</w:t>
            </w:r>
          </w:p>
        </w:tc>
      </w:tr>
      <w:tr w:rsidR="006C416F" w:rsidRPr="006C416F" w:rsidTr="008A2FB4">
        <w:trPr>
          <w:trHeight w:val="284"/>
          <w:jc w:val="center"/>
        </w:trPr>
        <w:tc>
          <w:tcPr>
            <w:tcW w:w="3940" w:type="dxa"/>
            <w:gridSpan w:val="2"/>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生产研发办公（科研设计、物流的办公）</w:t>
            </w:r>
          </w:p>
        </w:tc>
        <w:tc>
          <w:tcPr>
            <w:tcW w:w="2169"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102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1.5</w:t>
            </w:r>
          </w:p>
        </w:tc>
      </w:tr>
      <w:tr w:rsidR="006C416F" w:rsidRPr="006C416F" w:rsidTr="008A2FB4">
        <w:trPr>
          <w:trHeight w:val="284"/>
          <w:jc w:val="center"/>
        </w:trPr>
        <w:tc>
          <w:tcPr>
            <w:tcW w:w="3940" w:type="dxa"/>
            <w:gridSpan w:val="2"/>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配套办公管理用房</w:t>
            </w:r>
          </w:p>
        </w:tc>
        <w:tc>
          <w:tcPr>
            <w:tcW w:w="2169" w:type="dxa"/>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1021" w:type="dxa"/>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1.2</w:t>
            </w:r>
          </w:p>
        </w:tc>
        <w:tc>
          <w:tcPr>
            <w:tcW w:w="992" w:type="dxa"/>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1.5</w:t>
            </w:r>
          </w:p>
        </w:tc>
      </w:tr>
    </w:tbl>
    <w:p w:rsidR="005D2813" w:rsidRPr="006C416F" w:rsidRDefault="005D2813" w:rsidP="005D2813">
      <w:pPr>
        <w:spacing w:line="320" w:lineRule="exact"/>
        <w:rPr>
          <w:rFonts w:ascii="仿宋_GB2312" w:eastAsia="仿宋_GB2312"/>
          <w:spacing w:val="-6"/>
          <w:szCs w:val="21"/>
        </w:rPr>
      </w:pPr>
      <w:r w:rsidRPr="006C416F">
        <w:rPr>
          <w:rFonts w:ascii="仿宋_GB2312" w:eastAsia="仿宋_GB2312" w:hint="eastAsia"/>
          <w:spacing w:val="-6"/>
          <w:szCs w:val="21"/>
        </w:rPr>
        <w:t>说明：管理用房指社区内配套办公（如物业、居委会等）、独立建设的市政公共设施（</w:t>
      </w:r>
      <w:proofErr w:type="gramStart"/>
      <w:r w:rsidRPr="006C416F">
        <w:rPr>
          <w:rFonts w:ascii="仿宋_GB2312" w:eastAsia="仿宋_GB2312" w:hint="eastAsia"/>
          <w:spacing w:val="-6"/>
          <w:szCs w:val="21"/>
        </w:rPr>
        <w:t>公交首</w:t>
      </w:r>
      <w:proofErr w:type="gramEnd"/>
      <w:r w:rsidRPr="006C416F">
        <w:rPr>
          <w:rFonts w:ascii="仿宋_GB2312" w:eastAsia="仿宋_GB2312" w:hint="eastAsia"/>
          <w:spacing w:val="-6"/>
          <w:szCs w:val="21"/>
        </w:rPr>
        <w:t>末站、变电站、加油站、加气站等）。</w:t>
      </w:r>
    </w:p>
    <w:p w:rsidR="009D6936" w:rsidRPr="006C416F" w:rsidRDefault="009D6936">
      <w:pPr>
        <w:widowControl/>
        <w:jc w:val="left"/>
        <w:rPr>
          <w:rFonts w:asciiTheme="minorEastAsia" w:hAnsiTheme="minorEastAsia"/>
          <w:sz w:val="24"/>
        </w:rPr>
      </w:pPr>
      <w:r w:rsidRPr="006C416F">
        <w:rPr>
          <w:rFonts w:asciiTheme="minorEastAsia" w:hAnsiTheme="minorEastAsia"/>
          <w:sz w:val="24"/>
        </w:rPr>
        <w:br w:type="page"/>
      </w:r>
    </w:p>
    <w:p w:rsidR="005D2813" w:rsidRPr="006C416F" w:rsidRDefault="005D2813" w:rsidP="005D2813">
      <w:pPr>
        <w:spacing w:beforeLines="50" w:before="156" w:line="360" w:lineRule="auto"/>
        <w:ind w:firstLineChars="200" w:firstLine="480"/>
        <w:rPr>
          <w:rFonts w:asciiTheme="minorEastAsia" w:hAnsiTheme="minorEastAsia"/>
          <w:sz w:val="24"/>
        </w:rPr>
      </w:pPr>
      <w:r w:rsidRPr="006C416F">
        <w:rPr>
          <w:rFonts w:asciiTheme="minorEastAsia" w:hAnsiTheme="minorEastAsia" w:hint="eastAsia"/>
          <w:sz w:val="24"/>
        </w:rPr>
        <w:lastRenderedPageBreak/>
        <w:t>（3）商业类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2"/>
        <w:gridCol w:w="2241"/>
        <w:gridCol w:w="1053"/>
        <w:gridCol w:w="1041"/>
        <w:gridCol w:w="1035"/>
      </w:tblGrid>
      <w:tr w:rsidR="006C416F" w:rsidRPr="006C416F" w:rsidTr="000F1EA6">
        <w:trPr>
          <w:trHeight w:val="277"/>
          <w:jc w:val="center"/>
        </w:trPr>
        <w:tc>
          <w:tcPr>
            <w:tcW w:w="184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2813" w:rsidRPr="006C416F" w:rsidRDefault="005D2813" w:rsidP="000F1EA6">
            <w:pPr>
              <w:jc w:val="center"/>
              <w:rPr>
                <w:rFonts w:ascii="宋体" w:hAnsi="宋体" w:cs="宋体"/>
                <w:b/>
                <w:bCs/>
                <w:kern w:val="0"/>
                <w:szCs w:val="21"/>
              </w:rPr>
            </w:pPr>
            <w:r w:rsidRPr="006C416F">
              <w:rPr>
                <w:rFonts w:ascii="宋体" w:hAnsi="宋体" w:cs="宋体" w:hint="eastAsia"/>
                <w:b/>
                <w:bCs/>
                <w:kern w:val="0"/>
                <w:szCs w:val="21"/>
              </w:rPr>
              <w:t>类型</w:t>
            </w:r>
          </w:p>
        </w:tc>
        <w:tc>
          <w:tcPr>
            <w:tcW w:w="1315" w:type="pct"/>
            <w:vMerge w:val="restart"/>
            <w:tcBorders>
              <w:left w:val="single" w:sz="4" w:space="0" w:color="auto"/>
            </w:tcBorders>
            <w:shd w:val="clear" w:color="auto" w:fill="BFBFBF" w:themeFill="background1" w:themeFillShade="BF"/>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计量单位</w:t>
            </w:r>
          </w:p>
        </w:tc>
        <w:tc>
          <w:tcPr>
            <w:tcW w:w="618" w:type="pct"/>
            <w:shd w:val="clear" w:color="auto" w:fill="BFBFBF" w:themeFill="background1" w:themeFillShade="BF"/>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一类区</w:t>
            </w:r>
          </w:p>
        </w:tc>
        <w:tc>
          <w:tcPr>
            <w:tcW w:w="611" w:type="pct"/>
            <w:shd w:val="clear" w:color="auto" w:fill="BFBFBF" w:themeFill="background1" w:themeFillShade="BF"/>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二类区</w:t>
            </w:r>
          </w:p>
        </w:tc>
        <w:tc>
          <w:tcPr>
            <w:tcW w:w="607" w:type="pct"/>
            <w:shd w:val="clear" w:color="auto" w:fill="BFBFBF" w:themeFill="background1" w:themeFillShade="BF"/>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三类区</w:t>
            </w:r>
          </w:p>
        </w:tc>
      </w:tr>
      <w:tr w:rsidR="006C416F" w:rsidRPr="006C416F" w:rsidTr="000F1EA6">
        <w:trPr>
          <w:trHeight w:val="277"/>
          <w:jc w:val="center"/>
        </w:trPr>
        <w:tc>
          <w:tcPr>
            <w:tcW w:w="1849"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2813" w:rsidRPr="006C416F" w:rsidRDefault="005D2813" w:rsidP="000F1EA6">
            <w:pPr>
              <w:widowControl/>
              <w:jc w:val="center"/>
              <w:rPr>
                <w:rFonts w:ascii="宋体" w:hAnsi="宋体" w:cs="宋体"/>
                <w:b/>
                <w:bCs/>
                <w:kern w:val="0"/>
                <w:szCs w:val="21"/>
              </w:rPr>
            </w:pPr>
          </w:p>
        </w:tc>
        <w:tc>
          <w:tcPr>
            <w:tcW w:w="1315" w:type="pct"/>
            <w:vMerge/>
            <w:tcBorders>
              <w:left w:val="single" w:sz="4" w:space="0" w:color="auto"/>
            </w:tcBorders>
            <w:shd w:val="clear" w:color="auto" w:fill="BFBFBF" w:themeFill="background1" w:themeFillShade="BF"/>
            <w:vAlign w:val="center"/>
            <w:hideMark/>
          </w:tcPr>
          <w:p w:rsidR="005D2813" w:rsidRPr="006C416F" w:rsidRDefault="005D2813" w:rsidP="000F1EA6">
            <w:pPr>
              <w:widowControl/>
              <w:jc w:val="center"/>
              <w:rPr>
                <w:rFonts w:ascii="宋体" w:hAnsi="宋体" w:cs="宋体"/>
                <w:b/>
                <w:bCs/>
                <w:kern w:val="0"/>
                <w:szCs w:val="21"/>
              </w:rPr>
            </w:pPr>
          </w:p>
        </w:tc>
        <w:tc>
          <w:tcPr>
            <w:tcW w:w="618" w:type="pct"/>
            <w:shd w:val="clear" w:color="auto" w:fill="BFBFBF" w:themeFill="background1" w:themeFillShade="BF"/>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下限</w:t>
            </w:r>
          </w:p>
        </w:tc>
        <w:tc>
          <w:tcPr>
            <w:tcW w:w="611" w:type="pct"/>
            <w:shd w:val="clear" w:color="auto" w:fill="BFBFBF" w:themeFill="background1" w:themeFillShade="BF"/>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下限</w:t>
            </w:r>
          </w:p>
        </w:tc>
        <w:tc>
          <w:tcPr>
            <w:tcW w:w="607" w:type="pct"/>
            <w:shd w:val="clear" w:color="auto" w:fill="BFBFBF" w:themeFill="background1" w:themeFillShade="BF"/>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下限</w:t>
            </w:r>
          </w:p>
        </w:tc>
      </w:tr>
      <w:tr w:rsidR="006C416F" w:rsidRPr="006C416F" w:rsidTr="008A2FB4">
        <w:trPr>
          <w:trHeight w:val="340"/>
          <w:jc w:val="center"/>
        </w:trPr>
        <w:tc>
          <w:tcPr>
            <w:tcW w:w="18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普通商业（50000m²及以下）</w:t>
            </w:r>
          </w:p>
        </w:tc>
        <w:tc>
          <w:tcPr>
            <w:tcW w:w="1315" w:type="pct"/>
            <w:tcBorders>
              <w:left w:val="single" w:sz="4" w:space="0" w:color="auto"/>
            </w:tcBorders>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618"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kern w:val="0"/>
                <w:szCs w:val="21"/>
              </w:rPr>
              <w:t>0.9</w:t>
            </w:r>
          </w:p>
        </w:tc>
        <w:tc>
          <w:tcPr>
            <w:tcW w:w="611"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0.9</w:t>
            </w:r>
          </w:p>
        </w:tc>
        <w:tc>
          <w:tcPr>
            <w:tcW w:w="607"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0.9</w:t>
            </w:r>
          </w:p>
        </w:tc>
      </w:tr>
      <w:tr w:rsidR="006C416F" w:rsidRPr="006C416F" w:rsidTr="008A2FB4">
        <w:trPr>
          <w:trHeight w:val="340"/>
          <w:jc w:val="center"/>
        </w:trPr>
        <w:tc>
          <w:tcPr>
            <w:tcW w:w="18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普通商业（50000m²以上）</w:t>
            </w:r>
          </w:p>
        </w:tc>
        <w:tc>
          <w:tcPr>
            <w:tcW w:w="1315" w:type="pct"/>
            <w:tcBorders>
              <w:left w:val="single" w:sz="4" w:space="0" w:color="auto"/>
            </w:tcBorders>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618"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kern w:val="0"/>
                <w:szCs w:val="21"/>
              </w:rPr>
              <w:t>1.0</w:t>
            </w:r>
          </w:p>
        </w:tc>
        <w:tc>
          <w:tcPr>
            <w:tcW w:w="611"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607"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r>
      <w:tr w:rsidR="006C416F" w:rsidRPr="006C416F" w:rsidTr="008A2FB4">
        <w:trPr>
          <w:trHeight w:val="340"/>
          <w:jc w:val="center"/>
        </w:trPr>
        <w:tc>
          <w:tcPr>
            <w:tcW w:w="18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大型超市（3000m²以上）</w:t>
            </w:r>
          </w:p>
        </w:tc>
        <w:tc>
          <w:tcPr>
            <w:tcW w:w="1315" w:type="pct"/>
            <w:tcBorders>
              <w:left w:val="single" w:sz="4" w:space="0" w:color="auto"/>
            </w:tcBorders>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618"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w:t>
            </w:r>
            <w:r w:rsidRPr="006C416F">
              <w:rPr>
                <w:rFonts w:ascii="宋体" w:hAnsi="宋体" w:cs="宋体"/>
                <w:kern w:val="0"/>
                <w:szCs w:val="21"/>
              </w:rPr>
              <w:t>0</w:t>
            </w:r>
          </w:p>
        </w:tc>
        <w:tc>
          <w:tcPr>
            <w:tcW w:w="611"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607"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r>
      <w:tr w:rsidR="006C416F" w:rsidRPr="006C416F" w:rsidTr="008A2FB4">
        <w:trPr>
          <w:trHeight w:val="340"/>
          <w:jc w:val="center"/>
        </w:trPr>
        <w:tc>
          <w:tcPr>
            <w:tcW w:w="18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餐饮娱乐</w:t>
            </w:r>
          </w:p>
        </w:tc>
        <w:tc>
          <w:tcPr>
            <w:tcW w:w="1315" w:type="pct"/>
            <w:tcBorders>
              <w:left w:val="single" w:sz="4" w:space="0" w:color="auto"/>
            </w:tcBorders>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618"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1.8</w:t>
            </w:r>
          </w:p>
        </w:tc>
        <w:tc>
          <w:tcPr>
            <w:tcW w:w="611"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1.8</w:t>
            </w:r>
          </w:p>
        </w:tc>
        <w:tc>
          <w:tcPr>
            <w:tcW w:w="607"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1.8</w:t>
            </w:r>
            <w:r w:rsidRPr="006C416F">
              <w:rPr>
                <w:rFonts w:ascii="宋体" w:hAnsi="宋体" w:cs="宋体"/>
                <w:kern w:val="0"/>
                <w:szCs w:val="21"/>
              </w:rPr>
              <w:t>0</w:t>
            </w:r>
          </w:p>
        </w:tc>
      </w:tr>
      <w:tr w:rsidR="006C416F" w:rsidRPr="006C416F" w:rsidTr="008A2FB4">
        <w:trPr>
          <w:trHeight w:val="340"/>
          <w:jc w:val="center"/>
        </w:trPr>
        <w:tc>
          <w:tcPr>
            <w:tcW w:w="18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社区农贸市场</w:t>
            </w:r>
          </w:p>
        </w:tc>
        <w:tc>
          <w:tcPr>
            <w:tcW w:w="1315" w:type="pct"/>
            <w:tcBorders>
              <w:left w:val="single" w:sz="4" w:space="0" w:color="auto"/>
            </w:tcBorders>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618"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0.4</w:t>
            </w:r>
          </w:p>
        </w:tc>
        <w:tc>
          <w:tcPr>
            <w:tcW w:w="611"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0.7</w:t>
            </w:r>
          </w:p>
        </w:tc>
        <w:tc>
          <w:tcPr>
            <w:tcW w:w="607"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0.8</w:t>
            </w:r>
          </w:p>
        </w:tc>
      </w:tr>
      <w:tr w:rsidR="006C416F" w:rsidRPr="006C416F" w:rsidTr="008A2FB4">
        <w:trPr>
          <w:trHeight w:val="340"/>
          <w:jc w:val="center"/>
        </w:trPr>
        <w:tc>
          <w:tcPr>
            <w:tcW w:w="18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其他市场</w:t>
            </w:r>
          </w:p>
        </w:tc>
        <w:tc>
          <w:tcPr>
            <w:tcW w:w="1315" w:type="pct"/>
            <w:tcBorders>
              <w:left w:val="single" w:sz="4" w:space="0" w:color="auto"/>
            </w:tcBorders>
            <w:shd w:val="clear" w:color="auto" w:fill="auto"/>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618" w:type="pct"/>
            <w:shd w:val="clear" w:color="auto" w:fill="auto"/>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0.4</w:t>
            </w:r>
          </w:p>
        </w:tc>
        <w:tc>
          <w:tcPr>
            <w:tcW w:w="611" w:type="pct"/>
            <w:shd w:val="clear" w:color="auto" w:fill="auto"/>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0.9</w:t>
            </w:r>
          </w:p>
        </w:tc>
        <w:tc>
          <w:tcPr>
            <w:tcW w:w="607" w:type="pct"/>
            <w:shd w:val="clear" w:color="auto" w:fill="auto"/>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r>
      <w:tr w:rsidR="006C416F" w:rsidRPr="006C416F" w:rsidTr="008A2FB4">
        <w:trPr>
          <w:trHeight w:val="340"/>
          <w:jc w:val="center"/>
        </w:trPr>
        <w:tc>
          <w:tcPr>
            <w:tcW w:w="18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星级酒店（宾馆）</w:t>
            </w:r>
          </w:p>
        </w:tc>
        <w:tc>
          <w:tcPr>
            <w:tcW w:w="1315" w:type="pct"/>
            <w:tcBorders>
              <w:left w:val="single" w:sz="4" w:space="0" w:color="auto"/>
            </w:tcBorders>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车位/客房</w:t>
            </w:r>
          </w:p>
        </w:tc>
        <w:tc>
          <w:tcPr>
            <w:tcW w:w="618"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0.5</w:t>
            </w:r>
          </w:p>
        </w:tc>
        <w:tc>
          <w:tcPr>
            <w:tcW w:w="611"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0.5</w:t>
            </w:r>
          </w:p>
        </w:tc>
        <w:tc>
          <w:tcPr>
            <w:tcW w:w="607"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0.5</w:t>
            </w:r>
          </w:p>
        </w:tc>
      </w:tr>
      <w:tr w:rsidR="006C416F" w:rsidRPr="006C416F" w:rsidTr="008A2FB4">
        <w:trPr>
          <w:trHeight w:val="340"/>
          <w:jc w:val="center"/>
        </w:trPr>
        <w:tc>
          <w:tcPr>
            <w:tcW w:w="18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一般酒店（宾馆）</w:t>
            </w:r>
          </w:p>
        </w:tc>
        <w:tc>
          <w:tcPr>
            <w:tcW w:w="1315" w:type="pct"/>
            <w:tcBorders>
              <w:left w:val="single" w:sz="4" w:space="0" w:color="auto"/>
            </w:tcBorders>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车位/客房</w:t>
            </w:r>
          </w:p>
        </w:tc>
        <w:tc>
          <w:tcPr>
            <w:tcW w:w="618"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0.4</w:t>
            </w:r>
          </w:p>
        </w:tc>
        <w:tc>
          <w:tcPr>
            <w:tcW w:w="611"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0.4</w:t>
            </w:r>
          </w:p>
        </w:tc>
        <w:tc>
          <w:tcPr>
            <w:tcW w:w="607" w:type="pct"/>
            <w:shd w:val="clear" w:color="auto" w:fill="auto"/>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0.4</w:t>
            </w:r>
          </w:p>
        </w:tc>
      </w:tr>
    </w:tbl>
    <w:p w:rsidR="005D2813" w:rsidRPr="006C416F" w:rsidRDefault="005D2813" w:rsidP="005D2813">
      <w:pPr>
        <w:spacing w:line="320" w:lineRule="exact"/>
        <w:rPr>
          <w:rFonts w:ascii="仿宋_GB2312" w:eastAsia="仿宋_GB2312"/>
          <w:spacing w:val="-6"/>
          <w:szCs w:val="21"/>
        </w:rPr>
      </w:pPr>
      <w:r w:rsidRPr="006C416F">
        <w:rPr>
          <w:rFonts w:ascii="仿宋_GB2312" w:eastAsia="仿宋_GB2312" w:hint="eastAsia"/>
          <w:spacing w:val="-6"/>
          <w:szCs w:val="21"/>
        </w:rPr>
        <w:t>说明：（1）普通商业建筑物包括一般商业、独立购物中心、社区内配套商业和商业综合体等。</w:t>
      </w:r>
    </w:p>
    <w:p w:rsidR="005D2813" w:rsidRPr="006C416F" w:rsidRDefault="005D2813" w:rsidP="005D2813">
      <w:pPr>
        <w:spacing w:line="320" w:lineRule="exact"/>
        <w:rPr>
          <w:rFonts w:ascii="仿宋_GB2312" w:eastAsia="仿宋_GB2312"/>
          <w:spacing w:val="-6"/>
          <w:szCs w:val="21"/>
        </w:rPr>
      </w:pPr>
      <w:r w:rsidRPr="006C416F">
        <w:rPr>
          <w:rFonts w:ascii="仿宋_GB2312" w:eastAsia="仿宋_GB2312" w:hint="eastAsia"/>
          <w:spacing w:val="-6"/>
          <w:szCs w:val="21"/>
        </w:rPr>
        <w:t>（2）其他市场包括除社区农贸市场外的数码电子市场、建材市场、</w:t>
      </w:r>
      <w:proofErr w:type="gramStart"/>
      <w:r w:rsidRPr="006C416F">
        <w:rPr>
          <w:rFonts w:ascii="仿宋_GB2312" w:eastAsia="仿宋_GB2312" w:hint="eastAsia"/>
          <w:spacing w:val="-6"/>
          <w:szCs w:val="21"/>
        </w:rPr>
        <w:t>婚纱城</w:t>
      </w:r>
      <w:proofErr w:type="gramEnd"/>
      <w:r w:rsidRPr="006C416F">
        <w:rPr>
          <w:rFonts w:ascii="仿宋_GB2312" w:eastAsia="仿宋_GB2312" w:hint="eastAsia"/>
          <w:spacing w:val="-6"/>
          <w:szCs w:val="21"/>
        </w:rPr>
        <w:t>等各类专业市场。</w:t>
      </w:r>
    </w:p>
    <w:p w:rsidR="005D2813" w:rsidRPr="006C416F" w:rsidRDefault="005D2813" w:rsidP="005D2813">
      <w:pPr>
        <w:spacing w:line="320" w:lineRule="exact"/>
        <w:rPr>
          <w:rFonts w:ascii="仿宋_GB2312" w:eastAsia="仿宋_GB2312"/>
          <w:spacing w:val="-6"/>
          <w:szCs w:val="21"/>
        </w:rPr>
      </w:pPr>
      <w:r w:rsidRPr="006C416F">
        <w:rPr>
          <w:rFonts w:ascii="仿宋_GB2312" w:eastAsia="仿宋_GB2312" w:hint="eastAsia"/>
          <w:spacing w:val="-6"/>
          <w:szCs w:val="21"/>
        </w:rPr>
        <w:t>（3）快捷酒店按照一般酒店指标值进行计算。酒店内餐饮娱乐按照建筑面积计入酒店类建筑配建指标统一考虑。</w:t>
      </w:r>
    </w:p>
    <w:p w:rsidR="005D2813" w:rsidRPr="006C416F" w:rsidRDefault="005D2813" w:rsidP="005D2813">
      <w:pPr>
        <w:spacing w:beforeLines="50" w:before="156" w:line="360" w:lineRule="auto"/>
        <w:ind w:firstLineChars="200" w:firstLine="480"/>
        <w:rPr>
          <w:rFonts w:asciiTheme="minorEastAsia" w:hAnsiTheme="minorEastAsia"/>
          <w:sz w:val="24"/>
        </w:rPr>
      </w:pPr>
      <w:r w:rsidRPr="006C416F">
        <w:rPr>
          <w:rFonts w:asciiTheme="minorEastAsia" w:hAnsiTheme="minorEastAsia" w:hint="eastAsia"/>
          <w:sz w:val="24"/>
        </w:rPr>
        <w:t>（4）医疗设施类</w:t>
      </w:r>
    </w:p>
    <w:tbl>
      <w:tblPr>
        <w:tblW w:w="46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054"/>
        <w:gridCol w:w="990"/>
        <w:gridCol w:w="2106"/>
        <w:gridCol w:w="849"/>
        <w:gridCol w:w="849"/>
        <w:gridCol w:w="849"/>
      </w:tblGrid>
      <w:tr w:rsidR="006C416F" w:rsidRPr="006C416F" w:rsidTr="009D6936">
        <w:trPr>
          <w:trHeight w:val="285"/>
          <w:jc w:val="center"/>
        </w:trPr>
        <w:tc>
          <w:tcPr>
            <w:tcW w:w="2103" w:type="pct"/>
            <w:gridSpan w:val="3"/>
            <w:vMerge w:val="restart"/>
            <w:tcBorders>
              <w:top w:val="single" w:sz="4" w:space="0" w:color="auto"/>
              <w:left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类型</w:t>
            </w:r>
          </w:p>
        </w:tc>
        <w:tc>
          <w:tcPr>
            <w:tcW w:w="129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计量单位</w:t>
            </w:r>
          </w:p>
        </w:tc>
        <w:tc>
          <w:tcPr>
            <w:tcW w:w="53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一类区</w:t>
            </w:r>
          </w:p>
        </w:tc>
        <w:tc>
          <w:tcPr>
            <w:tcW w:w="537"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二类区</w:t>
            </w:r>
          </w:p>
        </w:tc>
        <w:tc>
          <w:tcPr>
            <w:tcW w:w="53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三类区</w:t>
            </w:r>
          </w:p>
        </w:tc>
      </w:tr>
      <w:tr w:rsidR="006C416F" w:rsidRPr="006C416F" w:rsidTr="009D6936">
        <w:trPr>
          <w:trHeight w:val="285"/>
          <w:jc w:val="center"/>
        </w:trPr>
        <w:tc>
          <w:tcPr>
            <w:tcW w:w="2103" w:type="pct"/>
            <w:gridSpan w:val="3"/>
            <w:vMerge/>
            <w:tcBorders>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b/>
                <w:bCs/>
                <w:kern w:val="0"/>
                <w:szCs w:val="21"/>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b/>
                <w:bCs/>
                <w:kern w:val="0"/>
                <w:szCs w:val="21"/>
              </w:rPr>
            </w:pPr>
          </w:p>
        </w:tc>
        <w:tc>
          <w:tcPr>
            <w:tcW w:w="53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下限</w:t>
            </w:r>
          </w:p>
        </w:tc>
        <w:tc>
          <w:tcPr>
            <w:tcW w:w="537"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下限</w:t>
            </w:r>
          </w:p>
        </w:tc>
        <w:tc>
          <w:tcPr>
            <w:tcW w:w="53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下限</w:t>
            </w:r>
          </w:p>
        </w:tc>
      </w:tr>
      <w:tr w:rsidR="006C416F" w:rsidRPr="006C416F" w:rsidTr="009D6936">
        <w:trPr>
          <w:trHeight w:val="340"/>
          <w:jc w:val="center"/>
        </w:trPr>
        <w:tc>
          <w:tcPr>
            <w:tcW w:w="748" w:type="pct"/>
            <w:vMerge w:val="restart"/>
            <w:tcBorders>
              <w:left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综合医院、</w:t>
            </w:r>
          </w:p>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专科医院</w:t>
            </w:r>
          </w:p>
        </w:tc>
        <w:tc>
          <w:tcPr>
            <w:tcW w:w="622" w:type="pct"/>
            <w:vMerge w:val="restart"/>
            <w:tcBorders>
              <w:left w:val="single" w:sz="4" w:space="0" w:color="auto"/>
              <w:right w:val="single" w:sz="4" w:space="0" w:color="auto"/>
            </w:tcBorders>
            <w:noWrap/>
            <w:vAlign w:val="center"/>
            <w:hideMark/>
          </w:tcPr>
          <w:p w:rsidR="005D2813" w:rsidRPr="006C416F" w:rsidRDefault="005D2813" w:rsidP="009D6936">
            <w:pPr>
              <w:widowControl/>
              <w:ind w:rightChars="-1" w:right="-2"/>
              <w:jc w:val="center"/>
              <w:rPr>
                <w:rFonts w:ascii="宋体" w:hAnsi="宋体" w:cs="宋体"/>
                <w:kern w:val="0"/>
                <w:szCs w:val="21"/>
              </w:rPr>
            </w:pPr>
            <w:r w:rsidRPr="006C416F">
              <w:rPr>
                <w:rFonts w:ascii="宋体" w:hAnsi="宋体" w:cs="宋体" w:hint="eastAsia"/>
                <w:kern w:val="0"/>
                <w:szCs w:val="21"/>
              </w:rPr>
              <w:t>三级医院</w:t>
            </w:r>
          </w:p>
        </w:tc>
        <w:tc>
          <w:tcPr>
            <w:tcW w:w="732" w:type="pct"/>
            <w:tcBorders>
              <w:left w:val="single" w:sz="4" w:space="0" w:color="auto"/>
              <w:right w:val="single" w:sz="4" w:space="0" w:color="auto"/>
            </w:tcBorders>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门诊部</w:t>
            </w:r>
          </w:p>
        </w:tc>
        <w:tc>
          <w:tcPr>
            <w:tcW w:w="1291"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9D693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9D6936">
            <w:pPr>
              <w:widowControl/>
              <w:jc w:val="center"/>
              <w:rPr>
                <w:rFonts w:ascii="宋体" w:hAnsi="宋体" w:cs="宋体"/>
                <w:kern w:val="0"/>
                <w:szCs w:val="21"/>
              </w:rPr>
            </w:pPr>
            <w:r w:rsidRPr="006C416F">
              <w:rPr>
                <w:rFonts w:ascii="宋体" w:hAnsi="宋体" w:cs="宋体"/>
                <w:kern w:val="0"/>
                <w:szCs w:val="21"/>
              </w:rPr>
              <w:t>2.0</w:t>
            </w:r>
          </w:p>
        </w:tc>
        <w:tc>
          <w:tcPr>
            <w:tcW w:w="537"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9D6936">
            <w:pPr>
              <w:widowControl/>
              <w:jc w:val="center"/>
              <w:rPr>
                <w:rFonts w:ascii="宋体" w:hAnsi="宋体" w:cs="宋体"/>
                <w:kern w:val="0"/>
                <w:szCs w:val="21"/>
              </w:rPr>
            </w:pPr>
            <w:r w:rsidRPr="006C416F">
              <w:rPr>
                <w:rFonts w:ascii="宋体" w:hAnsi="宋体" w:cs="宋体"/>
                <w:kern w:val="0"/>
                <w:szCs w:val="21"/>
              </w:rPr>
              <w:t>2.0</w:t>
            </w:r>
          </w:p>
        </w:tc>
        <w:tc>
          <w:tcPr>
            <w:tcW w:w="53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kern w:val="0"/>
                <w:szCs w:val="21"/>
              </w:rPr>
              <w:t>2.0</w:t>
            </w:r>
          </w:p>
        </w:tc>
      </w:tr>
      <w:tr w:rsidR="006C416F" w:rsidRPr="006C416F" w:rsidTr="009D6936">
        <w:trPr>
          <w:trHeight w:val="340"/>
          <w:jc w:val="center"/>
        </w:trPr>
        <w:tc>
          <w:tcPr>
            <w:tcW w:w="748" w:type="pct"/>
            <w:vMerge/>
            <w:tcBorders>
              <w:left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p>
        </w:tc>
        <w:tc>
          <w:tcPr>
            <w:tcW w:w="622" w:type="pct"/>
            <w:vMerge/>
            <w:tcBorders>
              <w:left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p>
        </w:tc>
        <w:tc>
          <w:tcPr>
            <w:tcW w:w="732" w:type="pct"/>
            <w:tcBorders>
              <w:left w:val="single" w:sz="4" w:space="0" w:color="auto"/>
              <w:right w:val="single" w:sz="4" w:space="0" w:color="auto"/>
            </w:tcBorders>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住院部</w:t>
            </w:r>
          </w:p>
        </w:tc>
        <w:tc>
          <w:tcPr>
            <w:tcW w:w="1291" w:type="pct"/>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9D6936">
            <w:pPr>
              <w:widowControl/>
              <w:jc w:val="center"/>
              <w:rPr>
                <w:rFonts w:ascii="宋体" w:hAnsi="宋体" w:cs="宋体"/>
                <w:kern w:val="0"/>
                <w:szCs w:val="21"/>
              </w:rPr>
            </w:pPr>
            <w:r w:rsidRPr="006C416F">
              <w:rPr>
                <w:rFonts w:ascii="宋体" w:hAnsi="宋体" w:cs="宋体" w:hint="eastAsia"/>
                <w:kern w:val="0"/>
                <w:szCs w:val="21"/>
              </w:rPr>
              <w:t>车位/床位</w:t>
            </w:r>
          </w:p>
        </w:tc>
        <w:tc>
          <w:tcPr>
            <w:tcW w:w="536" w:type="pct"/>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9D6936">
            <w:pPr>
              <w:widowControl/>
              <w:jc w:val="center"/>
              <w:rPr>
                <w:rFonts w:ascii="宋体" w:hAnsi="宋体" w:cs="宋体"/>
                <w:kern w:val="0"/>
                <w:szCs w:val="21"/>
              </w:rPr>
            </w:pPr>
            <w:r w:rsidRPr="006C416F">
              <w:rPr>
                <w:rFonts w:ascii="宋体" w:hAnsi="宋体" w:cs="宋体"/>
                <w:kern w:val="0"/>
                <w:szCs w:val="21"/>
              </w:rPr>
              <w:t>1.6</w:t>
            </w:r>
          </w:p>
        </w:tc>
        <w:tc>
          <w:tcPr>
            <w:tcW w:w="537" w:type="pct"/>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9D6936">
            <w:pPr>
              <w:widowControl/>
              <w:jc w:val="center"/>
              <w:rPr>
                <w:rFonts w:ascii="宋体" w:hAnsi="宋体" w:cs="宋体"/>
                <w:kern w:val="0"/>
                <w:szCs w:val="21"/>
              </w:rPr>
            </w:pPr>
            <w:r w:rsidRPr="006C416F">
              <w:rPr>
                <w:rFonts w:ascii="宋体" w:hAnsi="宋体" w:cs="宋体" w:hint="eastAsia"/>
                <w:kern w:val="0"/>
                <w:szCs w:val="21"/>
              </w:rPr>
              <w:t>1</w:t>
            </w:r>
            <w:r w:rsidRPr="006C416F">
              <w:rPr>
                <w:rFonts w:ascii="宋体" w:hAnsi="宋体" w:cs="宋体"/>
                <w:kern w:val="0"/>
                <w:szCs w:val="21"/>
              </w:rPr>
              <w:t>.6</w:t>
            </w:r>
          </w:p>
        </w:tc>
        <w:tc>
          <w:tcPr>
            <w:tcW w:w="534" w:type="pct"/>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w:t>
            </w:r>
            <w:r w:rsidRPr="006C416F">
              <w:rPr>
                <w:rFonts w:ascii="宋体" w:hAnsi="宋体" w:cs="宋体"/>
                <w:kern w:val="0"/>
                <w:szCs w:val="21"/>
              </w:rPr>
              <w:t>.6</w:t>
            </w:r>
          </w:p>
        </w:tc>
      </w:tr>
      <w:tr w:rsidR="006C416F" w:rsidRPr="006C416F" w:rsidTr="009D6936">
        <w:trPr>
          <w:trHeight w:val="340"/>
          <w:jc w:val="center"/>
        </w:trPr>
        <w:tc>
          <w:tcPr>
            <w:tcW w:w="748" w:type="pct"/>
            <w:vMerge/>
            <w:tcBorders>
              <w:left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p>
        </w:tc>
        <w:tc>
          <w:tcPr>
            <w:tcW w:w="622" w:type="pct"/>
            <w:vMerge/>
            <w:tcBorders>
              <w:left w:val="single" w:sz="4" w:space="0" w:color="auto"/>
              <w:bottom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p>
        </w:tc>
        <w:tc>
          <w:tcPr>
            <w:tcW w:w="732" w:type="pct"/>
            <w:tcBorders>
              <w:left w:val="single" w:sz="4" w:space="0" w:color="auto"/>
              <w:bottom w:val="single" w:sz="4" w:space="0" w:color="auto"/>
              <w:right w:val="single" w:sz="4" w:space="0" w:color="auto"/>
            </w:tcBorders>
          </w:tcPr>
          <w:p w:rsidR="009D6936"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其他（科研</w:t>
            </w:r>
          </w:p>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、配套等）</w:t>
            </w:r>
          </w:p>
        </w:tc>
        <w:tc>
          <w:tcPr>
            <w:tcW w:w="1291" w:type="pct"/>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9D693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536" w:type="pct"/>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9D6936">
            <w:pPr>
              <w:widowControl/>
              <w:jc w:val="center"/>
              <w:rPr>
                <w:rFonts w:ascii="宋体" w:hAnsi="宋体" w:cs="宋体"/>
                <w:kern w:val="0"/>
                <w:szCs w:val="21"/>
              </w:rPr>
            </w:pPr>
            <w:r w:rsidRPr="006C416F">
              <w:rPr>
                <w:rFonts w:ascii="宋体" w:hAnsi="宋体" w:cs="宋体" w:hint="eastAsia"/>
                <w:kern w:val="0"/>
                <w:szCs w:val="21"/>
              </w:rPr>
              <w:t>1</w:t>
            </w:r>
            <w:r w:rsidRPr="006C416F">
              <w:rPr>
                <w:rFonts w:ascii="宋体" w:hAnsi="宋体" w:cs="宋体"/>
                <w:kern w:val="0"/>
                <w:szCs w:val="21"/>
              </w:rPr>
              <w:t>.5</w:t>
            </w:r>
          </w:p>
        </w:tc>
        <w:tc>
          <w:tcPr>
            <w:tcW w:w="537" w:type="pct"/>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9D6936">
            <w:pPr>
              <w:widowControl/>
              <w:jc w:val="center"/>
              <w:rPr>
                <w:rFonts w:ascii="宋体" w:hAnsi="宋体" w:cs="宋体"/>
                <w:kern w:val="0"/>
                <w:szCs w:val="21"/>
              </w:rPr>
            </w:pPr>
            <w:r w:rsidRPr="006C416F">
              <w:rPr>
                <w:rFonts w:ascii="宋体" w:hAnsi="宋体" w:cs="宋体" w:hint="eastAsia"/>
                <w:kern w:val="0"/>
                <w:szCs w:val="21"/>
              </w:rPr>
              <w:t>1</w:t>
            </w:r>
            <w:r w:rsidRPr="006C416F">
              <w:rPr>
                <w:rFonts w:ascii="宋体" w:hAnsi="宋体" w:cs="宋体"/>
                <w:kern w:val="0"/>
                <w:szCs w:val="21"/>
              </w:rPr>
              <w:t>.5</w:t>
            </w:r>
          </w:p>
        </w:tc>
        <w:tc>
          <w:tcPr>
            <w:tcW w:w="534" w:type="pct"/>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w:t>
            </w:r>
            <w:r w:rsidRPr="006C416F">
              <w:rPr>
                <w:rFonts w:ascii="宋体" w:hAnsi="宋体" w:cs="宋体"/>
                <w:kern w:val="0"/>
                <w:szCs w:val="21"/>
              </w:rPr>
              <w:t>.5</w:t>
            </w:r>
          </w:p>
        </w:tc>
      </w:tr>
      <w:tr w:rsidR="006C416F" w:rsidRPr="006C416F" w:rsidTr="009D6936">
        <w:trPr>
          <w:trHeight w:val="340"/>
          <w:jc w:val="center"/>
        </w:trPr>
        <w:tc>
          <w:tcPr>
            <w:tcW w:w="748" w:type="pct"/>
            <w:vMerge/>
            <w:tcBorders>
              <w:left w:val="single" w:sz="4" w:space="0" w:color="auto"/>
              <w:bottom w:val="single" w:sz="4" w:space="0" w:color="auto"/>
              <w:right w:val="single" w:sz="4" w:space="0" w:color="auto"/>
            </w:tcBorders>
            <w:vAlign w:val="center"/>
            <w:hideMark/>
          </w:tcPr>
          <w:p w:rsidR="005D2813" w:rsidRPr="006C416F" w:rsidRDefault="005D2813" w:rsidP="000F1EA6">
            <w:pPr>
              <w:widowControl/>
              <w:jc w:val="center"/>
              <w:rPr>
                <w:rFonts w:ascii="宋体" w:hAnsi="宋体" w:cs="宋体"/>
                <w:kern w:val="0"/>
                <w:szCs w:val="21"/>
              </w:rPr>
            </w:pPr>
          </w:p>
        </w:tc>
        <w:tc>
          <w:tcPr>
            <w:tcW w:w="1355" w:type="pct"/>
            <w:gridSpan w:val="2"/>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二级及以下医院</w:t>
            </w:r>
          </w:p>
        </w:tc>
        <w:tc>
          <w:tcPr>
            <w:tcW w:w="1291" w:type="pct"/>
            <w:tcBorders>
              <w:top w:val="single" w:sz="4" w:space="0" w:color="auto"/>
              <w:left w:val="single" w:sz="4" w:space="0" w:color="auto"/>
              <w:bottom w:val="single" w:sz="4" w:space="0" w:color="auto"/>
              <w:right w:val="single" w:sz="4" w:space="0" w:color="auto"/>
            </w:tcBorders>
          </w:tcPr>
          <w:p w:rsidR="005D2813" w:rsidRPr="006C416F" w:rsidRDefault="005D2813" w:rsidP="009D6936">
            <w:pPr>
              <w:jc w:val="center"/>
              <w:rPr>
                <w:rFonts w:ascii="宋体" w:hAnsi="宋体" w:cs="宋体"/>
                <w:kern w:val="0"/>
                <w:szCs w:val="21"/>
              </w:rPr>
            </w:pPr>
            <w:r w:rsidRPr="006C416F">
              <w:rPr>
                <w:rFonts w:ascii="宋体" w:hAnsi="宋体" w:cs="宋体" w:hint="eastAsia"/>
                <w:kern w:val="0"/>
                <w:szCs w:val="21"/>
              </w:rPr>
              <w:t>车位/100m²建筑面积</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9D6936">
            <w:pPr>
              <w:widowControl/>
              <w:jc w:val="center"/>
              <w:rPr>
                <w:rFonts w:ascii="宋体" w:hAnsi="宋体" w:cs="宋体"/>
                <w:kern w:val="0"/>
                <w:szCs w:val="21"/>
              </w:rPr>
            </w:pPr>
            <w:r w:rsidRPr="006C416F">
              <w:rPr>
                <w:rFonts w:ascii="宋体" w:hAnsi="宋体" w:cs="宋体" w:hint="eastAsia"/>
                <w:kern w:val="0"/>
                <w:szCs w:val="21"/>
              </w:rPr>
              <w:t>1.0</w:t>
            </w:r>
          </w:p>
        </w:tc>
        <w:tc>
          <w:tcPr>
            <w:tcW w:w="537"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9D6936">
            <w:pPr>
              <w:widowControl/>
              <w:jc w:val="center"/>
              <w:rPr>
                <w:rFonts w:ascii="宋体" w:hAnsi="宋体" w:cs="宋体"/>
                <w:kern w:val="0"/>
                <w:szCs w:val="21"/>
              </w:rPr>
            </w:pPr>
            <w:r w:rsidRPr="006C416F">
              <w:rPr>
                <w:rFonts w:ascii="宋体" w:hAnsi="宋体" w:cs="宋体" w:hint="eastAsia"/>
                <w:kern w:val="0"/>
                <w:szCs w:val="21"/>
              </w:rPr>
              <w:t>1.0</w:t>
            </w:r>
          </w:p>
        </w:tc>
        <w:tc>
          <w:tcPr>
            <w:tcW w:w="53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r>
      <w:tr w:rsidR="006C416F" w:rsidRPr="006C416F" w:rsidTr="009D6936">
        <w:trPr>
          <w:trHeight w:val="340"/>
          <w:jc w:val="center"/>
        </w:trPr>
        <w:tc>
          <w:tcPr>
            <w:tcW w:w="2103" w:type="pct"/>
            <w:gridSpan w:val="3"/>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社区卫生防疫设施</w:t>
            </w:r>
          </w:p>
        </w:tc>
        <w:tc>
          <w:tcPr>
            <w:tcW w:w="1291" w:type="pct"/>
            <w:tcBorders>
              <w:top w:val="single" w:sz="4" w:space="0" w:color="auto"/>
              <w:left w:val="single" w:sz="4" w:space="0" w:color="auto"/>
              <w:bottom w:val="single" w:sz="4" w:space="0" w:color="auto"/>
              <w:right w:val="single" w:sz="4" w:space="0" w:color="auto"/>
            </w:tcBorders>
          </w:tcPr>
          <w:p w:rsidR="005D2813" w:rsidRPr="006C416F" w:rsidRDefault="005D2813" w:rsidP="009D6936">
            <w:pPr>
              <w:jc w:val="center"/>
              <w:rPr>
                <w:rFonts w:ascii="宋体" w:hAnsi="宋体" w:cs="宋体"/>
                <w:kern w:val="0"/>
                <w:szCs w:val="21"/>
              </w:rPr>
            </w:pPr>
            <w:r w:rsidRPr="006C416F">
              <w:rPr>
                <w:rFonts w:ascii="宋体" w:hAnsi="宋体" w:cs="宋体" w:hint="eastAsia"/>
                <w:kern w:val="0"/>
                <w:szCs w:val="21"/>
              </w:rPr>
              <w:t>车位/100m²建筑面积</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9D6936">
            <w:pPr>
              <w:widowControl/>
              <w:jc w:val="center"/>
              <w:rPr>
                <w:rFonts w:ascii="宋体" w:hAnsi="宋体" w:cs="宋体"/>
                <w:kern w:val="0"/>
                <w:szCs w:val="21"/>
              </w:rPr>
            </w:pPr>
            <w:r w:rsidRPr="006C416F">
              <w:rPr>
                <w:rFonts w:ascii="宋体" w:hAnsi="宋体" w:cs="宋体" w:hint="eastAsia"/>
                <w:kern w:val="0"/>
                <w:szCs w:val="21"/>
              </w:rPr>
              <w:t>0.5</w:t>
            </w:r>
          </w:p>
        </w:tc>
        <w:tc>
          <w:tcPr>
            <w:tcW w:w="537"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9D6936">
            <w:pPr>
              <w:widowControl/>
              <w:jc w:val="center"/>
              <w:rPr>
                <w:rFonts w:ascii="宋体" w:hAnsi="宋体" w:cs="宋体"/>
                <w:kern w:val="0"/>
                <w:szCs w:val="21"/>
              </w:rPr>
            </w:pPr>
            <w:r w:rsidRPr="006C416F">
              <w:rPr>
                <w:rFonts w:ascii="宋体" w:hAnsi="宋体" w:cs="宋体" w:hint="eastAsia"/>
                <w:kern w:val="0"/>
                <w:szCs w:val="21"/>
              </w:rPr>
              <w:t>0.5</w:t>
            </w:r>
          </w:p>
        </w:tc>
        <w:tc>
          <w:tcPr>
            <w:tcW w:w="53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0.5</w:t>
            </w:r>
          </w:p>
        </w:tc>
      </w:tr>
      <w:tr w:rsidR="006C416F" w:rsidRPr="006C416F" w:rsidTr="009D6936">
        <w:trPr>
          <w:trHeight w:val="340"/>
          <w:jc w:val="center"/>
        </w:trPr>
        <w:tc>
          <w:tcPr>
            <w:tcW w:w="2103" w:type="pct"/>
            <w:gridSpan w:val="3"/>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独立门诊</w:t>
            </w:r>
          </w:p>
        </w:tc>
        <w:tc>
          <w:tcPr>
            <w:tcW w:w="1291" w:type="pct"/>
            <w:tcBorders>
              <w:top w:val="single" w:sz="4" w:space="0" w:color="auto"/>
              <w:left w:val="single" w:sz="4" w:space="0" w:color="auto"/>
              <w:bottom w:val="single" w:sz="4" w:space="0" w:color="auto"/>
              <w:right w:val="single" w:sz="4" w:space="0" w:color="auto"/>
            </w:tcBorders>
          </w:tcPr>
          <w:p w:rsidR="005D2813" w:rsidRPr="006C416F" w:rsidRDefault="005D2813" w:rsidP="009D6936">
            <w:pPr>
              <w:jc w:val="center"/>
              <w:rPr>
                <w:rFonts w:ascii="宋体" w:hAnsi="宋体" w:cs="宋体"/>
                <w:kern w:val="0"/>
                <w:szCs w:val="21"/>
              </w:rPr>
            </w:pPr>
            <w:r w:rsidRPr="006C416F">
              <w:rPr>
                <w:rFonts w:ascii="宋体" w:hAnsi="宋体" w:cs="宋体" w:hint="eastAsia"/>
                <w:kern w:val="0"/>
                <w:szCs w:val="21"/>
              </w:rPr>
              <w:t>车位/100m²建筑面积</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9D6936">
            <w:pPr>
              <w:widowControl/>
              <w:jc w:val="center"/>
              <w:rPr>
                <w:rFonts w:ascii="宋体" w:hAnsi="宋体" w:cs="宋体"/>
                <w:kern w:val="0"/>
                <w:szCs w:val="21"/>
              </w:rPr>
            </w:pPr>
            <w:r w:rsidRPr="006C416F">
              <w:rPr>
                <w:rFonts w:ascii="宋体" w:hAnsi="宋体" w:cs="宋体" w:hint="eastAsia"/>
                <w:kern w:val="0"/>
                <w:szCs w:val="21"/>
              </w:rPr>
              <w:t>0.8</w:t>
            </w:r>
          </w:p>
        </w:tc>
        <w:tc>
          <w:tcPr>
            <w:tcW w:w="537"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9D6936">
            <w:pPr>
              <w:widowControl/>
              <w:jc w:val="center"/>
              <w:rPr>
                <w:rFonts w:ascii="宋体" w:hAnsi="宋体" w:cs="宋体"/>
                <w:kern w:val="0"/>
                <w:szCs w:val="21"/>
              </w:rPr>
            </w:pPr>
            <w:r w:rsidRPr="006C416F">
              <w:rPr>
                <w:rFonts w:ascii="宋体" w:hAnsi="宋体" w:cs="宋体" w:hint="eastAsia"/>
                <w:kern w:val="0"/>
                <w:szCs w:val="21"/>
              </w:rPr>
              <w:t>0.8</w:t>
            </w:r>
          </w:p>
        </w:tc>
        <w:tc>
          <w:tcPr>
            <w:tcW w:w="53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0.8</w:t>
            </w:r>
          </w:p>
        </w:tc>
      </w:tr>
      <w:tr w:rsidR="006C416F" w:rsidRPr="006C416F" w:rsidTr="009D6936">
        <w:trPr>
          <w:trHeight w:val="340"/>
          <w:jc w:val="center"/>
        </w:trPr>
        <w:tc>
          <w:tcPr>
            <w:tcW w:w="2103" w:type="pct"/>
            <w:gridSpan w:val="3"/>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其他医疗用地</w:t>
            </w:r>
          </w:p>
        </w:tc>
        <w:tc>
          <w:tcPr>
            <w:tcW w:w="1291" w:type="pct"/>
            <w:tcBorders>
              <w:top w:val="single" w:sz="4" w:space="0" w:color="auto"/>
              <w:left w:val="single" w:sz="4" w:space="0" w:color="auto"/>
              <w:bottom w:val="single" w:sz="4" w:space="0" w:color="auto"/>
              <w:right w:val="single" w:sz="4" w:space="0" w:color="auto"/>
            </w:tcBorders>
          </w:tcPr>
          <w:p w:rsidR="005D2813" w:rsidRPr="006C416F" w:rsidRDefault="005D2813" w:rsidP="009D6936">
            <w:pPr>
              <w:jc w:val="center"/>
              <w:rPr>
                <w:rFonts w:ascii="宋体" w:hAnsi="宋体" w:cs="宋体"/>
                <w:kern w:val="0"/>
                <w:szCs w:val="21"/>
              </w:rPr>
            </w:pPr>
            <w:r w:rsidRPr="006C416F">
              <w:rPr>
                <w:rFonts w:ascii="宋体" w:hAnsi="宋体" w:cs="宋体" w:hint="eastAsia"/>
                <w:kern w:val="0"/>
                <w:szCs w:val="21"/>
              </w:rPr>
              <w:t>车位/100m²建筑面积</w:t>
            </w:r>
          </w:p>
        </w:tc>
        <w:tc>
          <w:tcPr>
            <w:tcW w:w="536"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9D6936">
            <w:pPr>
              <w:widowControl/>
              <w:jc w:val="center"/>
              <w:rPr>
                <w:rFonts w:ascii="宋体" w:hAnsi="宋体" w:cs="宋体"/>
                <w:kern w:val="0"/>
                <w:szCs w:val="21"/>
              </w:rPr>
            </w:pPr>
            <w:r w:rsidRPr="006C416F">
              <w:rPr>
                <w:rFonts w:ascii="宋体" w:hAnsi="宋体" w:cs="宋体" w:hint="eastAsia"/>
                <w:kern w:val="0"/>
                <w:szCs w:val="21"/>
              </w:rPr>
              <w:t>0.5</w:t>
            </w:r>
          </w:p>
        </w:tc>
        <w:tc>
          <w:tcPr>
            <w:tcW w:w="537"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9D6936">
            <w:pPr>
              <w:widowControl/>
              <w:jc w:val="center"/>
              <w:rPr>
                <w:rFonts w:ascii="宋体" w:hAnsi="宋体" w:cs="宋体"/>
                <w:kern w:val="0"/>
                <w:szCs w:val="21"/>
              </w:rPr>
            </w:pPr>
            <w:r w:rsidRPr="006C416F">
              <w:rPr>
                <w:rFonts w:ascii="宋体" w:hAnsi="宋体" w:cs="宋体" w:hint="eastAsia"/>
                <w:kern w:val="0"/>
                <w:szCs w:val="21"/>
              </w:rPr>
              <w:t>0.5</w:t>
            </w:r>
          </w:p>
        </w:tc>
        <w:tc>
          <w:tcPr>
            <w:tcW w:w="53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0.5</w:t>
            </w:r>
          </w:p>
        </w:tc>
      </w:tr>
    </w:tbl>
    <w:p w:rsidR="005D2813" w:rsidRPr="006C416F" w:rsidRDefault="005D2813" w:rsidP="005D2813">
      <w:pPr>
        <w:snapToGrid w:val="0"/>
        <w:rPr>
          <w:rFonts w:ascii="仿宋_GB2312" w:eastAsia="仿宋_GB2312"/>
          <w:spacing w:val="-6"/>
          <w:szCs w:val="21"/>
        </w:rPr>
      </w:pPr>
      <w:r w:rsidRPr="006C416F">
        <w:rPr>
          <w:rFonts w:ascii="仿宋_GB2312" w:eastAsia="仿宋_GB2312" w:hint="eastAsia"/>
          <w:spacing w:val="-6"/>
          <w:szCs w:val="21"/>
        </w:rPr>
        <w:t>说明：（1）中医医院、妇女儿童医院按照综合医院配建，血站、卫生监督所、妇幼保健所、</w:t>
      </w:r>
      <w:proofErr w:type="gramStart"/>
      <w:r w:rsidRPr="006C416F">
        <w:rPr>
          <w:rFonts w:ascii="仿宋_GB2312" w:eastAsia="仿宋_GB2312" w:hint="eastAsia"/>
          <w:spacing w:val="-6"/>
          <w:szCs w:val="21"/>
        </w:rPr>
        <w:t>疾控中心</w:t>
      </w:r>
      <w:proofErr w:type="gramEnd"/>
      <w:r w:rsidRPr="006C416F">
        <w:rPr>
          <w:rFonts w:ascii="仿宋_GB2312" w:eastAsia="仿宋_GB2312" w:hint="eastAsia"/>
          <w:spacing w:val="-6"/>
          <w:szCs w:val="21"/>
        </w:rPr>
        <w:t>等公共卫生机构参照办公类行政办公配建，其他医疗用地包括疗养院、养老院等场所。</w:t>
      </w:r>
    </w:p>
    <w:p w:rsidR="005D2813" w:rsidRPr="006C416F" w:rsidRDefault="005D2813" w:rsidP="005D2813">
      <w:pPr>
        <w:snapToGrid w:val="0"/>
        <w:rPr>
          <w:rFonts w:ascii="仿宋_GB2312" w:eastAsia="仿宋_GB2312"/>
          <w:spacing w:val="-6"/>
          <w:szCs w:val="21"/>
        </w:rPr>
      </w:pPr>
      <w:r w:rsidRPr="006C416F">
        <w:rPr>
          <w:rFonts w:ascii="仿宋_GB2312" w:eastAsia="仿宋_GB2312" w:hint="eastAsia"/>
          <w:spacing w:val="-6"/>
          <w:szCs w:val="21"/>
        </w:rPr>
        <w:t>（2）综合医院和专科医院应在急诊区入口前考虑设置救护车位。</w:t>
      </w:r>
    </w:p>
    <w:p w:rsidR="005D2813" w:rsidRPr="006C416F" w:rsidRDefault="005D2813" w:rsidP="005D2813">
      <w:pPr>
        <w:snapToGrid w:val="0"/>
        <w:rPr>
          <w:rFonts w:ascii="仿宋_GB2312" w:eastAsia="仿宋_GB2312"/>
          <w:spacing w:val="-6"/>
          <w:szCs w:val="21"/>
        </w:rPr>
      </w:pPr>
      <w:r w:rsidRPr="006C416F">
        <w:rPr>
          <w:rFonts w:ascii="仿宋_GB2312" w:eastAsia="仿宋_GB2312" w:hint="eastAsia"/>
          <w:spacing w:val="-6"/>
          <w:szCs w:val="21"/>
        </w:rPr>
        <w:t>（3）结合门诊急诊等入口处设置不少于5个上下客泊位。</w:t>
      </w:r>
    </w:p>
    <w:p w:rsidR="009D6936" w:rsidRPr="006C416F" w:rsidRDefault="009D6936" w:rsidP="005D2813">
      <w:pPr>
        <w:spacing w:beforeLines="50" w:before="156" w:line="360" w:lineRule="auto"/>
        <w:ind w:firstLineChars="200" w:firstLine="480"/>
        <w:rPr>
          <w:rFonts w:asciiTheme="minorEastAsia" w:hAnsiTheme="minorEastAsia"/>
          <w:sz w:val="24"/>
        </w:rPr>
      </w:pPr>
    </w:p>
    <w:p w:rsidR="009D6936" w:rsidRPr="006C416F" w:rsidRDefault="009D6936" w:rsidP="005D2813">
      <w:pPr>
        <w:spacing w:beforeLines="50" w:before="156" w:line="360" w:lineRule="auto"/>
        <w:ind w:firstLineChars="200" w:firstLine="480"/>
        <w:rPr>
          <w:rFonts w:asciiTheme="minorEastAsia" w:hAnsiTheme="minorEastAsia"/>
          <w:sz w:val="24"/>
        </w:rPr>
      </w:pPr>
    </w:p>
    <w:p w:rsidR="009D6936" w:rsidRPr="006C416F" w:rsidRDefault="009D6936">
      <w:pPr>
        <w:widowControl/>
        <w:jc w:val="left"/>
        <w:rPr>
          <w:rFonts w:asciiTheme="minorEastAsia" w:hAnsiTheme="minorEastAsia"/>
          <w:sz w:val="24"/>
        </w:rPr>
      </w:pPr>
      <w:r w:rsidRPr="006C416F">
        <w:rPr>
          <w:rFonts w:asciiTheme="minorEastAsia" w:hAnsiTheme="minorEastAsia"/>
          <w:sz w:val="24"/>
        </w:rPr>
        <w:br w:type="page"/>
      </w:r>
    </w:p>
    <w:p w:rsidR="005D2813" w:rsidRPr="006C416F" w:rsidRDefault="005D2813" w:rsidP="005D2813">
      <w:pPr>
        <w:spacing w:beforeLines="50" w:before="156" w:line="360" w:lineRule="auto"/>
        <w:ind w:firstLineChars="200" w:firstLine="480"/>
        <w:rPr>
          <w:rFonts w:asciiTheme="minorEastAsia" w:hAnsiTheme="minorEastAsia"/>
          <w:sz w:val="24"/>
        </w:rPr>
      </w:pPr>
      <w:r w:rsidRPr="006C416F">
        <w:rPr>
          <w:rFonts w:asciiTheme="minorEastAsia" w:hAnsiTheme="minorEastAsia" w:hint="eastAsia"/>
          <w:sz w:val="24"/>
        </w:rPr>
        <w:lastRenderedPageBreak/>
        <w:t>（5）教育设施类</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561"/>
        <w:gridCol w:w="1991"/>
        <w:gridCol w:w="1257"/>
        <w:gridCol w:w="1257"/>
        <w:gridCol w:w="1467"/>
      </w:tblGrid>
      <w:tr w:rsidR="006C416F" w:rsidRPr="006C416F" w:rsidTr="000F1EA6">
        <w:trPr>
          <w:trHeight w:val="289"/>
          <w:jc w:val="center"/>
        </w:trPr>
        <w:tc>
          <w:tcPr>
            <w:tcW w:w="1580" w:type="pct"/>
            <w:gridSpan w:val="2"/>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类型</w:t>
            </w:r>
          </w:p>
        </w:tc>
        <w:tc>
          <w:tcPr>
            <w:tcW w:w="114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计量单位</w:t>
            </w:r>
          </w:p>
        </w:tc>
        <w:tc>
          <w:tcPr>
            <w:tcW w:w="72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一类区</w:t>
            </w:r>
          </w:p>
        </w:tc>
        <w:tc>
          <w:tcPr>
            <w:tcW w:w="72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二类区</w:t>
            </w:r>
          </w:p>
        </w:tc>
        <w:tc>
          <w:tcPr>
            <w:tcW w:w="84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三类区</w:t>
            </w:r>
          </w:p>
        </w:tc>
      </w:tr>
      <w:tr w:rsidR="006C416F" w:rsidRPr="006C416F" w:rsidTr="000F1EA6">
        <w:trPr>
          <w:trHeight w:val="28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b/>
                <w:bCs/>
                <w:kern w:val="0"/>
                <w:szCs w:val="21"/>
              </w:rPr>
            </w:pPr>
          </w:p>
        </w:tc>
        <w:tc>
          <w:tcPr>
            <w:tcW w:w="72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下限</w:t>
            </w:r>
          </w:p>
        </w:tc>
        <w:tc>
          <w:tcPr>
            <w:tcW w:w="72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下限</w:t>
            </w:r>
          </w:p>
        </w:tc>
        <w:tc>
          <w:tcPr>
            <w:tcW w:w="84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813" w:rsidRPr="006C416F" w:rsidRDefault="005D2813" w:rsidP="000F1EA6">
            <w:pPr>
              <w:widowControl/>
              <w:jc w:val="center"/>
              <w:rPr>
                <w:rFonts w:ascii="宋体" w:hAnsi="宋体" w:cs="宋体"/>
                <w:b/>
                <w:bCs/>
                <w:kern w:val="0"/>
                <w:szCs w:val="21"/>
              </w:rPr>
            </w:pPr>
            <w:r w:rsidRPr="006C416F">
              <w:rPr>
                <w:rFonts w:ascii="宋体" w:hAnsi="宋体" w:cs="宋体" w:hint="eastAsia"/>
                <w:b/>
                <w:bCs/>
                <w:kern w:val="0"/>
                <w:szCs w:val="21"/>
              </w:rPr>
              <w:t>下限</w:t>
            </w:r>
          </w:p>
        </w:tc>
      </w:tr>
      <w:tr w:rsidR="006C416F" w:rsidRPr="006C416F" w:rsidTr="008A2FB4">
        <w:trPr>
          <w:trHeight w:val="340"/>
          <w:jc w:val="center"/>
        </w:trPr>
        <w:tc>
          <w:tcPr>
            <w:tcW w:w="686" w:type="pct"/>
            <w:vMerge w:val="restar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幼儿园</w:t>
            </w:r>
          </w:p>
        </w:tc>
        <w:tc>
          <w:tcPr>
            <w:tcW w:w="89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教职工停车</w:t>
            </w:r>
          </w:p>
        </w:tc>
        <w:tc>
          <w:tcPr>
            <w:tcW w:w="11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车位/100学生</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3.0</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3.0</w:t>
            </w:r>
          </w:p>
        </w:tc>
        <w:tc>
          <w:tcPr>
            <w:tcW w:w="8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3.0</w:t>
            </w:r>
          </w:p>
        </w:tc>
      </w:tr>
      <w:tr w:rsidR="006C416F" w:rsidRPr="006C416F" w:rsidTr="008A2FB4">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89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接送临时停车</w:t>
            </w:r>
          </w:p>
        </w:tc>
        <w:tc>
          <w:tcPr>
            <w:tcW w:w="11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车位/100学生</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3.0</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3.0</w:t>
            </w:r>
          </w:p>
        </w:tc>
        <w:tc>
          <w:tcPr>
            <w:tcW w:w="8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3.0</w:t>
            </w:r>
          </w:p>
        </w:tc>
      </w:tr>
      <w:tr w:rsidR="006C416F" w:rsidRPr="006C416F" w:rsidTr="008A2FB4">
        <w:trPr>
          <w:trHeight w:val="340"/>
          <w:jc w:val="center"/>
        </w:trPr>
        <w:tc>
          <w:tcPr>
            <w:tcW w:w="686" w:type="pct"/>
            <w:vMerge w:val="restar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小学</w:t>
            </w:r>
          </w:p>
        </w:tc>
        <w:tc>
          <w:tcPr>
            <w:tcW w:w="89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教职工停车</w:t>
            </w:r>
          </w:p>
        </w:tc>
        <w:tc>
          <w:tcPr>
            <w:tcW w:w="11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车位/100学生</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6.0</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6.0</w:t>
            </w:r>
          </w:p>
        </w:tc>
        <w:tc>
          <w:tcPr>
            <w:tcW w:w="8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6.0</w:t>
            </w:r>
          </w:p>
        </w:tc>
      </w:tr>
      <w:tr w:rsidR="006C416F" w:rsidRPr="006C416F" w:rsidTr="008A2FB4">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89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接送临时停车</w:t>
            </w:r>
          </w:p>
        </w:tc>
        <w:tc>
          <w:tcPr>
            <w:tcW w:w="11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车位/100学生</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5.0</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5.0</w:t>
            </w:r>
          </w:p>
        </w:tc>
        <w:tc>
          <w:tcPr>
            <w:tcW w:w="8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5.0</w:t>
            </w:r>
          </w:p>
        </w:tc>
      </w:tr>
      <w:tr w:rsidR="006C416F" w:rsidRPr="006C416F" w:rsidTr="008A2FB4">
        <w:trPr>
          <w:trHeight w:val="340"/>
          <w:jc w:val="center"/>
        </w:trPr>
        <w:tc>
          <w:tcPr>
            <w:tcW w:w="686" w:type="pct"/>
            <w:vMerge w:val="restar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初中</w:t>
            </w:r>
          </w:p>
        </w:tc>
        <w:tc>
          <w:tcPr>
            <w:tcW w:w="89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教职工停车</w:t>
            </w:r>
          </w:p>
        </w:tc>
        <w:tc>
          <w:tcPr>
            <w:tcW w:w="11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车位/100学生</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6.0</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6.0</w:t>
            </w:r>
          </w:p>
        </w:tc>
        <w:tc>
          <w:tcPr>
            <w:tcW w:w="8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6.0</w:t>
            </w:r>
          </w:p>
        </w:tc>
      </w:tr>
      <w:tr w:rsidR="006C416F" w:rsidRPr="006C416F" w:rsidTr="008A2FB4">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89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接送临时停车</w:t>
            </w:r>
          </w:p>
        </w:tc>
        <w:tc>
          <w:tcPr>
            <w:tcW w:w="11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车位/100学生</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8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r>
      <w:tr w:rsidR="006C416F" w:rsidRPr="006C416F" w:rsidTr="008A2FB4">
        <w:trPr>
          <w:trHeight w:val="340"/>
          <w:jc w:val="center"/>
        </w:trPr>
        <w:tc>
          <w:tcPr>
            <w:tcW w:w="686" w:type="pct"/>
            <w:vMerge w:val="restar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高中</w:t>
            </w:r>
          </w:p>
        </w:tc>
        <w:tc>
          <w:tcPr>
            <w:tcW w:w="89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教职工停车</w:t>
            </w:r>
          </w:p>
        </w:tc>
        <w:tc>
          <w:tcPr>
            <w:tcW w:w="11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车位/100学生</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6.0</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6.0</w:t>
            </w:r>
          </w:p>
        </w:tc>
        <w:tc>
          <w:tcPr>
            <w:tcW w:w="8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6.0</w:t>
            </w:r>
          </w:p>
        </w:tc>
      </w:tr>
      <w:tr w:rsidR="006C416F" w:rsidRPr="006C416F" w:rsidTr="008A2FB4">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89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接送临时停车</w:t>
            </w:r>
          </w:p>
        </w:tc>
        <w:tc>
          <w:tcPr>
            <w:tcW w:w="11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车位/100学生</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8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r>
      <w:tr w:rsidR="006C416F" w:rsidRPr="006C416F" w:rsidTr="008A2FB4">
        <w:trPr>
          <w:trHeight w:val="340"/>
          <w:jc w:val="center"/>
        </w:trPr>
        <w:tc>
          <w:tcPr>
            <w:tcW w:w="1580" w:type="pct"/>
            <w:gridSpan w:val="2"/>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大中专院校</w:t>
            </w:r>
          </w:p>
        </w:tc>
        <w:tc>
          <w:tcPr>
            <w:tcW w:w="11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车位/100学生</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6.0</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6.0</w:t>
            </w:r>
          </w:p>
        </w:tc>
        <w:tc>
          <w:tcPr>
            <w:tcW w:w="8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6.0</w:t>
            </w:r>
          </w:p>
        </w:tc>
      </w:tr>
      <w:tr w:rsidR="006C416F" w:rsidRPr="006C416F" w:rsidTr="008A2FB4">
        <w:trPr>
          <w:trHeight w:val="340"/>
          <w:jc w:val="center"/>
        </w:trPr>
        <w:tc>
          <w:tcPr>
            <w:tcW w:w="1580" w:type="pct"/>
            <w:gridSpan w:val="2"/>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综合性大学</w:t>
            </w:r>
          </w:p>
        </w:tc>
        <w:tc>
          <w:tcPr>
            <w:tcW w:w="11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车位/100学生</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6.0</w:t>
            </w:r>
          </w:p>
        </w:tc>
        <w:tc>
          <w:tcPr>
            <w:tcW w:w="72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6.0</w:t>
            </w:r>
          </w:p>
        </w:tc>
        <w:tc>
          <w:tcPr>
            <w:tcW w:w="84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6.0</w:t>
            </w:r>
          </w:p>
        </w:tc>
      </w:tr>
    </w:tbl>
    <w:p w:rsidR="005D2813" w:rsidRPr="006C416F" w:rsidRDefault="005D2813" w:rsidP="005D2813">
      <w:pPr>
        <w:spacing w:line="320" w:lineRule="exact"/>
        <w:rPr>
          <w:rFonts w:ascii="仿宋_GB2312" w:eastAsia="仿宋_GB2312"/>
          <w:spacing w:val="-6"/>
          <w:szCs w:val="21"/>
        </w:rPr>
      </w:pPr>
      <w:r w:rsidRPr="006C416F">
        <w:rPr>
          <w:rFonts w:ascii="仿宋_GB2312" w:eastAsia="仿宋_GB2312" w:hint="eastAsia"/>
          <w:spacing w:val="-6"/>
          <w:szCs w:val="21"/>
        </w:rPr>
        <w:t>说明：（1）为减少家长接送对城市日常交通的干扰，教育设施规划建设中应充分考虑学生接送时的临时停车需求，设置临时停车泊位。临时停车泊位设置位置可结合学校建筑后退红线空间设置或结合接送系统单独设置，在学校用地范围具体泊位数应参照上表结合实际情况确定。</w:t>
      </w:r>
    </w:p>
    <w:p w:rsidR="005D2813" w:rsidRPr="006C416F" w:rsidRDefault="005D2813" w:rsidP="005D2813">
      <w:pPr>
        <w:spacing w:line="320" w:lineRule="exact"/>
        <w:ind w:firstLineChars="200" w:firstLine="396"/>
        <w:rPr>
          <w:rFonts w:ascii="仿宋_GB2312" w:eastAsia="仿宋_GB2312"/>
          <w:spacing w:val="-6"/>
          <w:szCs w:val="21"/>
        </w:rPr>
      </w:pPr>
      <w:r w:rsidRPr="006C416F">
        <w:rPr>
          <w:rFonts w:ascii="仿宋_GB2312" w:eastAsia="仿宋_GB2312" w:hint="eastAsia"/>
          <w:spacing w:val="-6"/>
          <w:szCs w:val="21"/>
        </w:rPr>
        <w:t>（</w:t>
      </w:r>
      <w:r w:rsidR="002B31D4" w:rsidRPr="006C416F">
        <w:rPr>
          <w:rFonts w:ascii="仿宋_GB2312" w:eastAsia="仿宋_GB2312" w:hint="eastAsia"/>
          <w:spacing w:val="-6"/>
          <w:szCs w:val="21"/>
        </w:rPr>
        <w:t>2</w:t>
      </w:r>
      <w:r w:rsidRPr="006C416F">
        <w:rPr>
          <w:rFonts w:ascii="仿宋_GB2312" w:eastAsia="仿宋_GB2312" w:hint="eastAsia"/>
          <w:spacing w:val="-6"/>
          <w:szCs w:val="21"/>
        </w:rPr>
        <w:t>）在学校用地范围内设校车上下客泊位，具体数量结合用地条件确定，布局和流线组织避免影响城市道路交通。</w:t>
      </w:r>
    </w:p>
    <w:p w:rsidR="005D2813" w:rsidRPr="006C416F" w:rsidRDefault="005D2813" w:rsidP="005D2813">
      <w:pPr>
        <w:spacing w:beforeLines="50" w:before="156" w:line="360" w:lineRule="auto"/>
        <w:ind w:firstLineChars="200" w:firstLine="480"/>
        <w:rPr>
          <w:rFonts w:asciiTheme="minorEastAsia" w:hAnsiTheme="minorEastAsia"/>
          <w:sz w:val="24"/>
        </w:rPr>
      </w:pPr>
      <w:r w:rsidRPr="006C416F">
        <w:rPr>
          <w:rFonts w:asciiTheme="minorEastAsia" w:hAnsiTheme="minorEastAsia" w:hint="eastAsia"/>
          <w:sz w:val="24"/>
        </w:rPr>
        <w:t>（6）文化及体育设施类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577"/>
        <w:gridCol w:w="2304"/>
        <w:gridCol w:w="1667"/>
        <w:gridCol w:w="941"/>
        <w:gridCol w:w="907"/>
      </w:tblGrid>
      <w:tr w:rsidR="006C416F" w:rsidRPr="006C416F" w:rsidTr="000F1EA6">
        <w:trPr>
          <w:trHeight w:val="270"/>
          <w:jc w:val="center"/>
        </w:trPr>
        <w:tc>
          <w:tcPr>
            <w:tcW w:w="1586"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类型</w:t>
            </w:r>
          </w:p>
        </w:tc>
        <w:tc>
          <w:tcPr>
            <w:tcW w:w="135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计量单位</w:t>
            </w:r>
          </w:p>
        </w:tc>
        <w:tc>
          <w:tcPr>
            <w:tcW w:w="9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一类区</w:t>
            </w:r>
          </w:p>
        </w:tc>
        <w:tc>
          <w:tcPr>
            <w:tcW w:w="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二类区</w:t>
            </w:r>
          </w:p>
        </w:tc>
        <w:tc>
          <w:tcPr>
            <w:tcW w:w="5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三类区</w:t>
            </w:r>
          </w:p>
        </w:tc>
      </w:tr>
      <w:tr w:rsidR="006C416F" w:rsidRPr="006C416F" w:rsidTr="000F1EA6">
        <w:trPr>
          <w:trHeight w:val="27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b/>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b/>
                <w:kern w:val="0"/>
                <w:szCs w:val="21"/>
              </w:rPr>
            </w:pPr>
          </w:p>
        </w:tc>
        <w:tc>
          <w:tcPr>
            <w:tcW w:w="9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下限</w:t>
            </w:r>
          </w:p>
        </w:tc>
        <w:tc>
          <w:tcPr>
            <w:tcW w:w="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下限</w:t>
            </w:r>
          </w:p>
        </w:tc>
        <w:tc>
          <w:tcPr>
            <w:tcW w:w="5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下限</w:t>
            </w:r>
          </w:p>
        </w:tc>
      </w:tr>
      <w:tr w:rsidR="006C416F" w:rsidRPr="006C416F" w:rsidTr="000F1EA6">
        <w:trPr>
          <w:trHeight w:val="270"/>
          <w:jc w:val="center"/>
        </w:trPr>
        <w:tc>
          <w:tcPr>
            <w:tcW w:w="1586" w:type="pct"/>
            <w:gridSpan w:val="2"/>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博物馆、科技馆、图书馆</w:t>
            </w:r>
          </w:p>
        </w:tc>
        <w:tc>
          <w:tcPr>
            <w:tcW w:w="135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978"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hint="eastAsia"/>
                <w:sz w:val="20"/>
                <w:szCs w:val="20"/>
              </w:rPr>
              <w:t>0.6</w:t>
            </w:r>
          </w:p>
        </w:tc>
        <w:tc>
          <w:tcPr>
            <w:tcW w:w="55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hint="eastAsia"/>
                <w:sz w:val="20"/>
                <w:szCs w:val="20"/>
              </w:rPr>
              <w:t>0.8</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hint="eastAsia"/>
                <w:sz w:val="20"/>
                <w:szCs w:val="20"/>
              </w:rPr>
              <w:t>0.8</w:t>
            </w:r>
          </w:p>
        </w:tc>
      </w:tr>
      <w:tr w:rsidR="006C416F" w:rsidRPr="006C416F" w:rsidTr="000F1EA6">
        <w:trPr>
          <w:trHeight w:val="270"/>
          <w:jc w:val="center"/>
        </w:trPr>
        <w:tc>
          <w:tcPr>
            <w:tcW w:w="1586" w:type="pct"/>
            <w:gridSpan w:val="2"/>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展览馆</w:t>
            </w:r>
          </w:p>
        </w:tc>
        <w:tc>
          <w:tcPr>
            <w:tcW w:w="135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978"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2B31D4">
            <w:pPr>
              <w:widowControl/>
              <w:jc w:val="center"/>
              <w:rPr>
                <w:rFonts w:ascii="宋体" w:hAnsi="宋体" w:cs="宋体"/>
                <w:kern w:val="0"/>
                <w:szCs w:val="21"/>
              </w:rPr>
            </w:pPr>
            <w:r w:rsidRPr="006C416F">
              <w:rPr>
                <w:rFonts w:hint="eastAsia"/>
                <w:sz w:val="20"/>
                <w:szCs w:val="20"/>
              </w:rPr>
              <w:t>0.</w:t>
            </w:r>
            <w:r w:rsidR="002B31D4" w:rsidRPr="006C416F">
              <w:rPr>
                <w:rFonts w:hint="eastAsia"/>
                <w:sz w:val="20"/>
                <w:szCs w:val="20"/>
              </w:rPr>
              <w:t>7</w:t>
            </w:r>
          </w:p>
        </w:tc>
        <w:tc>
          <w:tcPr>
            <w:tcW w:w="55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hint="eastAsia"/>
                <w:sz w:val="20"/>
                <w:szCs w:val="20"/>
              </w:rPr>
              <w:t>0.8</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hint="eastAsia"/>
                <w:sz w:val="20"/>
                <w:szCs w:val="20"/>
              </w:rPr>
              <w:t>1.0</w:t>
            </w:r>
          </w:p>
        </w:tc>
      </w:tr>
      <w:tr w:rsidR="006C416F" w:rsidRPr="006C416F" w:rsidTr="000F1EA6">
        <w:trPr>
          <w:trHeight w:val="270"/>
          <w:jc w:val="center"/>
        </w:trPr>
        <w:tc>
          <w:tcPr>
            <w:tcW w:w="1586" w:type="pct"/>
            <w:gridSpan w:val="2"/>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会议中心</w:t>
            </w:r>
          </w:p>
        </w:tc>
        <w:tc>
          <w:tcPr>
            <w:tcW w:w="135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978"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0.6</w:t>
            </w:r>
          </w:p>
        </w:tc>
        <w:tc>
          <w:tcPr>
            <w:tcW w:w="55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0.7</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0.8</w:t>
            </w:r>
          </w:p>
        </w:tc>
      </w:tr>
      <w:tr w:rsidR="006C416F" w:rsidRPr="006C416F" w:rsidTr="000F1EA6">
        <w:trPr>
          <w:trHeight w:val="270"/>
          <w:jc w:val="center"/>
        </w:trPr>
        <w:tc>
          <w:tcPr>
            <w:tcW w:w="1586" w:type="pct"/>
            <w:gridSpan w:val="2"/>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活动中心</w:t>
            </w:r>
          </w:p>
        </w:tc>
        <w:tc>
          <w:tcPr>
            <w:tcW w:w="135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978"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1.2</w:t>
            </w:r>
          </w:p>
        </w:tc>
        <w:tc>
          <w:tcPr>
            <w:tcW w:w="55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1.4</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1.5</w:t>
            </w:r>
          </w:p>
        </w:tc>
      </w:tr>
      <w:tr w:rsidR="006C416F" w:rsidRPr="006C416F" w:rsidTr="000F1EA6">
        <w:trPr>
          <w:trHeight w:val="270"/>
          <w:jc w:val="center"/>
        </w:trPr>
        <w:tc>
          <w:tcPr>
            <w:tcW w:w="661" w:type="pct"/>
            <w:vMerge w:val="restar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体育场馆</w:t>
            </w:r>
          </w:p>
        </w:tc>
        <w:tc>
          <w:tcPr>
            <w:tcW w:w="925"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left"/>
              <w:rPr>
                <w:rFonts w:ascii="宋体" w:hAnsi="宋体" w:cs="宋体"/>
                <w:kern w:val="0"/>
                <w:szCs w:val="21"/>
              </w:rPr>
            </w:pPr>
            <w:r w:rsidRPr="006C416F">
              <w:rPr>
                <w:rFonts w:ascii="宋体" w:hAnsi="宋体" w:cs="宋体" w:hint="eastAsia"/>
                <w:kern w:val="0"/>
                <w:szCs w:val="21"/>
              </w:rPr>
              <w:t>一类体育场馆</w:t>
            </w:r>
          </w:p>
        </w:tc>
        <w:tc>
          <w:tcPr>
            <w:tcW w:w="135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车位/100座位</w:t>
            </w:r>
          </w:p>
        </w:tc>
        <w:tc>
          <w:tcPr>
            <w:tcW w:w="978"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4.0</w:t>
            </w:r>
          </w:p>
        </w:tc>
        <w:tc>
          <w:tcPr>
            <w:tcW w:w="55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4.5</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4.5</w:t>
            </w:r>
          </w:p>
        </w:tc>
      </w:tr>
      <w:tr w:rsidR="006C416F" w:rsidRPr="006C416F" w:rsidTr="000F1EA6">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925"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left"/>
              <w:rPr>
                <w:rFonts w:ascii="宋体" w:hAnsi="宋体" w:cs="宋体"/>
                <w:kern w:val="0"/>
                <w:szCs w:val="21"/>
              </w:rPr>
            </w:pPr>
            <w:r w:rsidRPr="006C416F">
              <w:rPr>
                <w:rFonts w:ascii="宋体" w:hAnsi="宋体" w:cs="宋体" w:hint="eastAsia"/>
                <w:kern w:val="0"/>
                <w:szCs w:val="21"/>
              </w:rPr>
              <w:t>二类体育场馆</w:t>
            </w:r>
          </w:p>
        </w:tc>
        <w:tc>
          <w:tcPr>
            <w:tcW w:w="135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车位/100座位</w:t>
            </w:r>
          </w:p>
        </w:tc>
        <w:tc>
          <w:tcPr>
            <w:tcW w:w="978"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4.0</w:t>
            </w:r>
          </w:p>
        </w:tc>
        <w:tc>
          <w:tcPr>
            <w:tcW w:w="55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4.0</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4.0</w:t>
            </w:r>
          </w:p>
        </w:tc>
      </w:tr>
      <w:tr w:rsidR="006C416F" w:rsidRPr="006C416F" w:rsidTr="000F1EA6">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925"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left"/>
              <w:rPr>
                <w:rFonts w:ascii="宋体" w:hAnsi="宋体" w:cs="宋体"/>
                <w:kern w:val="0"/>
                <w:szCs w:val="21"/>
              </w:rPr>
            </w:pPr>
            <w:r w:rsidRPr="006C416F">
              <w:rPr>
                <w:rFonts w:ascii="宋体" w:hAnsi="宋体" w:cs="宋体" w:hint="eastAsia"/>
                <w:kern w:val="0"/>
                <w:szCs w:val="21"/>
              </w:rPr>
              <w:t>普通体育场馆</w:t>
            </w:r>
          </w:p>
        </w:tc>
        <w:tc>
          <w:tcPr>
            <w:tcW w:w="135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978"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0.8</w:t>
            </w:r>
          </w:p>
        </w:tc>
        <w:tc>
          <w:tcPr>
            <w:tcW w:w="55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0.8</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0.8</w:t>
            </w:r>
          </w:p>
        </w:tc>
      </w:tr>
      <w:tr w:rsidR="006C416F" w:rsidRPr="006C416F" w:rsidTr="000F1EA6">
        <w:trPr>
          <w:trHeight w:val="270"/>
          <w:jc w:val="center"/>
        </w:trPr>
        <w:tc>
          <w:tcPr>
            <w:tcW w:w="1586" w:type="pct"/>
            <w:gridSpan w:val="2"/>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影剧院</w:t>
            </w:r>
          </w:p>
        </w:tc>
        <w:tc>
          <w:tcPr>
            <w:tcW w:w="135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车位/100座位</w:t>
            </w:r>
          </w:p>
        </w:tc>
        <w:tc>
          <w:tcPr>
            <w:tcW w:w="978"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5.0</w:t>
            </w:r>
          </w:p>
        </w:tc>
        <w:tc>
          <w:tcPr>
            <w:tcW w:w="55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5.0</w:t>
            </w:r>
          </w:p>
        </w:tc>
        <w:tc>
          <w:tcPr>
            <w:tcW w:w="532"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5.0</w:t>
            </w:r>
          </w:p>
        </w:tc>
      </w:tr>
    </w:tbl>
    <w:p w:rsidR="005D2813" w:rsidRPr="006C416F" w:rsidRDefault="005D2813" w:rsidP="005D2813">
      <w:pPr>
        <w:spacing w:line="320" w:lineRule="exact"/>
        <w:rPr>
          <w:rFonts w:ascii="仿宋_GB2312" w:eastAsia="仿宋_GB2312"/>
          <w:spacing w:val="-6"/>
          <w:szCs w:val="21"/>
        </w:rPr>
      </w:pPr>
      <w:r w:rsidRPr="006C416F">
        <w:rPr>
          <w:rFonts w:ascii="仿宋_GB2312" w:eastAsia="仿宋_GB2312" w:hint="eastAsia"/>
          <w:spacing w:val="-6"/>
          <w:szCs w:val="21"/>
        </w:rPr>
        <w:t>说明：（1）一类体育场馆指大于15000座的体育场和大于4000座的体育馆。</w:t>
      </w:r>
    </w:p>
    <w:p w:rsidR="005D2813" w:rsidRPr="006C416F" w:rsidRDefault="005D2813" w:rsidP="005D2813">
      <w:pPr>
        <w:spacing w:line="320" w:lineRule="exact"/>
        <w:ind w:firstLineChars="300" w:firstLine="594"/>
        <w:rPr>
          <w:rFonts w:ascii="仿宋_GB2312" w:eastAsia="仿宋_GB2312"/>
          <w:spacing w:val="-6"/>
          <w:szCs w:val="21"/>
        </w:rPr>
      </w:pPr>
      <w:r w:rsidRPr="006C416F">
        <w:rPr>
          <w:rFonts w:ascii="仿宋_GB2312" w:eastAsia="仿宋_GB2312" w:hint="eastAsia"/>
          <w:spacing w:val="-6"/>
          <w:szCs w:val="21"/>
        </w:rPr>
        <w:t>（2）二类体育场馆指小于或等于15000座的体育场和小于或等于4000座的体育馆。</w:t>
      </w:r>
    </w:p>
    <w:p w:rsidR="005D2813" w:rsidRPr="006C416F" w:rsidRDefault="005D2813" w:rsidP="005D2813">
      <w:pPr>
        <w:spacing w:line="320" w:lineRule="exact"/>
        <w:ind w:firstLineChars="300" w:firstLine="594"/>
        <w:rPr>
          <w:rFonts w:ascii="仿宋_GB2312" w:eastAsia="仿宋_GB2312"/>
          <w:spacing w:val="-6"/>
          <w:szCs w:val="21"/>
        </w:rPr>
      </w:pPr>
      <w:r w:rsidRPr="006C416F">
        <w:rPr>
          <w:rFonts w:ascii="仿宋_GB2312" w:eastAsia="仿宋_GB2312" w:hint="eastAsia"/>
          <w:spacing w:val="-6"/>
          <w:szCs w:val="21"/>
        </w:rPr>
        <w:t>（3）普通体育场馆指用于全民健身、规模相对较小的体育场馆。</w:t>
      </w:r>
    </w:p>
    <w:p w:rsidR="009D6936" w:rsidRPr="006C416F" w:rsidRDefault="005D2813" w:rsidP="00466CCB">
      <w:pPr>
        <w:spacing w:line="320" w:lineRule="exact"/>
        <w:ind w:firstLineChars="300" w:firstLine="594"/>
        <w:rPr>
          <w:rFonts w:asciiTheme="minorEastAsia" w:hAnsiTheme="minorEastAsia"/>
          <w:sz w:val="24"/>
        </w:rPr>
      </w:pPr>
      <w:r w:rsidRPr="006C416F">
        <w:rPr>
          <w:rFonts w:ascii="仿宋_GB2312" w:eastAsia="仿宋_GB2312" w:hint="eastAsia"/>
          <w:spacing w:val="-6"/>
          <w:szCs w:val="21"/>
        </w:rPr>
        <w:t>（4）非独立修建的影剧院按建筑面积计入普通商业类统筹考虑。</w:t>
      </w:r>
    </w:p>
    <w:p w:rsidR="009D6936" w:rsidRPr="006C416F" w:rsidRDefault="009D6936">
      <w:pPr>
        <w:widowControl/>
        <w:jc w:val="left"/>
        <w:rPr>
          <w:rFonts w:asciiTheme="minorEastAsia" w:hAnsiTheme="minorEastAsia"/>
          <w:sz w:val="24"/>
        </w:rPr>
      </w:pPr>
      <w:r w:rsidRPr="006C416F">
        <w:rPr>
          <w:rFonts w:asciiTheme="minorEastAsia" w:hAnsiTheme="minorEastAsia"/>
          <w:sz w:val="24"/>
        </w:rPr>
        <w:br w:type="page"/>
      </w:r>
    </w:p>
    <w:p w:rsidR="005D2813" w:rsidRPr="006C416F" w:rsidRDefault="005D2813" w:rsidP="005D2813">
      <w:pPr>
        <w:spacing w:beforeLines="50" w:before="156" w:line="360" w:lineRule="auto"/>
        <w:ind w:firstLineChars="200" w:firstLine="480"/>
        <w:rPr>
          <w:rFonts w:asciiTheme="minorEastAsia" w:hAnsiTheme="minorEastAsia"/>
          <w:sz w:val="24"/>
        </w:rPr>
      </w:pPr>
      <w:r w:rsidRPr="006C416F">
        <w:rPr>
          <w:rFonts w:asciiTheme="minorEastAsia" w:hAnsiTheme="minorEastAsia" w:hint="eastAsia"/>
          <w:sz w:val="24"/>
        </w:rPr>
        <w:lastRenderedPageBreak/>
        <w:t>（7）公园类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275"/>
        <w:gridCol w:w="965"/>
        <w:gridCol w:w="965"/>
        <w:gridCol w:w="965"/>
      </w:tblGrid>
      <w:tr w:rsidR="006C416F" w:rsidRPr="006C416F" w:rsidTr="000F1EA6">
        <w:trPr>
          <w:trHeight w:val="270"/>
        </w:trPr>
        <w:tc>
          <w:tcPr>
            <w:tcW w:w="196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类型</w:t>
            </w:r>
          </w:p>
        </w:tc>
        <w:tc>
          <w:tcPr>
            <w:tcW w:w="133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计量单位</w:t>
            </w: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一类区</w:t>
            </w: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二类区</w:t>
            </w: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三类区</w:t>
            </w:r>
          </w:p>
        </w:tc>
      </w:tr>
      <w:tr w:rsidR="006C416F" w:rsidRPr="006C416F" w:rsidTr="000F1EA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b/>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b/>
                <w:kern w:val="0"/>
                <w:szCs w:val="21"/>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下限</w:t>
            </w: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下限</w:t>
            </w: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下限</w:t>
            </w:r>
          </w:p>
        </w:tc>
      </w:tr>
      <w:tr w:rsidR="006C416F" w:rsidRPr="006C416F" w:rsidTr="000F1EA6">
        <w:trPr>
          <w:trHeight w:val="270"/>
        </w:trPr>
        <w:tc>
          <w:tcPr>
            <w:tcW w:w="1966"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 w:val="20"/>
                <w:szCs w:val="20"/>
              </w:rPr>
            </w:pPr>
            <w:r w:rsidRPr="006C416F">
              <w:rPr>
                <w:rFonts w:ascii="宋体" w:hAnsi="宋体" w:cs="宋体" w:hint="eastAsia"/>
                <w:kern w:val="0"/>
                <w:sz w:val="20"/>
                <w:szCs w:val="20"/>
              </w:rPr>
              <w:t>城市公园、风景区、广场</w:t>
            </w:r>
          </w:p>
        </w:tc>
        <w:tc>
          <w:tcPr>
            <w:tcW w:w="1335"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 w:val="20"/>
                <w:szCs w:val="20"/>
              </w:rPr>
            </w:pPr>
            <w:r w:rsidRPr="006C416F">
              <w:rPr>
                <w:rFonts w:ascii="宋体" w:hAnsi="宋体" w:cs="宋体" w:hint="eastAsia"/>
                <w:kern w:val="0"/>
                <w:sz w:val="20"/>
                <w:szCs w:val="20"/>
              </w:rPr>
              <w:t>车位/公顷占地面积</w:t>
            </w:r>
          </w:p>
        </w:tc>
        <w:tc>
          <w:tcPr>
            <w:tcW w:w="566"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 w:val="20"/>
                <w:szCs w:val="20"/>
              </w:rPr>
            </w:pPr>
            <w:r w:rsidRPr="006C416F">
              <w:rPr>
                <w:rFonts w:ascii="宋体" w:hAnsi="宋体" w:cs="宋体" w:hint="eastAsia"/>
                <w:kern w:val="0"/>
                <w:sz w:val="20"/>
                <w:szCs w:val="20"/>
              </w:rPr>
              <w:t>12</w:t>
            </w:r>
          </w:p>
        </w:tc>
        <w:tc>
          <w:tcPr>
            <w:tcW w:w="566"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 w:val="20"/>
                <w:szCs w:val="20"/>
              </w:rPr>
            </w:pPr>
            <w:r w:rsidRPr="006C416F">
              <w:rPr>
                <w:rFonts w:ascii="宋体" w:hAnsi="宋体" w:cs="宋体" w:hint="eastAsia"/>
                <w:kern w:val="0"/>
                <w:sz w:val="20"/>
                <w:szCs w:val="20"/>
              </w:rPr>
              <w:t>15</w:t>
            </w:r>
          </w:p>
        </w:tc>
        <w:tc>
          <w:tcPr>
            <w:tcW w:w="566"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 w:val="20"/>
                <w:szCs w:val="20"/>
              </w:rPr>
            </w:pPr>
            <w:r w:rsidRPr="006C416F">
              <w:rPr>
                <w:rFonts w:ascii="宋体" w:hAnsi="宋体" w:cs="宋体" w:hint="eastAsia"/>
                <w:kern w:val="0"/>
                <w:sz w:val="20"/>
                <w:szCs w:val="20"/>
              </w:rPr>
              <w:t>15</w:t>
            </w:r>
          </w:p>
        </w:tc>
      </w:tr>
      <w:tr w:rsidR="006C416F" w:rsidRPr="006C416F" w:rsidTr="000F1EA6">
        <w:trPr>
          <w:trHeight w:val="270"/>
        </w:trPr>
        <w:tc>
          <w:tcPr>
            <w:tcW w:w="1966"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文物古迹、主题公园、游乐园</w:t>
            </w:r>
          </w:p>
        </w:tc>
        <w:tc>
          <w:tcPr>
            <w:tcW w:w="1335"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车位/公顷占地面积</w:t>
            </w:r>
          </w:p>
        </w:tc>
        <w:tc>
          <w:tcPr>
            <w:tcW w:w="566"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566"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30</w:t>
            </w:r>
          </w:p>
        </w:tc>
        <w:tc>
          <w:tcPr>
            <w:tcW w:w="566"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30</w:t>
            </w:r>
          </w:p>
        </w:tc>
      </w:tr>
    </w:tbl>
    <w:p w:rsidR="005D2813" w:rsidRPr="006C416F" w:rsidRDefault="005D2813" w:rsidP="005D2813">
      <w:pPr>
        <w:spacing w:line="320" w:lineRule="exact"/>
        <w:rPr>
          <w:rFonts w:ascii="仿宋_GB2312" w:eastAsia="仿宋_GB2312"/>
          <w:spacing w:val="-6"/>
          <w:szCs w:val="21"/>
        </w:rPr>
      </w:pPr>
      <w:r w:rsidRPr="006C416F">
        <w:rPr>
          <w:rFonts w:ascii="仿宋_GB2312" w:eastAsia="仿宋_GB2312" w:hint="eastAsia"/>
          <w:spacing w:val="-6"/>
          <w:szCs w:val="21"/>
        </w:rPr>
        <w:t>说明：旅游风景区的停车配建指标应进行专项研究后确定，上表为建议指标。</w:t>
      </w:r>
    </w:p>
    <w:p w:rsidR="005D2813" w:rsidRPr="006C416F" w:rsidRDefault="005D2813" w:rsidP="005D2813">
      <w:pPr>
        <w:spacing w:beforeLines="50" w:before="156" w:line="360" w:lineRule="auto"/>
        <w:ind w:firstLineChars="200" w:firstLine="480"/>
        <w:rPr>
          <w:rFonts w:asciiTheme="minorEastAsia" w:hAnsiTheme="minorEastAsia"/>
          <w:sz w:val="24"/>
        </w:rPr>
      </w:pPr>
      <w:r w:rsidRPr="006C416F">
        <w:rPr>
          <w:rFonts w:asciiTheme="minorEastAsia" w:hAnsiTheme="minorEastAsia" w:hint="eastAsia"/>
          <w:sz w:val="24"/>
        </w:rPr>
        <w:t>（8）交通枢纽类（建议指标）</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981"/>
        <w:gridCol w:w="1417"/>
        <w:gridCol w:w="1561"/>
        <w:gridCol w:w="1701"/>
      </w:tblGrid>
      <w:tr w:rsidR="006C416F" w:rsidRPr="006C416F" w:rsidTr="000F1EA6">
        <w:trPr>
          <w:trHeight w:val="276"/>
        </w:trPr>
        <w:tc>
          <w:tcPr>
            <w:tcW w:w="107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类型</w:t>
            </w:r>
          </w:p>
        </w:tc>
        <w:tc>
          <w:tcPr>
            <w:tcW w:w="116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计量单位</w:t>
            </w:r>
          </w:p>
        </w:tc>
        <w:tc>
          <w:tcPr>
            <w:tcW w:w="83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一类区</w:t>
            </w:r>
          </w:p>
        </w:tc>
        <w:tc>
          <w:tcPr>
            <w:tcW w:w="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二类区</w:t>
            </w:r>
          </w:p>
        </w:tc>
        <w:tc>
          <w:tcPr>
            <w:tcW w:w="1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三类区</w:t>
            </w:r>
          </w:p>
        </w:tc>
      </w:tr>
      <w:tr w:rsidR="006C416F" w:rsidRPr="006C416F" w:rsidTr="000F1EA6">
        <w:trPr>
          <w:trHeight w:val="276"/>
        </w:trPr>
        <w:tc>
          <w:tcPr>
            <w:tcW w:w="1070" w:type="pct"/>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b/>
                <w:kern w:val="0"/>
                <w:szCs w:val="21"/>
              </w:rPr>
            </w:pPr>
          </w:p>
        </w:tc>
        <w:tc>
          <w:tcPr>
            <w:tcW w:w="1169" w:type="pct"/>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b/>
                <w:kern w:val="0"/>
                <w:szCs w:val="21"/>
              </w:rPr>
            </w:pPr>
          </w:p>
        </w:tc>
        <w:tc>
          <w:tcPr>
            <w:tcW w:w="83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下限</w:t>
            </w:r>
          </w:p>
        </w:tc>
        <w:tc>
          <w:tcPr>
            <w:tcW w:w="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下限</w:t>
            </w:r>
          </w:p>
        </w:tc>
        <w:tc>
          <w:tcPr>
            <w:tcW w:w="1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下限</w:t>
            </w:r>
          </w:p>
        </w:tc>
      </w:tr>
      <w:tr w:rsidR="006C416F" w:rsidRPr="006C416F" w:rsidTr="000F1EA6">
        <w:trPr>
          <w:trHeight w:val="276"/>
        </w:trPr>
        <w:tc>
          <w:tcPr>
            <w:tcW w:w="107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火车站</w:t>
            </w:r>
          </w:p>
        </w:tc>
        <w:tc>
          <w:tcPr>
            <w:tcW w:w="1169"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高峰日100旅客</w:t>
            </w:r>
          </w:p>
        </w:tc>
        <w:tc>
          <w:tcPr>
            <w:tcW w:w="836"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921"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100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r>
      <w:tr w:rsidR="006C416F" w:rsidRPr="006C416F" w:rsidTr="000F1EA6">
        <w:trPr>
          <w:trHeight w:val="276"/>
        </w:trPr>
        <w:tc>
          <w:tcPr>
            <w:tcW w:w="107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汽车站</w:t>
            </w:r>
          </w:p>
        </w:tc>
        <w:tc>
          <w:tcPr>
            <w:tcW w:w="1169"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高峰日100旅客</w:t>
            </w:r>
          </w:p>
        </w:tc>
        <w:tc>
          <w:tcPr>
            <w:tcW w:w="836"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921"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100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r>
      <w:tr w:rsidR="006C416F" w:rsidRPr="006C416F" w:rsidTr="000F1EA6">
        <w:trPr>
          <w:trHeight w:val="276"/>
        </w:trPr>
        <w:tc>
          <w:tcPr>
            <w:tcW w:w="107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客运码头</w:t>
            </w:r>
          </w:p>
        </w:tc>
        <w:tc>
          <w:tcPr>
            <w:tcW w:w="1169"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高峰日100旅客</w:t>
            </w:r>
          </w:p>
        </w:tc>
        <w:tc>
          <w:tcPr>
            <w:tcW w:w="836"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921"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100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r>
      <w:tr w:rsidR="006C416F" w:rsidRPr="006C416F" w:rsidTr="000F1EA6">
        <w:trPr>
          <w:trHeight w:val="276"/>
        </w:trPr>
        <w:tc>
          <w:tcPr>
            <w:tcW w:w="1070"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轨道交通车站</w:t>
            </w:r>
          </w:p>
        </w:tc>
        <w:tc>
          <w:tcPr>
            <w:tcW w:w="1169"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高峰日100旅客</w:t>
            </w:r>
          </w:p>
        </w:tc>
        <w:tc>
          <w:tcPr>
            <w:tcW w:w="836"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921"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1004" w:type="pc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r>
    </w:tbl>
    <w:p w:rsidR="005D2813" w:rsidRPr="006C416F" w:rsidRDefault="005D2813" w:rsidP="005D2813">
      <w:pPr>
        <w:spacing w:line="320" w:lineRule="exact"/>
        <w:rPr>
          <w:rFonts w:ascii="仿宋_GB2312" w:eastAsia="仿宋_GB2312"/>
          <w:spacing w:val="-6"/>
          <w:szCs w:val="21"/>
        </w:rPr>
      </w:pPr>
      <w:r w:rsidRPr="006C416F">
        <w:rPr>
          <w:rFonts w:ascii="仿宋_GB2312" w:eastAsia="仿宋_GB2312" w:hint="eastAsia"/>
          <w:spacing w:val="-6"/>
          <w:szCs w:val="21"/>
        </w:rPr>
        <w:t>说明：火车站、汽车站、客运码头等交通枢纽，轨道交通车站周边配套停车换乘设施应根据建设工程所在区域、周边道路情况、公交服务水平等因素对停车指标进行专项研究确定，上表为建议指标。</w:t>
      </w:r>
    </w:p>
    <w:p w:rsidR="005D2813" w:rsidRPr="006C416F" w:rsidRDefault="005D2813" w:rsidP="005D2813">
      <w:pPr>
        <w:spacing w:beforeLines="50" w:before="156" w:line="360" w:lineRule="auto"/>
        <w:ind w:firstLineChars="200" w:firstLine="480"/>
        <w:rPr>
          <w:rFonts w:asciiTheme="minorEastAsia" w:hAnsiTheme="minorEastAsia"/>
          <w:sz w:val="24"/>
        </w:rPr>
      </w:pPr>
      <w:r w:rsidRPr="006C416F">
        <w:rPr>
          <w:rFonts w:asciiTheme="minorEastAsia" w:hAnsiTheme="minorEastAsia" w:hint="eastAsia"/>
          <w:sz w:val="24"/>
        </w:rPr>
        <w:t>（9）工业和仓储类</w:t>
      </w:r>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2418"/>
        <w:gridCol w:w="1346"/>
        <w:gridCol w:w="1346"/>
        <w:gridCol w:w="1346"/>
      </w:tblGrid>
      <w:tr w:rsidR="006C416F" w:rsidRPr="006C416F" w:rsidTr="00A824CF">
        <w:trPr>
          <w:trHeight w:val="270"/>
          <w:jc w:val="center"/>
        </w:trPr>
        <w:tc>
          <w:tcPr>
            <w:tcW w:w="22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类型</w:t>
            </w:r>
          </w:p>
        </w:tc>
        <w:tc>
          <w:tcPr>
            <w:tcW w:w="2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计量单位</w:t>
            </w:r>
          </w:p>
        </w:tc>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一类区</w:t>
            </w:r>
          </w:p>
        </w:tc>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二类区</w:t>
            </w:r>
          </w:p>
        </w:tc>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三类区</w:t>
            </w:r>
          </w:p>
        </w:tc>
      </w:tr>
      <w:tr w:rsidR="006C416F" w:rsidRPr="006C416F" w:rsidTr="00A824CF">
        <w:trPr>
          <w:trHeight w:val="270"/>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b/>
                <w:kern w:val="0"/>
                <w:szCs w:val="21"/>
              </w:rPr>
            </w:pPr>
          </w:p>
        </w:tc>
        <w:tc>
          <w:tcPr>
            <w:tcW w:w="2418"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b/>
                <w:kern w:val="0"/>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下限</w:t>
            </w:r>
          </w:p>
        </w:tc>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下限</w:t>
            </w:r>
          </w:p>
        </w:tc>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下限</w:t>
            </w:r>
          </w:p>
        </w:tc>
      </w:tr>
      <w:tr w:rsidR="006C416F" w:rsidRPr="006C416F" w:rsidTr="00A824CF">
        <w:trPr>
          <w:trHeight w:val="270"/>
          <w:jc w:val="center"/>
        </w:trPr>
        <w:tc>
          <w:tcPr>
            <w:tcW w:w="2259" w:type="dxa"/>
            <w:tcBorders>
              <w:top w:val="single" w:sz="4" w:space="0" w:color="auto"/>
              <w:left w:val="single" w:sz="4" w:space="0" w:color="auto"/>
              <w:bottom w:val="single" w:sz="4" w:space="0" w:color="auto"/>
              <w:right w:val="single" w:sz="4" w:space="0" w:color="auto"/>
            </w:tcBorders>
            <w:vAlign w:val="center"/>
          </w:tcPr>
          <w:p w:rsidR="005D2813" w:rsidRPr="006C416F" w:rsidRDefault="005D2813" w:rsidP="000F1EA6">
            <w:pPr>
              <w:widowControl/>
              <w:jc w:val="left"/>
              <w:rPr>
                <w:rFonts w:ascii="宋体" w:hAnsi="宋体" w:cs="宋体"/>
                <w:b/>
                <w:kern w:val="0"/>
                <w:szCs w:val="21"/>
              </w:rPr>
            </w:pPr>
            <w:r w:rsidRPr="006C416F">
              <w:rPr>
                <w:rFonts w:ascii="宋体" w:hAnsi="宋体" w:cs="宋体" w:hint="eastAsia"/>
                <w:kern w:val="0"/>
                <w:szCs w:val="21"/>
              </w:rPr>
              <w:t>新型产业用地（M0）</w:t>
            </w:r>
          </w:p>
        </w:tc>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2813" w:rsidRPr="006C416F" w:rsidRDefault="005D2813" w:rsidP="00A824CF">
            <w:pPr>
              <w:widowControl/>
              <w:jc w:val="center"/>
              <w:rPr>
                <w:rFonts w:ascii="宋体" w:hAnsi="宋体" w:cs="宋体"/>
                <w:b/>
                <w:kern w:val="0"/>
                <w:szCs w:val="21"/>
              </w:rPr>
            </w:pPr>
            <w:r w:rsidRPr="006C416F">
              <w:rPr>
                <w:rFonts w:ascii="宋体" w:hAnsi="宋体" w:cs="宋体" w:hint="eastAsia"/>
                <w:kern w:val="0"/>
                <w:szCs w:val="21"/>
              </w:rPr>
              <w:t>车位/100m²建筑面积</w:t>
            </w:r>
          </w:p>
        </w:tc>
        <w:tc>
          <w:tcPr>
            <w:tcW w:w="13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kern w:val="0"/>
                <w:szCs w:val="21"/>
              </w:rPr>
              <w:t>0</w:t>
            </w:r>
            <w:r w:rsidRPr="006C416F">
              <w:rPr>
                <w:rFonts w:ascii="宋体" w:hAnsi="宋体" w:cs="宋体"/>
                <w:kern w:val="0"/>
                <w:szCs w:val="21"/>
              </w:rPr>
              <w:t>.8</w:t>
            </w:r>
          </w:p>
        </w:tc>
        <w:tc>
          <w:tcPr>
            <w:tcW w:w="13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kern w:val="0"/>
                <w:szCs w:val="21"/>
              </w:rPr>
              <w:t>0</w:t>
            </w:r>
            <w:r w:rsidRPr="006C416F">
              <w:rPr>
                <w:rFonts w:ascii="宋体" w:hAnsi="宋体" w:cs="宋体"/>
                <w:kern w:val="0"/>
                <w:szCs w:val="21"/>
              </w:rPr>
              <w:t>.8</w:t>
            </w:r>
          </w:p>
        </w:tc>
        <w:tc>
          <w:tcPr>
            <w:tcW w:w="13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kern w:val="0"/>
                <w:szCs w:val="21"/>
              </w:rPr>
              <w:t>0</w:t>
            </w:r>
            <w:r w:rsidRPr="006C416F">
              <w:rPr>
                <w:rFonts w:ascii="宋体" w:hAnsi="宋体" w:cs="宋体"/>
                <w:kern w:val="0"/>
                <w:szCs w:val="21"/>
              </w:rPr>
              <w:t>.8</w:t>
            </w:r>
          </w:p>
        </w:tc>
      </w:tr>
      <w:tr w:rsidR="006C416F" w:rsidRPr="006C416F" w:rsidTr="00A824CF">
        <w:trPr>
          <w:trHeight w:val="270"/>
          <w:jc w:val="center"/>
        </w:trPr>
        <w:tc>
          <w:tcPr>
            <w:tcW w:w="2259" w:type="dxa"/>
            <w:tcBorders>
              <w:top w:val="single" w:sz="4" w:space="0" w:color="auto"/>
              <w:left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厂房</w:t>
            </w:r>
          </w:p>
        </w:tc>
        <w:tc>
          <w:tcPr>
            <w:tcW w:w="2418" w:type="dxa"/>
            <w:tcBorders>
              <w:top w:val="single" w:sz="4" w:space="0" w:color="auto"/>
              <w:left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134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134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0.4</w:t>
            </w:r>
          </w:p>
        </w:tc>
        <w:tc>
          <w:tcPr>
            <w:tcW w:w="134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0.4</w:t>
            </w:r>
          </w:p>
        </w:tc>
      </w:tr>
      <w:tr w:rsidR="006C416F" w:rsidRPr="006C416F" w:rsidTr="00A824CF">
        <w:trPr>
          <w:trHeight w:val="270"/>
          <w:jc w:val="center"/>
        </w:trPr>
        <w:tc>
          <w:tcPr>
            <w:tcW w:w="2259"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仓储</w:t>
            </w:r>
          </w:p>
        </w:tc>
        <w:tc>
          <w:tcPr>
            <w:tcW w:w="2418"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134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134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0.4</w:t>
            </w:r>
          </w:p>
        </w:tc>
        <w:tc>
          <w:tcPr>
            <w:tcW w:w="134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0.4</w:t>
            </w:r>
          </w:p>
        </w:tc>
      </w:tr>
    </w:tbl>
    <w:p w:rsidR="005D2813" w:rsidRPr="006C416F" w:rsidRDefault="005D2813" w:rsidP="005D2813">
      <w:pPr>
        <w:spacing w:line="320" w:lineRule="exact"/>
        <w:rPr>
          <w:rFonts w:ascii="仿宋_GB2312" w:eastAsia="仿宋_GB2312"/>
          <w:spacing w:val="-6"/>
          <w:szCs w:val="21"/>
        </w:rPr>
      </w:pPr>
      <w:bookmarkStart w:id="3" w:name="_Toc461174936"/>
      <w:r w:rsidRPr="006C416F">
        <w:rPr>
          <w:rFonts w:ascii="仿宋_GB2312" w:eastAsia="仿宋_GB2312" w:hint="eastAsia"/>
          <w:spacing w:val="-6"/>
          <w:szCs w:val="21"/>
        </w:rPr>
        <w:t>说明：工业和仓储类配建指标主要</w:t>
      </w:r>
      <w:proofErr w:type="gramStart"/>
      <w:r w:rsidRPr="006C416F">
        <w:rPr>
          <w:rFonts w:ascii="仿宋_GB2312" w:eastAsia="仿宋_GB2312" w:hint="eastAsia"/>
          <w:spacing w:val="-6"/>
          <w:szCs w:val="21"/>
        </w:rPr>
        <w:t>供工业</w:t>
      </w:r>
      <w:proofErr w:type="gramEnd"/>
      <w:r w:rsidRPr="006C416F">
        <w:rPr>
          <w:rFonts w:ascii="仿宋_GB2312" w:eastAsia="仿宋_GB2312" w:hint="eastAsia"/>
          <w:spacing w:val="-6"/>
          <w:szCs w:val="21"/>
        </w:rPr>
        <w:t>和仓储用地密集区项目审批时使用，中心城区工业及仓储类项目可参考使用。</w:t>
      </w:r>
    </w:p>
    <w:p w:rsidR="005D2813" w:rsidRPr="006C416F" w:rsidRDefault="005D2813" w:rsidP="005D2813">
      <w:pPr>
        <w:spacing w:beforeLines="50" w:before="156" w:line="360" w:lineRule="auto"/>
        <w:ind w:firstLineChars="200" w:firstLine="480"/>
        <w:rPr>
          <w:rFonts w:asciiTheme="minorEastAsia" w:hAnsiTheme="minorEastAsia"/>
          <w:sz w:val="24"/>
        </w:rPr>
      </w:pPr>
      <w:r w:rsidRPr="006C416F">
        <w:rPr>
          <w:rFonts w:asciiTheme="minorEastAsia" w:hAnsiTheme="minorEastAsia" w:hint="eastAsia"/>
          <w:sz w:val="24"/>
        </w:rPr>
        <w:t>4.</w:t>
      </w:r>
      <w:hyperlink r:id="rId10" w:anchor="_Toc309894146" w:history="1">
        <w:r w:rsidRPr="006C416F">
          <w:rPr>
            <w:rFonts w:asciiTheme="minorEastAsia" w:hAnsiTheme="minorEastAsia" w:hint="eastAsia"/>
            <w:sz w:val="24"/>
          </w:rPr>
          <w:t>特殊停车位配建</w:t>
        </w:r>
        <w:bookmarkEnd w:id="3"/>
        <w:r w:rsidRPr="006C416F">
          <w:rPr>
            <w:rFonts w:asciiTheme="minorEastAsia" w:hAnsiTheme="minorEastAsia" w:hint="eastAsia"/>
            <w:sz w:val="24"/>
          </w:rPr>
          <w:t>指标</w:t>
        </w:r>
      </w:hyperlink>
    </w:p>
    <w:p w:rsidR="005D2813" w:rsidRPr="006C416F" w:rsidRDefault="005D2813" w:rsidP="005D2813">
      <w:pPr>
        <w:spacing w:line="360" w:lineRule="auto"/>
        <w:ind w:firstLineChars="200" w:firstLine="480"/>
        <w:rPr>
          <w:rFonts w:asciiTheme="minorEastAsia" w:hAnsiTheme="minorEastAsia"/>
          <w:sz w:val="24"/>
        </w:rPr>
      </w:pPr>
      <w:r w:rsidRPr="006C416F">
        <w:rPr>
          <w:rFonts w:asciiTheme="minorEastAsia" w:hAnsiTheme="minorEastAsia" w:hint="eastAsia"/>
          <w:sz w:val="24"/>
        </w:rPr>
        <w:t>特殊车位停车位配建指标不应小于下表的规定。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1"/>
        <w:gridCol w:w="2697"/>
        <w:gridCol w:w="1953"/>
        <w:gridCol w:w="551"/>
        <w:gridCol w:w="556"/>
        <w:gridCol w:w="566"/>
        <w:gridCol w:w="1226"/>
      </w:tblGrid>
      <w:tr w:rsidR="006C416F" w:rsidRPr="006C416F" w:rsidTr="009D6936">
        <w:trPr>
          <w:trHeight w:val="312"/>
          <w:jc w:val="center"/>
        </w:trPr>
        <w:tc>
          <w:tcPr>
            <w:tcW w:w="356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建筑物类型</w:t>
            </w:r>
          </w:p>
        </w:tc>
        <w:tc>
          <w:tcPr>
            <w:tcW w:w="485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特殊车位配建指标</w:t>
            </w:r>
          </w:p>
        </w:tc>
      </w:tr>
      <w:tr w:rsidR="006C416F" w:rsidRPr="006C416F" w:rsidTr="009D6936">
        <w:trPr>
          <w:trHeight w:val="312"/>
          <w:jc w:val="center"/>
        </w:trPr>
        <w:tc>
          <w:tcPr>
            <w:tcW w:w="3569" w:type="dxa"/>
            <w:gridSpan w:val="2"/>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b/>
                <w:kern w:val="0"/>
                <w:szCs w:val="21"/>
              </w:rPr>
            </w:pPr>
          </w:p>
        </w:tc>
        <w:tc>
          <w:tcPr>
            <w:tcW w:w="4852" w:type="dxa"/>
            <w:gridSpan w:val="5"/>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b/>
                <w:kern w:val="0"/>
                <w:szCs w:val="21"/>
              </w:rPr>
            </w:pPr>
          </w:p>
        </w:tc>
      </w:tr>
      <w:tr w:rsidR="006C416F" w:rsidRPr="006C416F" w:rsidTr="009D6936">
        <w:trPr>
          <w:trHeight w:val="270"/>
          <w:jc w:val="center"/>
        </w:trPr>
        <w:tc>
          <w:tcPr>
            <w:tcW w:w="3569" w:type="dxa"/>
            <w:gridSpan w:val="2"/>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b/>
                <w:kern w:val="0"/>
                <w:szCs w:val="21"/>
              </w:rPr>
            </w:pPr>
          </w:p>
        </w:tc>
        <w:tc>
          <w:tcPr>
            <w:tcW w:w="1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单位</w:t>
            </w: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装卸</w:t>
            </w: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出租</w:t>
            </w:r>
          </w:p>
        </w:tc>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大巴</w:t>
            </w:r>
          </w:p>
        </w:tc>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无障碍车位</w:t>
            </w:r>
          </w:p>
        </w:tc>
      </w:tr>
      <w:tr w:rsidR="006C416F" w:rsidRPr="006C416F" w:rsidTr="009D6936">
        <w:trPr>
          <w:trHeight w:val="284"/>
          <w:jc w:val="center"/>
        </w:trPr>
        <w:tc>
          <w:tcPr>
            <w:tcW w:w="3569" w:type="dxa"/>
            <w:gridSpan w:val="2"/>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住宅类</w:t>
            </w:r>
          </w:p>
        </w:tc>
        <w:tc>
          <w:tcPr>
            <w:tcW w:w="1953" w:type="dxa"/>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551" w:type="dxa"/>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556" w:type="dxa"/>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566" w:type="dxa"/>
            <w:tcBorders>
              <w:top w:val="single" w:sz="4" w:space="0" w:color="auto"/>
              <w:left w:val="single" w:sz="4" w:space="0" w:color="auto"/>
              <w:bottom w:val="single" w:sz="4" w:space="0" w:color="auto"/>
              <w:right w:val="single" w:sz="4" w:space="0" w:color="auto"/>
            </w:tcBorders>
            <w:noWrap/>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1226" w:type="dxa"/>
            <w:vMerge w:val="restart"/>
            <w:tcBorders>
              <w:top w:val="single" w:sz="4" w:space="0" w:color="auto"/>
              <w:left w:val="single" w:sz="4" w:space="0" w:color="auto"/>
              <w:right w:val="single" w:sz="4" w:space="0" w:color="auto"/>
            </w:tcBorders>
            <w:noWrap/>
            <w:vAlign w:val="center"/>
          </w:tcPr>
          <w:p w:rsidR="005D2813" w:rsidRPr="006C416F" w:rsidRDefault="005D2813" w:rsidP="000F1EA6">
            <w:pPr>
              <w:jc w:val="center"/>
              <w:rPr>
                <w:rFonts w:ascii="宋体" w:hAnsi="宋体" w:cs="宋体"/>
                <w:kern w:val="0"/>
                <w:szCs w:val="21"/>
              </w:rPr>
            </w:pPr>
            <w:r w:rsidRPr="006C416F">
              <w:t>按照停车位总数</w:t>
            </w:r>
            <w:r w:rsidRPr="006C416F">
              <w:rPr>
                <w:rFonts w:hint="eastAsia"/>
              </w:rPr>
              <w:t>2%</w:t>
            </w:r>
            <w:r w:rsidRPr="006C416F">
              <w:t>的比例设置</w:t>
            </w:r>
            <w:r w:rsidRPr="006C416F">
              <w:rPr>
                <w:rFonts w:hint="eastAsia"/>
              </w:rPr>
              <w:t>，尾数不足</w:t>
            </w:r>
            <w:r w:rsidRPr="006C416F">
              <w:rPr>
                <w:rFonts w:hint="eastAsia"/>
              </w:rPr>
              <w:t>1</w:t>
            </w:r>
            <w:r w:rsidRPr="006C416F">
              <w:rPr>
                <w:rFonts w:hint="eastAsia"/>
              </w:rPr>
              <w:t>个的按</w:t>
            </w:r>
            <w:r w:rsidRPr="006C416F">
              <w:rPr>
                <w:rFonts w:hint="eastAsia"/>
              </w:rPr>
              <w:t>1</w:t>
            </w:r>
            <w:r w:rsidRPr="006C416F">
              <w:rPr>
                <w:rFonts w:hint="eastAsia"/>
              </w:rPr>
              <w:t>个计算</w:t>
            </w:r>
          </w:p>
        </w:tc>
      </w:tr>
      <w:tr w:rsidR="006C416F" w:rsidRPr="006C416F" w:rsidTr="009D6936">
        <w:trPr>
          <w:trHeight w:val="284"/>
          <w:jc w:val="center"/>
        </w:trPr>
        <w:tc>
          <w:tcPr>
            <w:tcW w:w="3569" w:type="dxa"/>
            <w:gridSpan w:val="2"/>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商务办公</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3.0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1226" w:type="dxa"/>
            <w:vMerge/>
            <w:tcBorders>
              <w:left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p>
        </w:tc>
      </w:tr>
      <w:tr w:rsidR="006C416F" w:rsidRPr="006C416F" w:rsidTr="009D6936">
        <w:trPr>
          <w:trHeight w:val="284"/>
          <w:jc w:val="center"/>
        </w:trPr>
        <w:tc>
          <w:tcPr>
            <w:tcW w:w="872" w:type="dxa"/>
            <w:vMerge w:val="restar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商业类</w:t>
            </w: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rPr>
                <w:rFonts w:ascii="宋体" w:hAnsi="宋体" w:cs="宋体"/>
                <w:kern w:val="0"/>
                <w:szCs w:val="21"/>
              </w:rPr>
            </w:pPr>
            <w:r w:rsidRPr="006C416F">
              <w:rPr>
                <w:rFonts w:ascii="宋体" w:hAnsi="宋体" w:cs="宋体" w:hint="eastAsia"/>
                <w:kern w:val="0"/>
                <w:szCs w:val="21"/>
              </w:rPr>
              <w:t>普通商业（50000m²及以下）</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3.0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普通商业（50000m²以上）</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3.0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大型超市（3000m²以上）</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5.0</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5.0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餐饮娱乐</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社区农贸市场</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5.0</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其他市场</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星级酒店</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hideMark/>
          </w:tcPr>
          <w:p w:rsidR="005D2813" w:rsidRPr="006C416F" w:rsidRDefault="005D2813" w:rsidP="000F1EA6">
            <w:r w:rsidRPr="006C416F">
              <w:rPr>
                <w:rFonts w:ascii="宋体" w:hAnsi="宋体" w:cs="宋体" w:hint="eastAsia"/>
                <w:kern w:val="0"/>
                <w:szCs w:val="21"/>
              </w:rPr>
              <w:t>1.0</w:t>
            </w:r>
          </w:p>
        </w:tc>
        <w:tc>
          <w:tcPr>
            <w:tcW w:w="556" w:type="dxa"/>
            <w:tcBorders>
              <w:top w:val="single" w:sz="4" w:space="0" w:color="auto"/>
              <w:left w:val="single" w:sz="4" w:space="0" w:color="auto"/>
              <w:bottom w:val="single" w:sz="4" w:space="0" w:color="auto"/>
              <w:right w:val="single" w:sz="4" w:space="0" w:color="auto"/>
            </w:tcBorders>
            <w:noWrap/>
            <w:hideMark/>
          </w:tcPr>
          <w:p w:rsidR="005D2813" w:rsidRPr="006C416F" w:rsidRDefault="005D2813" w:rsidP="000F1EA6">
            <w:r w:rsidRPr="006C416F">
              <w:rPr>
                <w:rFonts w:ascii="宋体" w:hAnsi="宋体" w:cs="宋体" w:hint="eastAsia"/>
                <w:kern w:val="0"/>
                <w:szCs w:val="21"/>
              </w:rPr>
              <w:t>1.0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一般酒店</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0.5</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val="restar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lastRenderedPageBreak/>
              <w:t>文化设施类</w:t>
            </w: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博物馆、科技馆、图书馆</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3.0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展览馆</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5.0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3.0</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会议中心</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5.0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活动中心</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5.0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一类体育场馆</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二类体育场馆</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影剧院</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val="restar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医疗设施类</w:t>
            </w: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综合医院</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专科医院</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2.0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社区医疗</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其他医疗用地</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szCs w:val="21"/>
              </w:rPr>
            </w:pPr>
            <w:r w:rsidRPr="006C416F">
              <w:rPr>
                <w:rFonts w:ascii="宋体" w:hAnsi="宋体" w:cs="宋体" w:hint="eastAsia"/>
                <w:kern w:val="0"/>
                <w:szCs w:val="21"/>
              </w:rPr>
              <w:t>10000m²建筑面积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val="restar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公园类</w:t>
            </w: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城市公园</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10000m²占地面积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1226" w:type="dxa"/>
            <w:vMerge/>
            <w:tcBorders>
              <w:left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r w:rsidR="006C416F" w:rsidRPr="006C416F" w:rsidTr="009D6936">
        <w:trPr>
          <w:trHeight w:val="284"/>
          <w:jc w:val="center"/>
        </w:trPr>
        <w:tc>
          <w:tcPr>
            <w:tcW w:w="872" w:type="dxa"/>
            <w:vMerge/>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c>
          <w:tcPr>
            <w:tcW w:w="2697"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主题公园、游乐园</w:t>
            </w:r>
          </w:p>
        </w:tc>
        <w:tc>
          <w:tcPr>
            <w:tcW w:w="195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10000m²占地面积</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1.0</w:t>
            </w:r>
          </w:p>
        </w:tc>
        <w:tc>
          <w:tcPr>
            <w:tcW w:w="1226" w:type="dxa"/>
            <w:vMerge/>
            <w:tcBorders>
              <w:left w:val="single" w:sz="4" w:space="0" w:color="auto"/>
              <w:bottom w:val="single" w:sz="4" w:space="0" w:color="auto"/>
              <w:right w:val="single" w:sz="4" w:space="0" w:color="auto"/>
            </w:tcBorders>
            <w:vAlign w:val="center"/>
            <w:hideMark/>
          </w:tcPr>
          <w:p w:rsidR="005D2813" w:rsidRPr="006C416F" w:rsidRDefault="005D2813" w:rsidP="000F1EA6">
            <w:pPr>
              <w:widowControl/>
              <w:jc w:val="left"/>
              <w:rPr>
                <w:rFonts w:ascii="宋体" w:hAnsi="宋体" w:cs="宋体"/>
                <w:kern w:val="0"/>
                <w:szCs w:val="21"/>
              </w:rPr>
            </w:pPr>
          </w:p>
        </w:tc>
      </w:tr>
    </w:tbl>
    <w:p w:rsidR="005D2813" w:rsidRPr="006C416F" w:rsidRDefault="005D2813" w:rsidP="005D2813">
      <w:pPr>
        <w:spacing w:line="320" w:lineRule="exact"/>
        <w:rPr>
          <w:rFonts w:ascii="仿宋_GB2312" w:eastAsia="仿宋_GB2312"/>
          <w:spacing w:val="-6"/>
          <w:szCs w:val="21"/>
        </w:rPr>
      </w:pPr>
      <w:r w:rsidRPr="006C416F">
        <w:rPr>
          <w:rFonts w:ascii="仿宋_GB2312" w:eastAsia="仿宋_GB2312" w:hint="eastAsia"/>
          <w:spacing w:val="-6"/>
          <w:szCs w:val="21"/>
        </w:rPr>
        <w:t>说明：（</w:t>
      </w:r>
      <w:r w:rsidRPr="006C416F">
        <w:rPr>
          <w:rFonts w:ascii="仿宋_GB2312" w:eastAsia="仿宋_GB2312"/>
          <w:spacing w:val="-6"/>
          <w:szCs w:val="21"/>
        </w:rPr>
        <w:t>1</w:t>
      </w:r>
      <w:r w:rsidRPr="006C416F">
        <w:rPr>
          <w:rFonts w:ascii="仿宋_GB2312" w:eastAsia="仿宋_GB2312" w:hint="eastAsia"/>
          <w:spacing w:val="-6"/>
          <w:szCs w:val="21"/>
        </w:rPr>
        <w:t>）特殊车辆配建停车位数量时，不应考虑停车分区和轨道站点的影响。</w:t>
      </w:r>
    </w:p>
    <w:p w:rsidR="005D2813" w:rsidRPr="006C416F" w:rsidRDefault="005D2813" w:rsidP="005D2813">
      <w:pPr>
        <w:spacing w:line="320" w:lineRule="exact"/>
        <w:rPr>
          <w:rFonts w:ascii="仿宋_GB2312" w:eastAsia="仿宋_GB2312"/>
          <w:spacing w:val="-6"/>
          <w:szCs w:val="21"/>
        </w:rPr>
      </w:pPr>
      <w:r w:rsidRPr="006C416F">
        <w:rPr>
          <w:rFonts w:ascii="仿宋_GB2312" w:eastAsia="仿宋_GB2312" w:hint="eastAsia"/>
          <w:spacing w:val="-6"/>
          <w:szCs w:val="21"/>
        </w:rPr>
        <w:t>（</w:t>
      </w:r>
      <w:r w:rsidRPr="006C416F">
        <w:rPr>
          <w:rFonts w:ascii="仿宋_GB2312" w:eastAsia="仿宋_GB2312"/>
          <w:spacing w:val="-6"/>
          <w:szCs w:val="21"/>
        </w:rPr>
        <w:t>2</w:t>
      </w:r>
      <w:r w:rsidRPr="006C416F">
        <w:rPr>
          <w:rFonts w:ascii="仿宋_GB2312" w:eastAsia="仿宋_GB2312" w:hint="eastAsia"/>
          <w:spacing w:val="-6"/>
          <w:szCs w:val="21"/>
        </w:rPr>
        <w:t>）特殊车辆停车位不得按照车型折算计入机动车配建指标。</w:t>
      </w:r>
    </w:p>
    <w:p w:rsidR="005D2813" w:rsidRPr="006C416F" w:rsidRDefault="005D2813" w:rsidP="005D2813">
      <w:pPr>
        <w:spacing w:line="320" w:lineRule="exact"/>
        <w:rPr>
          <w:rFonts w:ascii="仿宋_GB2312" w:eastAsia="仿宋_GB2312"/>
          <w:spacing w:val="-6"/>
          <w:szCs w:val="21"/>
        </w:rPr>
      </w:pPr>
      <w:r w:rsidRPr="006C416F">
        <w:rPr>
          <w:rFonts w:ascii="仿宋_GB2312" w:eastAsia="仿宋_GB2312" w:hint="eastAsia"/>
          <w:spacing w:val="-6"/>
          <w:szCs w:val="21"/>
        </w:rPr>
        <w:t>（</w:t>
      </w:r>
      <w:r w:rsidRPr="006C416F">
        <w:rPr>
          <w:rFonts w:ascii="仿宋_GB2312" w:eastAsia="仿宋_GB2312"/>
          <w:spacing w:val="-6"/>
          <w:szCs w:val="21"/>
        </w:rPr>
        <w:t>3</w:t>
      </w:r>
      <w:r w:rsidRPr="006C416F">
        <w:rPr>
          <w:rFonts w:ascii="仿宋_GB2312" w:eastAsia="仿宋_GB2312" w:hint="eastAsia"/>
          <w:spacing w:val="-6"/>
          <w:szCs w:val="21"/>
        </w:rPr>
        <w:t>）中等专业学校用地、中小学用地建设项目应在学校用地范围内设置</w:t>
      </w:r>
      <w:r w:rsidRPr="006C416F">
        <w:rPr>
          <w:rFonts w:ascii="仿宋_GB2312" w:eastAsia="仿宋_GB2312"/>
          <w:spacing w:val="-6"/>
          <w:szCs w:val="21"/>
        </w:rPr>
        <w:t>3</w:t>
      </w:r>
      <w:r w:rsidRPr="006C416F">
        <w:rPr>
          <w:rFonts w:ascii="仿宋_GB2312" w:eastAsia="仿宋_GB2312" w:hint="eastAsia"/>
          <w:spacing w:val="-6"/>
          <w:szCs w:val="21"/>
        </w:rPr>
        <w:t>~</w:t>
      </w:r>
      <w:r w:rsidRPr="006C416F">
        <w:rPr>
          <w:rFonts w:ascii="仿宋_GB2312" w:eastAsia="仿宋_GB2312"/>
          <w:spacing w:val="-6"/>
          <w:szCs w:val="21"/>
        </w:rPr>
        <w:t>5</w:t>
      </w:r>
      <w:r w:rsidRPr="006C416F">
        <w:rPr>
          <w:rFonts w:ascii="仿宋_GB2312" w:eastAsia="仿宋_GB2312" w:hint="eastAsia"/>
          <w:spacing w:val="-6"/>
          <w:szCs w:val="21"/>
        </w:rPr>
        <w:t>个校车落客车位。</w:t>
      </w:r>
    </w:p>
    <w:p w:rsidR="005D2813" w:rsidRPr="006C416F" w:rsidRDefault="005D2813" w:rsidP="005D2813">
      <w:pPr>
        <w:spacing w:line="320" w:lineRule="exact"/>
        <w:rPr>
          <w:rFonts w:ascii="仿宋_GB2312" w:eastAsia="仿宋_GB2312"/>
          <w:spacing w:val="-6"/>
          <w:szCs w:val="21"/>
        </w:rPr>
      </w:pPr>
      <w:r w:rsidRPr="006C416F">
        <w:rPr>
          <w:rFonts w:ascii="仿宋_GB2312" w:eastAsia="仿宋_GB2312" w:hint="eastAsia"/>
          <w:spacing w:val="-6"/>
          <w:szCs w:val="21"/>
        </w:rPr>
        <w:t>（</w:t>
      </w:r>
      <w:r w:rsidRPr="006C416F">
        <w:rPr>
          <w:rFonts w:ascii="仿宋_GB2312" w:eastAsia="仿宋_GB2312"/>
          <w:spacing w:val="-6"/>
          <w:szCs w:val="21"/>
        </w:rPr>
        <w:t>4</w:t>
      </w:r>
      <w:r w:rsidRPr="006C416F">
        <w:rPr>
          <w:rFonts w:ascii="仿宋_GB2312" w:eastAsia="仿宋_GB2312" w:hint="eastAsia"/>
          <w:spacing w:val="-6"/>
          <w:szCs w:val="21"/>
        </w:rPr>
        <w:t>）综合医院、专科医院等建筑物应设置不少于</w:t>
      </w:r>
      <w:r w:rsidRPr="006C416F">
        <w:rPr>
          <w:rFonts w:ascii="仿宋_GB2312" w:eastAsia="仿宋_GB2312"/>
          <w:spacing w:val="-6"/>
          <w:szCs w:val="21"/>
        </w:rPr>
        <w:t>5</w:t>
      </w:r>
      <w:r w:rsidRPr="006C416F">
        <w:rPr>
          <w:rFonts w:ascii="仿宋_GB2312" w:eastAsia="仿宋_GB2312" w:hint="eastAsia"/>
          <w:spacing w:val="-6"/>
          <w:szCs w:val="21"/>
        </w:rPr>
        <w:t>个临时性落客车位，并根据需要设置救护车位。</w:t>
      </w:r>
      <w:bookmarkStart w:id="4" w:name="_Toc461174937"/>
    </w:p>
    <w:p w:rsidR="005D2813" w:rsidRPr="006C416F" w:rsidRDefault="005D2813" w:rsidP="005D2813">
      <w:pPr>
        <w:spacing w:line="320" w:lineRule="exact"/>
        <w:rPr>
          <w:rFonts w:ascii="仿宋_GB2312" w:eastAsia="仿宋_GB2312"/>
          <w:spacing w:val="-6"/>
          <w:szCs w:val="21"/>
        </w:rPr>
      </w:pPr>
      <w:r w:rsidRPr="006C416F">
        <w:rPr>
          <w:rFonts w:ascii="仿宋_GB2312" w:eastAsia="仿宋_GB2312" w:hint="eastAsia"/>
          <w:spacing w:val="-6"/>
          <w:szCs w:val="21"/>
        </w:rPr>
        <w:t>（</w:t>
      </w:r>
      <w:r w:rsidRPr="006C416F">
        <w:rPr>
          <w:rFonts w:ascii="仿宋_GB2312" w:eastAsia="仿宋_GB2312"/>
          <w:spacing w:val="-6"/>
          <w:szCs w:val="21"/>
        </w:rPr>
        <w:t>5</w:t>
      </w:r>
      <w:r w:rsidRPr="006C416F">
        <w:rPr>
          <w:rFonts w:ascii="仿宋_GB2312" w:eastAsia="仿宋_GB2312" w:hint="eastAsia"/>
          <w:spacing w:val="-6"/>
          <w:szCs w:val="21"/>
        </w:rPr>
        <w:t>）应考虑各类特殊车位的合理尺寸。</w:t>
      </w:r>
    </w:p>
    <w:p w:rsidR="005D2813" w:rsidRPr="006C416F" w:rsidRDefault="005D2813" w:rsidP="005D2813">
      <w:pPr>
        <w:spacing w:beforeLines="50" w:before="156" w:line="360" w:lineRule="auto"/>
        <w:ind w:firstLineChars="200" w:firstLine="480"/>
        <w:rPr>
          <w:rFonts w:asciiTheme="minorEastAsia" w:hAnsiTheme="minorEastAsia"/>
          <w:sz w:val="24"/>
        </w:rPr>
      </w:pPr>
      <w:r w:rsidRPr="006C416F">
        <w:rPr>
          <w:rFonts w:asciiTheme="minorEastAsia" w:hAnsiTheme="minorEastAsia" w:hint="eastAsia"/>
          <w:sz w:val="24"/>
        </w:rPr>
        <w:t>5.非机动车标准车位配建指标</w:t>
      </w:r>
      <w:bookmarkEnd w:id="4"/>
    </w:p>
    <w:p w:rsidR="005D2813" w:rsidRPr="006C416F" w:rsidRDefault="005D2813" w:rsidP="005D2813">
      <w:pPr>
        <w:spacing w:line="360" w:lineRule="auto"/>
        <w:ind w:firstLineChars="200" w:firstLine="480"/>
        <w:rPr>
          <w:rFonts w:asciiTheme="minorEastAsia" w:hAnsiTheme="minorEastAsia"/>
          <w:sz w:val="24"/>
        </w:rPr>
      </w:pPr>
      <w:r w:rsidRPr="006C416F">
        <w:rPr>
          <w:rFonts w:asciiTheme="minorEastAsia" w:hAnsiTheme="minorEastAsia" w:hint="eastAsia"/>
          <w:sz w:val="24"/>
        </w:rPr>
        <w:t>涉及非机动车交通的区域，应参照下表的规定配建非机动车停车设施。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43"/>
        <w:gridCol w:w="1442"/>
        <w:gridCol w:w="2127"/>
        <w:gridCol w:w="2340"/>
      </w:tblGrid>
      <w:tr w:rsidR="006C416F" w:rsidRPr="006C416F" w:rsidTr="009D6936">
        <w:trPr>
          <w:trHeight w:val="340"/>
          <w:jc w:val="center"/>
        </w:trPr>
        <w:tc>
          <w:tcPr>
            <w:tcW w:w="56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计量单位</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2813" w:rsidRPr="006C416F" w:rsidRDefault="005D2813" w:rsidP="000F1EA6">
            <w:pPr>
              <w:widowControl/>
              <w:jc w:val="center"/>
              <w:rPr>
                <w:rFonts w:ascii="宋体" w:hAnsi="宋体" w:cs="宋体"/>
                <w:b/>
                <w:kern w:val="0"/>
                <w:szCs w:val="21"/>
              </w:rPr>
            </w:pPr>
            <w:r w:rsidRPr="006C416F">
              <w:rPr>
                <w:rFonts w:ascii="宋体" w:hAnsi="宋体" w:cs="宋体" w:hint="eastAsia"/>
                <w:b/>
                <w:kern w:val="0"/>
                <w:szCs w:val="21"/>
              </w:rPr>
              <w:t>非机动车位配建指标</w:t>
            </w:r>
          </w:p>
        </w:tc>
      </w:tr>
      <w:tr w:rsidR="006C416F" w:rsidRPr="006C416F" w:rsidTr="009D6936">
        <w:trPr>
          <w:trHeight w:val="284"/>
          <w:jc w:val="center"/>
        </w:trPr>
        <w:tc>
          <w:tcPr>
            <w:tcW w:w="2043" w:type="dxa"/>
            <w:tcBorders>
              <w:top w:val="single" w:sz="4" w:space="0" w:color="auto"/>
              <w:left w:val="single" w:sz="4" w:space="0" w:color="auto"/>
              <w:bottom w:val="single" w:sz="4" w:space="0" w:color="auto"/>
              <w:right w:val="single" w:sz="4" w:space="0" w:color="auto"/>
            </w:tcBorders>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居住类</w:t>
            </w:r>
          </w:p>
        </w:tc>
        <w:tc>
          <w:tcPr>
            <w:tcW w:w="3569" w:type="dxa"/>
            <w:gridSpan w:val="2"/>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车位/户</w:t>
            </w:r>
          </w:p>
        </w:tc>
        <w:tc>
          <w:tcPr>
            <w:tcW w:w="2340" w:type="dxa"/>
            <w:tcBorders>
              <w:top w:val="single" w:sz="4" w:space="0" w:color="auto"/>
              <w:left w:val="single" w:sz="4" w:space="0" w:color="auto"/>
              <w:bottom w:val="single" w:sz="4" w:space="0" w:color="auto"/>
              <w:right w:val="single" w:sz="4" w:space="0" w:color="auto"/>
            </w:tcBorders>
            <w:vAlign w:val="center"/>
            <w:hideMark/>
          </w:tcPr>
          <w:p w:rsidR="005D2813" w:rsidRPr="006C416F" w:rsidRDefault="002B31D4" w:rsidP="000F1EA6">
            <w:pPr>
              <w:widowControl/>
              <w:jc w:val="center"/>
              <w:rPr>
                <w:rFonts w:ascii="宋体" w:hAnsi="宋体" w:cs="宋体"/>
                <w:kern w:val="0"/>
                <w:szCs w:val="21"/>
              </w:rPr>
            </w:pPr>
            <w:r w:rsidRPr="006C416F">
              <w:rPr>
                <w:rFonts w:ascii="宋体" w:hAnsi="宋体" w:cs="宋体" w:hint="eastAsia"/>
                <w:kern w:val="0"/>
                <w:szCs w:val="21"/>
              </w:rPr>
              <w:t>2</w:t>
            </w:r>
          </w:p>
        </w:tc>
      </w:tr>
      <w:tr w:rsidR="006C416F" w:rsidRPr="006C416F" w:rsidTr="009D6936">
        <w:trPr>
          <w:trHeight w:val="284"/>
          <w:jc w:val="center"/>
        </w:trPr>
        <w:tc>
          <w:tcPr>
            <w:tcW w:w="204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办公类</w:t>
            </w:r>
          </w:p>
        </w:tc>
        <w:tc>
          <w:tcPr>
            <w:tcW w:w="3569" w:type="dxa"/>
            <w:gridSpan w:val="2"/>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2B31D4" w:rsidP="000F1EA6">
            <w:pPr>
              <w:widowControl/>
              <w:jc w:val="center"/>
              <w:rPr>
                <w:rFonts w:ascii="宋体" w:hAnsi="宋体" w:cs="宋体"/>
                <w:kern w:val="0"/>
                <w:szCs w:val="21"/>
              </w:rPr>
            </w:pPr>
            <w:r w:rsidRPr="006C416F">
              <w:rPr>
                <w:rFonts w:ascii="宋体" w:hAnsi="宋体" w:cs="宋体" w:hint="eastAsia"/>
                <w:kern w:val="0"/>
                <w:szCs w:val="21"/>
              </w:rPr>
              <w:t>2</w:t>
            </w:r>
          </w:p>
        </w:tc>
      </w:tr>
      <w:tr w:rsidR="006C416F" w:rsidRPr="006C416F" w:rsidTr="009D6936">
        <w:trPr>
          <w:trHeight w:val="284"/>
          <w:jc w:val="center"/>
        </w:trPr>
        <w:tc>
          <w:tcPr>
            <w:tcW w:w="204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商业类</w:t>
            </w:r>
          </w:p>
        </w:tc>
        <w:tc>
          <w:tcPr>
            <w:tcW w:w="3569" w:type="dxa"/>
            <w:gridSpan w:val="2"/>
            <w:tcBorders>
              <w:top w:val="single" w:sz="4" w:space="0" w:color="auto"/>
              <w:left w:val="single" w:sz="4" w:space="0" w:color="auto"/>
              <w:right w:val="single" w:sz="4" w:space="0" w:color="auto"/>
            </w:tcBorders>
            <w:noWrap/>
            <w:vAlign w:val="center"/>
            <w:hideMark/>
          </w:tcPr>
          <w:p w:rsidR="005D2813" w:rsidRPr="006C416F" w:rsidRDefault="005D2813" w:rsidP="002E5878">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2340" w:type="dxa"/>
            <w:tcBorders>
              <w:top w:val="single" w:sz="4" w:space="0" w:color="auto"/>
              <w:left w:val="single" w:sz="4" w:space="0" w:color="auto"/>
              <w:right w:val="single" w:sz="4" w:space="0" w:color="auto"/>
            </w:tcBorders>
            <w:noWrap/>
            <w:vAlign w:val="center"/>
            <w:hideMark/>
          </w:tcPr>
          <w:p w:rsidR="005D2813" w:rsidRPr="006C416F" w:rsidRDefault="002B31D4" w:rsidP="000F1EA6">
            <w:pPr>
              <w:widowControl/>
              <w:jc w:val="center"/>
              <w:rPr>
                <w:rFonts w:ascii="宋体" w:hAnsi="宋体" w:cs="宋体"/>
                <w:kern w:val="0"/>
                <w:szCs w:val="21"/>
              </w:rPr>
            </w:pPr>
            <w:r w:rsidRPr="006C416F">
              <w:rPr>
                <w:rFonts w:ascii="宋体" w:hAnsi="宋体" w:cs="宋体" w:hint="eastAsia"/>
                <w:kern w:val="0"/>
                <w:szCs w:val="21"/>
              </w:rPr>
              <w:t>3</w:t>
            </w:r>
          </w:p>
        </w:tc>
      </w:tr>
      <w:tr w:rsidR="006C416F" w:rsidRPr="006C416F" w:rsidTr="009D6936">
        <w:trPr>
          <w:trHeight w:val="284"/>
          <w:jc w:val="center"/>
        </w:trPr>
        <w:tc>
          <w:tcPr>
            <w:tcW w:w="204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医院</w:t>
            </w:r>
          </w:p>
        </w:tc>
        <w:tc>
          <w:tcPr>
            <w:tcW w:w="3569" w:type="dxa"/>
            <w:gridSpan w:val="2"/>
            <w:tcBorders>
              <w:top w:val="single" w:sz="4" w:space="0" w:color="auto"/>
              <w:left w:val="single" w:sz="4" w:space="0" w:color="auto"/>
              <w:right w:val="single" w:sz="4" w:space="0" w:color="auto"/>
            </w:tcBorders>
            <w:noWrap/>
            <w:vAlign w:val="center"/>
            <w:hideMark/>
          </w:tcPr>
          <w:p w:rsidR="005D2813" w:rsidRPr="006C416F" w:rsidRDefault="005D2813" w:rsidP="002E5878">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2340" w:type="dxa"/>
            <w:tcBorders>
              <w:top w:val="single" w:sz="4" w:space="0" w:color="auto"/>
              <w:left w:val="single" w:sz="4" w:space="0" w:color="auto"/>
              <w:right w:val="single" w:sz="4" w:space="0" w:color="auto"/>
            </w:tcBorders>
            <w:noWrap/>
            <w:vAlign w:val="center"/>
            <w:hideMark/>
          </w:tcPr>
          <w:p w:rsidR="005D2813" w:rsidRPr="006C416F" w:rsidRDefault="002B31D4" w:rsidP="002E5878">
            <w:pPr>
              <w:widowControl/>
              <w:jc w:val="center"/>
              <w:rPr>
                <w:rFonts w:ascii="宋体" w:hAnsi="宋体" w:cs="宋体"/>
                <w:kern w:val="0"/>
                <w:szCs w:val="21"/>
              </w:rPr>
            </w:pPr>
            <w:r w:rsidRPr="006C416F">
              <w:rPr>
                <w:rFonts w:ascii="宋体" w:hAnsi="宋体" w:cs="宋体" w:hint="eastAsia"/>
                <w:kern w:val="0"/>
                <w:szCs w:val="21"/>
              </w:rPr>
              <w:t>3</w:t>
            </w:r>
          </w:p>
        </w:tc>
      </w:tr>
      <w:tr w:rsidR="006C416F" w:rsidRPr="006C416F" w:rsidTr="009D6936">
        <w:trPr>
          <w:trHeight w:val="284"/>
          <w:jc w:val="center"/>
        </w:trPr>
        <w:tc>
          <w:tcPr>
            <w:tcW w:w="2043" w:type="dxa"/>
            <w:vMerge w:val="restart"/>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学校</w:t>
            </w:r>
          </w:p>
        </w:tc>
        <w:tc>
          <w:tcPr>
            <w:tcW w:w="1442"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2E5878">
            <w:pPr>
              <w:widowControl/>
              <w:jc w:val="center"/>
              <w:rPr>
                <w:rFonts w:ascii="宋体" w:hAnsi="宋体" w:cs="宋体"/>
                <w:kern w:val="0"/>
                <w:szCs w:val="21"/>
              </w:rPr>
            </w:pPr>
            <w:r w:rsidRPr="006C416F">
              <w:rPr>
                <w:rFonts w:ascii="宋体" w:hAnsi="宋体" w:cs="宋体" w:hint="eastAsia"/>
                <w:kern w:val="0"/>
                <w:szCs w:val="21"/>
              </w:rPr>
              <w:t>幼儿园、小学</w:t>
            </w:r>
          </w:p>
        </w:tc>
        <w:tc>
          <w:tcPr>
            <w:tcW w:w="2127" w:type="dxa"/>
            <w:tcBorders>
              <w:top w:val="single" w:sz="4" w:space="0" w:color="auto"/>
              <w:left w:val="single" w:sz="4" w:space="0" w:color="auto"/>
              <w:bottom w:val="single" w:sz="4" w:space="0" w:color="auto"/>
              <w:right w:val="single" w:sz="4" w:space="0" w:color="auto"/>
            </w:tcBorders>
            <w:vAlign w:val="center"/>
          </w:tcPr>
          <w:p w:rsidR="005D2813" w:rsidRPr="006C416F" w:rsidRDefault="005D2813" w:rsidP="002E5878">
            <w:pPr>
              <w:widowControl/>
              <w:jc w:val="center"/>
              <w:rPr>
                <w:rFonts w:ascii="宋体" w:hAnsi="宋体" w:cs="宋体"/>
                <w:kern w:val="0"/>
                <w:szCs w:val="21"/>
              </w:rPr>
            </w:pPr>
            <w:r w:rsidRPr="006C416F">
              <w:rPr>
                <w:rFonts w:ascii="宋体" w:hAnsi="宋体" w:cs="宋体" w:hint="eastAsia"/>
                <w:kern w:val="0"/>
                <w:szCs w:val="21"/>
              </w:rPr>
              <w:t>车位/100师生</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jc w:val="center"/>
              <w:rPr>
                <w:rFonts w:ascii="宋体" w:hAnsi="宋体" w:cs="宋体"/>
                <w:kern w:val="0"/>
                <w:szCs w:val="21"/>
              </w:rPr>
            </w:pPr>
            <w:r w:rsidRPr="006C416F">
              <w:rPr>
                <w:rFonts w:ascii="宋体" w:hAnsi="宋体" w:cs="宋体" w:hint="eastAsia"/>
                <w:kern w:val="0"/>
                <w:szCs w:val="21"/>
              </w:rPr>
              <w:t>—</w:t>
            </w:r>
          </w:p>
        </w:tc>
      </w:tr>
      <w:tr w:rsidR="006C416F" w:rsidRPr="006C416F" w:rsidTr="009D6936">
        <w:trPr>
          <w:trHeight w:val="284"/>
          <w:jc w:val="center"/>
        </w:trPr>
        <w:tc>
          <w:tcPr>
            <w:tcW w:w="2043" w:type="dxa"/>
            <w:vMerge/>
            <w:tcBorders>
              <w:top w:val="single" w:sz="4" w:space="0" w:color="auto"/>
              <w:left w:val="single" w:sz="4" w:space="0" w:color="auto"/>
              <w:bottom w:val="single" w:sz="4" w:space="0" w:color="auto"/>
              <w:right w:val="single" w:sz="4" w:space="0" w:color="auto"/>
            </w:tcBorders>
            <w:vAlign w:val="center"/>
          </w:tcPr>
          <w:p w:rsidR="005D2813" w:rsidRPr="006C416F" w:rsidRDefault="005D2813" w:rsidP="000F1EA6">
            <w:pPr>
              <w:widowControl/>
              <w:jc w:val="left"/>
              <w:rPr>
                <w:rFonts w:ascii="宋体" w:hAnsi="宋体" w:cs="宋体"/>
                <w:kern w:val="0"/>
                <w:szCs w:val="21"/>
              </w:rPr>
            </w:pPr>
          </w:p>
        </w:tc>
        <w:tc>
          <w:tcPr>
            <w:tcW w:w="1442" w:type="dxa"/>
            <w:tcBorders>
              <w:left w:val="single" w:sz="4" w:space="0" w:color="auto"/>
              <w:right w:val="single" w:sz="4" w:space="0" w:color="auto"/>
            </w:tcBorders>
            <w:noWrap/>
            <w:vAlign w:val="center"/>
          </w:tcPr>
          <w:p w:rsidR="005D2813" w:rsidRPr="006C416F" w:rsidRDefault="005D2813" w:rsidP="000F1EA6">
            <w:pPr>
              <w:jc w:val="center"/>
              <w:rPr>
                <w:rFonts w:ascii="宋体" w:hAnsi="宋体" w:cs="宋体"/>
                <w:kern w:val="0"/>
                <w:szCs w:val="21"/>
              </w:rPr>
            </w:pPr>
            <w:r w:rsidRPr="006C416F">
              <w:rPr>
                <w:rFonts w:ascii="宋体" w:hAnsi="宋体" w:cs="宋体" w:hint="eastAsia"/>
                <w:kern w:val="0"/>
                <w:szCs w:val="21"/>
              </w:rPr>
              <w:t>初高中</w:t>
            </w:r>
          </w:p>
        </w:tc>
        <w:tc>
          <w:tcPr>
            <w:tcW w:w="2127" w:type="dxa"/>
            <w:tcBorders>
              <w:left w:val="single" w:sz="4" w:space="0" w:color="auto"/>
              <w:right w:val="single" w:sz="4" w:space="0" w:color="auto"/>
            </w:tcBorders>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车位/100师生</w:t>
            </w:r>
          </w:p>
        </w:tc>
        <w:tc>
          <w:tcPr>
            <w:tcW w:w="2340" w:type="dxa"/>
            <w:tcBorders>
              <w:left w:val="single" w:sz="4" w:space="0" w:color="auto"/>
              <w:right w:val="single" w:sz="4" w:space="0" w:color="auto"/>
            </w:tcBorders>
            <w:noWrap/>
            <w:vAlign w:val="center"/>
          </w:tcPr>
          <w:p w:rsidR="005D2813" w:rsidRPr="006C416F" w:rsidRDefault="002B31D4" w:rsidP="000F1EA6">
            <w:pPr>
              <w:jc w:val="center"/>
              <w:rPr>
                <w:rFonts w:ascii="宋体" w:hAnsi="宋体" w:cs="宋体"/>
                <w:kern w:val="0"/>
                <w:szCs w:val="21"/>
              </w:rPr>
            </w:pPr>
            <w:r w:rsidRPr="006C416F">
              <w:rPr>
                <w:rFonts w:ascii="宋体" w:hAnsi="宋体" w:cs="宋体" w:hint="eastAsia"/>
                <w:kern w:val="0"/>
                <w:szCs w:val="21"/>
              </w:rPr>
              <w:t>10</w:t>
            </w:r>
          </w:p>
        </w:tc>
      </w:tr>
      <w:tr w:rsidR="006C416F" w:rsidRPr="006C416F" w:rsidTr="009D6936">
        <w:trPr>
          <w:trHeight w:val="284"/>
          <w:jc w:val="center"/>
        </w:trPr>
        <w:tc>
          <w:tcPr>
            <w:tcW w:w="2043" w:type="dxa"/>
            <w:vMerge/>
            <w:tcBorders>
              <w:top w:val="single" w:sz="4" w:space="0" w:color="auto"/>
              <w:left w:val="single" w:sz="4" w:space="0" w:color="auto"/>
              <w:bottom w:val="single" w:sz="4" w:space="0" w:color="auto"/>
              <w:right w:val="single" w:sz="4" w:space="0" w:color="auto"/>
            </w:tcBorders>
            <w:vAlign w:val="center"/>
          </w:tcPr>
          <w:p w:rsidR="005D2813" w:rsidRPr="006C416F" w:rsidRDefault="005D2813" w:rsidP="000F1EA6">
            <w:pPr>
              <w:widowControl/>
              <w:jc w:val="left"/>
              <w:rPr>
                <w:rFonts w:ascii="宋体" w:hAnsi="宋体" w:cs="宋体"/>
                <w:kern w:val="0"/>
                <w:szCs w:val="21"/>
              </w:rPr>
            </w:pPr>
          </w:p>
        </w:tc>
        <w:tc>
          <w:tcPr>
            <w:tcW w:w="1442" w:type="dxa"/>
            <w:tcBorders>
              <w:left w:val="single" w:sz="4" w:space="0" w:color="auto"/>
              <w:right w:val="single" w:sz="4" w:space="0" w:color="auto"/>
            </w:tcBorders>
            <w:noWrap/>
            <w:vAlign w:val="center"/>
          </w:tcPr>
          <w:p w:rsidR="005D2813" w:rsidRPr="006C416F" w:rsidRDefault="005D2813" w:rsidP="000F1EA6">
            <w:pPr>
              <w:jc w:val="center"/>
              <w:rPr>
                <w:rFonts w:ascii="宋体" w:hAnsi="宋体" w:cs="宋体"/>
                <w:kern w:val="0"/>
                <w:szCs w:val="21"/>
              </w:rPr>
            </w:pPr>
            <w:r w:rsidRPr="006C416F">
              <w:rPr>
                <w:rFonts w:ascii="宋体" w:hAnsi="宋体" w:cs="宋体" w:hint="eastAsia"/>
                <w:kern w:val="0"/>
                <w:szCs w:val="21"/>
              </w:rPr>
              <w:t>大中专院校</w:t>
            </w:r>
          </w:p>
        </w:tc>
        <w:tc>
          <w:tcPr>
            <w:tcW w:w="2127" w:type="dxa"/>
            <w:tcBorders>
              <w:left w:val="single" w:sz="4" w:space="0" w:color="auto"/>
              <w:right w:val="single" w:sz="4" w:space="0" w:color="auto"/>
            </w:tcBorders>
            <w:vAlign w:val="center"/>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车位/100师生</w:t>
            </w:r>
          </w:p>
        </w:tc>
        <w:tc>
          <w:tcPr>
            <w:tcW w:w="2340" w:type="dxa"/>
            <w:tcBorders>
              <w:left w:val="single" w:sz="4" w:space="0" w:color="auto"/>
              <w:right w:val="single" w:sz="4" w:space="0" w:color="auto"/>
            </w:tcBorders>
            <w:noWrap/>
            <w:vAlign w:val="center"/>
          </w:tcPr>
          <w:p w:rsidR="005D2813" w:rsidRPr="006C416F" w:rsidRDefault="002B31D4" w:rsidP="000F1EA6">
            <w:pPr>
              <w:widowControl/>
              <w:jc w:val="center"/>
              <w:rPr>
                <w:rFonts w:ascii="宋体" w:hAnsi="宋体" w:cs="宋体"/>
                <w:kern w:val="0"/>
                <w:szCs w:val="21"/>
              </w:rPr>
            </w:pPr>
            <w:r w:rsidRPr="006C416F">
              <w:rPr>
                <w:rFonts w:ascii="宋体" w:hAnsi="宋体" w:cs="宋体" w:hint="eastAsia"/>
                <w:kern w:val="0"/>
                <w:szCs w:val="21"/>
              </w:rPr>
              <w:t>10</w:t>
            </w:r>
          </w:p>
        </w:tc>
      </w:tr>
      <w:tr w:rsidR="006C416F" w:rsidRPr="006C416F" w:rsidTr="009D6936">
        <w:trPr>
          <w:trHeight w:val="284"/>
          <w:jc w:val="center"/>
        </w:trPr>
        <w:tc>
          <w:tcPr>
            <w:tcW w:w="204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文化及体育设施</w:t>
            </w:r>
          </w:p>
        </w:tc>
        <w:tc>
          <w:tcPr>
            <w:tcW w:w="3569" w:type="dxa"/>
            <w:gridSpan w:val="2"/>
            <w:tcBorders>
              <w:top w:val="single" w:sz="4" w:space="0" w:color="auto"/>
              <w:left w:val="single" w:sz="4" w:space="0" w:color="auto"/>
              <w:right w:val="single" w:sz="4" w:space="0" w:color="auto"/>
            </w:tcBorders>
            <w:noWrap/>
            <w:vAlign w:val="center"/>
            <w:hideMark/>
          </w:tcPr>
          <w:p w:rsidR="005D2813" w:rsidRPr="006C416F" w:rsidRDefault="005D2813" w:rsidP="002E5878">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2340" w:type="dxa"/>
            <w:tcBorders>
              <w:top w:val="single" w:sz="4" w:space="0" w:color="auto"/>
              <w:left w:val="single" w:sz="4" w:space="0" w:color="auto"/>
              <w:right w:val="single" w:sz="4" w:space="0" w:color="auto"/>
            </w:tcBorders>
            <w:noWrap/>
            <w:vAlign w:val="center"/>
            <w:hideMark/>
          </w:tcPr>
          <w:p w:rsidR="005D2813" w:rsidRPr="006C416F" w:rsidRDefault="002B31D4" w:rsidP="000F1EA6">
            <w:pPr>
              <w:jc w:val="center"/>
              <w:rPr>
                <w:rFonts w:ascii="宋体" w:hAnsi="宋体" w:cs="宋体"/>
                <w:kern w:val="0"/>
                <w:szCs w:val="21"/>
              </w:rPr>
            </w:pPr>
            <w:r w:rsidRPr="006C416F">
              <w:rPr>
                <w:rFonts w:ascii="宋体" w:hAnsi="宋体" w:cs="宋体" w:hint="eastAsia"/>
                <w:kern w:val="0"/>
                <w:szCs w:val="21"/>
              </w:rPr>
              <w:t>5</w:t>
            </w:r>
          </w:p>
        </w:tc>
      </w:tr>
      <w:tr w:rsidR="006C416F" w:rsidRPr="006C416F" w:rsidTr="009D6936">
        <w:trPr>
          <w:trHeight w:val="284"/>
          <w:jc w:val="center"/>
        </w:trPr>
        <w:tc>
          <w:tcPr>
            <w:tcW w:w="204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公园</w:t>
            </w:r>
          </w:p>
        </w:tc>
        <w:tc>
          <w:tcPr>
            <w:tcW w:w="3569" w:type="dxa"/>
            <w:gridSpan w:val="2"/>
            <w:tcBorders>
              <w:top w:val="single" w:sz="4" w:space="0" w:color="auto"/>
              <w:left w:val="single" w:sz="4" w:space="0" w:color="auto"/>
              <w:right w:val="single" w:sz="4" w:space="0" w:color="auto"/>
            </w:tcBorders>
            <w:noWrap/>
            <w:vAlign w:val="center"/>
            <w:hideMark/>
          </w:tcPr>
          <w:p w:rsidR="005D2813" w:rsidRPr="006C416F" w:rsidRDefault="005D2813" w:rsidP="002E5878">
            <w:pPr>
              <w:widowControl/>
              <w:jc w:val="center"/>
              <w:rPr>
                <w:rFonts w:ascii="宋体" w:hAnsi="宋体" w:cs="宋体"/>
                <w:kern w:val="0"/>
                <w:szCs w:val="21"/>
              </w:rPr>
            </w:pPr>
            <w:r w:rsidRPr="006C416F">
              <w:rPr>
                <w:rFonts w:ascii="宋体" w:hAnsi="宋体" w:cs="宋体" w:hint="eastAsia"/>
                <w:kern w:val="0"/>
                <w:szCs w:val="21"/>
              </w:rPr>
              <w:t>车位/公顷占地面积</w:t>
            </w:r>
          </w:p>
        </w:tc>
        <w:tc>
          <w:tcPr>
            <w:tcW w:w="2340" w:type="dxa"/>
            <w:tcBorders>
              <w:top w:val="single" w:sz="4" w:space="0" w:color="auto"/>
              <w:left w:val="single" w:sz="4" w:space="0" w:color="auto"/>
              <w:right w:val="single" w:sz="4" w:space="0" w:color="auto"/>
            </w:tcBorders>
            <w:noWrap/>
            <w:vAlign w:val="center"/>
            <w:hideMark/>
          </w:tcPr>
          <w:p w:rsidR="005D2813" w:rsidRPr="006C416F" w:rsidRDefault="002B31D4" w:rsidP="000F1EA6">
            <w:pPr>
              <w:jc w:val="center"/>
              <w:rPr>
                <w:rFonts w:ascii="宋体" w:hAnsi="宋体" w:cs="宋体"/>
                <w:kern w:val="0"/>
                <w:szCs w:val="21"/>
              </w:rPr>
            </w:pPr>
            <w:r w:rsidRPr="006C416F">
              <w:rPr>
                <w:rFonts w:ascii="宋体" w:hAnsi="宋体" w:cs="宋体" w:hint="eastAsia"/>
                <w:kern w:val="0"/>
                <w:szCs w:val="21"/>
              </w:rPr>
              <w:t>5</w:t>
            </w:r>
          </w:p>
        </w:tc>
      </w:tr>
      <w:tr w:rsidR="006C416F" w:rsidRPr="006C416F" w:rsidTr="009D6936">
        <w:trPr>
          <w:trHeight w:val="284"/>
          <w:jc w:val="center"/>
        </w:trPr>
        <w:tc>
          <w:tcPr>
            <w:tcW w:w="204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工业</w:t>
            </w:r>
          </w:p>
        </w:tc>
        <w:tc>
          <w:tcPr>
            <w:tcW w:w="3569" w:type="dxa"/>
            <w:gridSpan w:val="2"/>
            <w:tcBorders>
              <w:top w:val="single" w:sz="4" w:space="0" w:color="auto"/>
              <w:left w:val="single" w:sz="4" w:space="0" w:color="auto"/>
              <w:right w:val="single" w:sz="4" w:space="0" w:color="auto"/>
            </w:tcBorders>
            <w:noWrap/>
            <w:vAlign w:val="center"/>
            <w:hideMark/>
          </w:tcPr>
          <w:p w:rsidR="005D2813" w:rsidRPr="006C416F" w:rsidRDefault="005D2813" w:rsidP="002E5878">
            <w:pPr>
              <w:widowControl/>
              <w:jc w:val="center"/>
              <w:rPr>
                <w:rFonts w:ascii="宋体" w:hAnsi="宋体" w:cs="宋体"/>
                <w:kern w:val="0"/>
                <w:szCs w:val="21"/>
              </w:rPr>
            </w:pPr>
            <w:r w:rsidRPr="006C416F">
              <w:rPr>
                <w:rFonts w:ascii="宋体" w:hAnsi="宋体" w:cs="宋体" w:hint="eastAsia"/>
                <w:kern w:val="0"/>
                <w:szCs w:val="21"/>
              </w:rPr>
              <w:t>车位/100m²建筑面积</w:t>
            </w:r>
          </w:p>
        </w:tc>
        <w:tc>
          <w:tcPr>
            <w:tcW w:w="2340" w:type="dxa"/>
            <w:tcBorders>
              <w:top w:val="single" w:sz="4" w:space="0" w:color="auto"/>
              <w:left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r>
      <w:tr w:rsidR="006C416F" w:rsidRPr="006C416F" w:rsidTr="009D6936">
        <w:trPr>
          <w:trHeight w:val="284"/>
          <w:jc w:val="center"/>
        </w:trPr>
        <w:tc>
          <w:tcPr>
            <w:tcW w:w="2043" w:type="dxa"/>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交通枢纽</w:t>
            </w:r>
          </w:p>
        </w:tc>
        <w:tc>
          <w:tcPr>
            <w:tcW w:w="3569" w:type="dxa"/>
            <w:gridSpan w:val="2"/>
            <w:tcBorders>
              <w:top w:val="single" w:sz="4" w:space="0" w:color="auto"/>
              <w:left w:val="single" w:sz="4" w:space="0" w:color="auto"/>
              <w:bottom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高峰日100旅客</w:t>
            </w:r>
          </w:p>
        </w:tc>
        <w:tc>
          <w:tcPr>
            <w:tcW w:w="2340" w:type="dxa"/>
            <w:tcBorders>
              <w:top w:val="single" w:sz="4" w:space="0" w:color="auto"/>
              <w:left w:val="single" w:sz="4" w:space="0" w:color="auto"/>
              <w:right w:val="single" w:sz="4" w:space="0" w:color="auto"/>
            </w:tcBorders>
            <w:noWrap/>
            <w:vAlign w:val="center"/>
            <w:hideMark/>
          </w:tcPr>
          <w:p w:rsidR="005D2813" w:rsidRPr="006C416F" w:rsidRDefault="005D2813" w:rsidP="000F1EA6">
            <w:pPr>
              <w:widowControl/>
              <w:jc w:val="center"/>
              <w:rPr>
                <w:rFonts w:ascii="宋体" w:hAnsi="宋体" w:cs="宋体"/>
                <w:kern w:val="0"/>
                <w:szCs w:val="21"/>
              </w:rPr>
            </w:pPr>
            <w:r w:rsidRPr="006C416F">
              <w:rPr>
                <w:rFonts w:ascii="宋体" w:hAnsi="宋体" w:cs="宋体" w:hint="eastAsia"/>
                <w:kern w:val="0"/>
                <w:szCs w:val="21"/>
              </w:rPr>
              <w:t>—</w:t>
            </w:r>
          </w:p>
        </w:tc>
      </w:tr>
    </w:tbl>
    <w:p w:rsidR="005D2813" w:rsidRPr="006C416F" w:rsidRDefault="005D2813" w:rsidP="005D2813">
      <w:pPr>
        <w:spacing w:line="320" w:lineRule="exact"/>
        <w:rPr>
          <w:rFonts w:ascii="仿宋_GB2312" w:eastAsia="仿宋_GB2312"/>
          <w:spacing w:val="-6"/>
          <w:szCs w:val="21"/>
        </w:rPr>
      </w:pPr>
      <w:r w:rsidRPr="006C416F">
        <w:rPr>
          <w:rFonts w:ascii="仿宋_GB2312" w:eastAsia="仿宋_GB2312" w:hint="eastAsia"/>
          <w:spacing w:val="-6"/>
          <w:szCs w:val="21"/>
        </w:rPr>
        <w:t>说明：（1）新建项目可依托自身条件、区域位置及周边道路交通条件参考使用。</w:t>
      </w:r>
    </w:p>
    <w:p w:rsidR="005D2813" w:rsidRPr="006C416F" w:rsidRDefault="005D2813" w:rsidP="005D2813">
      <w:pPr>
        <w:spacing w:line="320" w:lineRule="exact"/>
        <w:rPr>
          <w:rFonts w:ascii="仿宋_GB2312" w:eastAsia="仿宋_GB2312"/>
          <w:spacing w:val="-6"/>
          <w:szCs w:val="21"/>
        </w:rPr>
      </w:pPr>
      <w:r w:rsidRPr="006C416F">
        <w:rPr>
          <w:rFonts w:ascii="仿宋_GB2312" w:eastAsia="仿宋_GB2312" w:hint="eastAsia"/>
          <w:spacing w:val="-6"/>
          <w:szCs w:val="21"/>
        </w:rPr>
        <w:t>（2）交通枢纽、工业用地、幼儿园、小学结合具体需求确定非机动车配套标准。</w:t>
      </w:r>
    </w:p>
    <w:p w:rsidR="005146E1" w:rsidRPr="006C416F" w:rsidRDefault="005D2813" w:rsidP="005D2813">
      <w:pPr>
        <w:spacing w:line="320" w:lineRule="exact"/>
        <w:rPr>
          <w:rFonts w:ascii="仿宋_GB2312" w:eastAsia="仿宋_GB2312"/>
          <w:spacing w:val="-6"/>
          <w:szCs w:val="21"/>
        </w:rPr>
        <w:sectPr w:rsidR="005146E1" w:rsidRPr="006C416F" w:rsidSect="00466CCB">
          <w:footerReference w:type="even" r:id="rId11"/>
          <w:footerReference w:type="default" r:id="rId12"/>
          <w:pgSz w:w="11906" w:h="16838"/>
          <w:pgMar w:top="1440" w:right="1800" w:bottom="1440" w:left="1800" w:header="851" w:footer="992" w:gutter="0"/>
          <w:pgNumType w:start="27"/>
          <w:cols w:space="425"/>
          <w:docGrid w:type="lines" w:linePitch="312"/>
        </w:sectPr>
      </w:pPr>
      <w:r w:rsidRPr="006C416F">
        <w:rPr>
          <w:rFonts w:ascii="仿宋_GB2312" w:eastAsia="仿宋_GB2312" w:hint="eastAsia"/>
          <w:spacing w:val="-6"/>
          <w:szCs w:val="21"/>
        </w:rPr>
        <w:t>（</w:t>
      </w:r>
      <w:r w:rsidRPr="006C416F">
        <w:rPr>
          <w:rFonts w:ascii="仿宋_GB2312" w:eastAsia="仿宋_GB2312"/>
          <w:spacing w:val="-6"/>
          <w:szCs w:val="21"/>
        </w:rPr>
        <w:t>3</w:t>
      </w:r>
      <w:r w:rsidRPr="006C416F">
        <w:rPr>
          <w:rFonts w:ascii="仿宋_GB2312" w:eastAsia="仿宋_GB2312" w:hint="eastAsia"/>
          <w:spacing w:val="-6"/>
          <w:szCs w:val="21"/>
        </w:rPr>
        <w:t>）新建住宅应集中设置非机动车充电设施，设置比例不得低于非机动车停车位的</w:t>
      </w:r>
      <w:r w:rsidRPr="006C416F">
        <w:rPr>
          <w:rFonts w:ascii="仿宋_GB2312" w:eastAsia="仿宋_GB2312"/>
          <w:spacing w:val="-6"/>
          <w:szCs w:val="21"/>
        </w:rPr>
        <w:t>30%</w:t>
      </w:r>
    </w:p>
    <w:p w:rsidR="005D2813" w:rsidRPr="006C416F" w:rsidRDefault="005D2813" w:rsidP="00466CCB">
      <w:pPr>
        <w:spacing w:line="360" w:lineRule="auto"/>
        <w:rPr>
          <w:rFonts w:ascii="仿宋_GB2312" w:eastAsia="仿宋_GB2312"/>
          <w:spacing w:val="-6"/>
          <w:szCs w:val="21"/>
        </w:rPr>
      </w:pPr>
      <w:bookmarkStart w:id="5" w:name="_GoBack"/>
      <w:bookmarkEnd w:id="5"/>
    </w:p>
    <w:sectPr w:rsidR="005D2813" w:rsidRPr="006C416F" w:rsidSect="00006B60">
      <w:footerReference w:type="even" r:id="rId13"/>
      <w:pgSz w:w="11906" w:h="16838"/>
      <w:pgMar w:top="2098" w:right="1474" w:bottom="1985" w:left="1588" w:header="851" w:footer="992" w:gutter="0"/>
      <w:pgNumType w:start="1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D19" w:rsidRDefault="00D66D19" w:rsidP="005D2813">
      <w:r>
        <w:separator/>
      </w:r>
    </w:p>
  </w:endnote>
  <w:endnote w:type="continuationSeparator" w:id="0">
    <w:p w:rsidR="00D66D19" w:rsidRDefault="00D66D19" w:rsidP="005D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FSK--GBK1-0">
    <w:altName w:val="黑体"/>
    <w:charset w:val="86"/>
    <w:family w:val="auto"/>
    <w:pitch w:val="default"/>
    <w:sig w:usb0="00000001" w:usb1="080E0000" w:usb2="00000010" w:usb3="00000000" w:csb0="00040000" w:csb1="00000000"/>
  </w:font>
  <w:font w:name="E-BZ">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304386"/>
      <w:docPartObj>
        <w:docPartGallery w:val="Page Numbers (Bottom of Page)"/>
        <w:docPartUnique/>
      </w:docPartObj>
    </w:sdtPr>
    <w:sdtEndPr/>
    <w:sdtContent>
      <w:p w:rsidR="00A52EC1" w:rsidRDefault="00A52EC1">
        <w:pPr>
          <w:pStyle w:val="a6"/>
          <w:jc w:val="center"/>
        </w:pPr>
        <w:r>
          <w:rPr>
            <w:noProof/>
          </w:rPr>
          <mc:AlternateContent>
            <mc:Choice Requires="wps">
              <w:drawing>
                <wp:anchor distT="0" distB="0" distL="114300" distR="114300" simplePos="0" relativeHeight="251664384" behindDoc="0" locked="0" layoutInCell="1" allowOverlap="1" wp14:anchorId="4E985CE4" wp14:editId="46308233">
                  <wp:simplePos x="0" y="0"/>
                  <wp:positionH relativeFrom="column">
                    <wp:posOffset>3646805</wp:posOffset>
                  </wp:positionH>
                  <wp:positionV relativeFrom="paragraph">
                    <wp:posOffset>49530</wp:posOffset>
                  </wp:positionV>
                  <wp:extent cx="2486025" cy="314325"/>
                  <wp:effectExtent l="0" t="0" r="9525" b="9525"/>
                  <wp:wrapNone/>
                  <wp:docPr id="5" name="文本框 5"/>
                  <wp:cNvGraphicFramePr/>
                  <a:graphic xmlns:a="http://schemas.openxmlformats.org/drawingml/2006/main">
                    <a:graphicData uri="http://schemas.microsoft.com/office/word/2010/wordprocessingShape">
                      <wps:wsp>
                        <wps:cNvSpPr txBox="1"/>
                        <wps:spPr>
                          <a:xfrm>
                            <a:off x="0" y="0"/>
                            <a:ext cx="24860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2EC1" w:rsidRPr="00006B60" w:rsidRDefault="00A52EC1">
                              <w:pPr>
                                <w:rPr>
                                  <w:color w:val="5F5F5F"/>
                                  <w:sz w:val="18"/>
                                </w:rPr>
                              </w:pPr>
                              <w:r w:rsidRPr="00006B60">
                                <w:rPr>
                                  <w:rFonts w:hint="eastAsia"/>
                                  <w:color w:val="5F5F5F"/>
                                  <w:sz w:val="18"/>
                                </w:rPr>
                                <w:t>青岛市市区公共服务设施配套标准及规划导则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87.15pt;margin-top:3.9pt;width:195.75pt;height:2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" fillcolor="white [3201]" stroked="f" strokeweight=".5pt">
                  <v:textbox>
                    <w:txbxContent>
                      <w:p w:rsidR="00A52EC1" w:rsidRPr="00006B60" w:rsidRDefault="00A52EC1">
                        <w:pPr>
                          <w:rPr>
                            <w:rFonts w:hint="eastAsia"/>
                            <w:color w:val="5F5F5F"/>
                            <w:sz w:val="18"/>
                          </w:rPr>
                        </w:pPr>
                        <w:r w:rsidRPr="00006B60">
                          <w:rPr>
                            <w:rFonts w:hint="eastAsia"/>
                            <w:color w:val="5F5F5F"/>
                            <w:sz w:val="18"/>
                          </w:rPr>
                          <w:t>青岛市市区公共服务设施配套标准及规划导则</w:t>
                        </w:r>
                      </w:p>
                    </w:txbxContent>
                  </v:textbox>
                </v:shape>
              </w:pict>
            </mc:Fallback>
          </mc:AlternateContent>
        </w:r>
        <w:r>
          <w:rPr>
            <w:rFonts w:hint="eastAsia"/>
          </w:rPr>
          <w:t>-</w:t>
        </w:r>
        <w:r>
          <w:fldChar w:fldCharType="begin"/>
        </w:r>
        <w:r>
          <w:instrText>PAGE   \* MERGEFORMAT</w:instrText>
        </w:r>
        <w:r>
          <w:fldChar w:fldCharType="separate"/>
        </w:r>
        <w:r w:rsidR="006C416F" w:rsidRPr="006C416F">
          <w:rPr>
            <w:noProof/>
            <w:lang w:val="zh-CN"/>
          </w:rPr>
          <w:t>28</w:t>
        </w:r>
        <w:r>
          <w:fldChar w:fldCharType="end"/>
        </w:r>
        <w:r>
          <w:rPr>
            <w:rFonts w:hint="eastAsia"/>
          </w:rPr>
          <w:t>-</w:t>
        </w:r>
      </w:p>
    </w:sdtContent>
  </w:sdt>
  <w:p w:rsidR="00A52EC1" w:rsidRDefault="00A52E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591946"/>
      <w:docPartObj>
        <w:docPartGallery w:val="Page Numbers (Bottom of Page)"/>
        <w:docPartUnique/>
      </w:docPartObj>
    </w:sdtPr>
    <w:sdtEndPr/>
    <w:sdtContent>
      <w:p w:rsidR="00A52EC1" w:rsidRDefault="00A52EC1">
        <w:pPr>
          <w:pStyle w:val="a6"/>
          <w:jc w:val="center"/>
        </w:pPr>
        <w:r>
          <w:rPr>
            <w:noProof/>
          </w:rPr>
          <mc:AlternateContent>
            <mc:Choice Requires="wps">
              <w:drawing>
                <wp:anchor distT="0" distB="0" distL="114300" distR="114300" simplePos="0" relativeHeight="251662336" behindDoc="0" locked="0" layoutInCell="1" allowOverlap="1" wp14:anchorId="4DFFC388" wp14:editId="67FD0C8C">
                  <wp:simplePos x="0" y="0"/>
                  <wp:positionH relativeFrom="column">
                    <wp:posOffset>-577850</wp:posOffset>
                  </wp:positionH>
                  <wp:positionV relativeFrom="paragraph">
                    <wp:posOffset>11430</wp:posOffset>
                  </wp:positionV>
                  <wp:extent cx="3057525" cy="304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057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2EC1" w:rsidRPr="00006B60" w:rsidRDefault="00A52EC1">
                              <w:pPr>
                                <w:rPr>
                                  <w:color w:val="5F5F5F"/>
                                  <w:sz w:val="18"/>
                                  <w14:textOutline w14:w="9525" w14:cap="rnd" w14:cmpd="sng" w14:algn="ctr">
                                    <w14:noFill/>
                                    <w14:prstDash w14:val="solid"/>
                                    <w14:bevel/>
                                  </w14:textOutline>
                                </w:rPr>
                              </w:pPr>
                              <w:r w:rsidRPr="00006B60">
                                <w:rPr>
                                  <w:rFonts w:hint="eastAsia"/>
                                  <w:color w:val="5F5F5F"/>
                                  <w:sz w:val="18"/>
                                  <w14:textOutline w14:w="9525" w14:cap="rnd" w14:cmpd="sng" w14:algn="ctr">
                                    <w14:noFill/>
                                    <w14:prstDash w14:val="solid"/>
                                    <w14:bevel/>
                                  </w14:textOutline>
                                </w:rPr>
                                <w:t>青岛市市区公共服务设施配套标准及规划导则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45.5pt;margin-top:.9pt;width:240.7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" filled="f" stroked="f" strokeweight=".5pt">
                  <v:textbox>
                    <w:txbxContent>
                      <w:p w:rsidR="00A52EC1" w:rsidRPr="00006B60" w:rsidRDefault="00A52EC1">
                        <w:pPr>
                          <w:rPr>
                            <w:rFonts w:hint="eastAsia"/>
                            <w:color w:val="5F5F5F"/>
                            <w:sz w:val="18"/>
                            <w14:textOutline w14:w="9525" w14:cap="rnd" w14:cmpd="sng" w14:algn="ctr">
                              <w14:noFill/>
                              <w14:prstDash w14:val="solid"/>
                              <w14:bevel/>
                            </w14:textOutline>
                          </w:rPr>
                        </w:pPr>
                        <w:r w:rsidRPr="00006B60">
                          <w:rPr>
                            <w:rFonts w:hint="eastAsia"/>
                            <w:color w:val="5F5F5F"/>
                            <w:sz w:val="18"/>
                            <w14:textOutline w14:w="9525" w14:cap="rnd" w14:cmpd="sng" w14:algn="ctr">
                              <w14:noFill/>
                              <w14:prstDash w14:val="solid"/>
                              <w14:bevel/>
                            </w14:textOutline>
                          </w:rPr>
                          <w:t>青岛市市区公共服务设施配套标准及规划导则</w:t>
                        </w:r>
                      </w:p>
                    </w:txbxContent>
                  </v:textbox>
                </v:shape>
              </w:pict>
            </mc:Fallback>
          </mc:AlternateContent>
        </w:r>
        <w:r>
          <w:rPr>
            <w:rFonts w:hint="eastAsia"/>
          </w:rPr>
          <w:t>-</w:t>
        </w:r>
        <w:r>
          <w:fldChar w:fldCharType="begin"/>
        </w:r>
        <w:r>
          <w:instrText>PAGE   \* MERGEFORMAT</w:instrText>
        </w:r>
        <w:r>
          <w:fldChar w:fldCharType="separate"/>
        </w:r>
        <w:r w:rsidR="006C416F" w:rsidRPr="006C416F">
          <w:rPr>
            <w:noProof/>
            <w:lang w:val="zh-CN"/>
          </w:rPr>
          <w:t>27</w:t>
        </w:r>
        <w:r>
          <w:fldChar w:fldCharType="end"/>
        </w:r>
        <w:r>
          <w:rPr>
            <w:rFonts w:hint="eastAsia"/>
          </w:rPr>
          <w:t>-</w:t>
        </w:r>
      </w:p>
    </w:sdtContent>
  </w:sdt>
  <w:p w:rsidR="00A52EC1" w:rsidRDefault="00A52EC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C1" w:rsidRDefault="00A52EC1">
    <w:pPr>
      <w:pStyle w:val="a6"/>
      <w:jc w:val="center"/>
    </w:pPr>
  </w:p>
  <w:p w:rsidR="00A52EC1" w:rsidRDefault="00A52E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D19" w:rsidRDefault="00D66D19" w:rsidP="005D2813">
      <w:r>
        <w:separator/>
      </w:r>
    </w:p>
  </w:footnote>
  <w:footnote w:type="continuationSeparator" w:id="0">
    <w:p w:rsidR="00D66D19" w:rsidRDefault="00D66D19" w:rsidP="005D2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E36D5"/>
    <w:multiLevelType w:val="multilevel"/>
    <w:tmpl w:val="1C2E36D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283F32FE"/>
    <w:multiLevelType w:val="hybridMultilevel"/>
    <w:tmpl w:val="3C6EAB2A"/>
    <w:lvl w:ilvl="0" w:tplc="3DD6844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9735E6F"/>
    <w:multiLevelType w:val="hybridMultilevel"/>
    <w:tmpl w:val="12CA306E"/>
    <w:lvl w:ilvl="0" w:tplc="1DC68582">
      <w:start w:val="1"/>
      <w:numFmt w:val="decimal"/>
      <w:lvlText w:val="表%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395AA8"/>
    <w:multiLevelType w:val="hybridMultilevel"/>
    <w:tmpl w:val="21483C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EA0"/>
    <w:rsid w:val="00006B60"/>
    <w:rsid w:val="00016919"/>
    <w:rsid w:val="000551C0"/>
    <w:rsid w:val="00097D06"/>
    <w:rsid w:val="000F1EA6"/>
    <w:rsid w:val="000F6235"/>
    <w:rsid w:val="001705F9"/>
    <w:rsid w:val="00211B6A"/>
    <w:rsid w:val="0027082F"/>
    <w:rsid w:val="00285650"/>
    <w:rsid w:val="002B31D4"/>
    <w:rsid w:val="002E5878"/>
    <w:rsid w:val="002F484F"/>
    <w:rsid w:val="003358B1"/>
    <w:rsid w:val="003B3EA0"/>
    <w:rsid w:val="003F1940"/>
    <w:rsid w:val="00436344"/>
    <w:rsid w:val="00455321"/>
    <w:rsid w:val="00466CCB"/>
    <w:rsid w:val="00492150"/>
    <w:rsid w:val="004937E5"/>
    <w:rsid w:val="005146E1"/>
    <w:rsid w:val="00520EA9"/>
    <w:rsid w:val="0052501D"/>
    <w:rsid w:val="00557896"/>
    <w:rsid w:val="005B0E2C"/>
    <w:rsid w:val="005D2813"/>
    <w:rsid w:val="005F5430"/>
    <w:rsid w:val="00653846"/>
    <w:rsid w:val="00672A01"/>
    <w:rsid w:val="006C416F"/>
    <w:rsid w:val="0073351D"/>
    <w:rsid w:val="007908EA"/>
    <w:rsid w:val="007B59F6"/>
    <w:rsid w:val="0081023C"/>
    <w:rsid w:val="008444CD"/>
    <w:rsid w:val="008523B0"/>
    <w:rsid w:val="008A2FB4"/>
    <w:rsid w:val="00943FEA"/>
    <w:rsid w:val="00983897"/>
    <w:rsid w:val="009D6936"/>
    <w:rsid w:val="00A02AAB"/>
    <w:rsid w:val="00A52EC1"/>
    <w:rsid w:val="00A824CF"/>
    <w:rsid w:val="00B11A0B"/>
    <w:rsid w:val="00C471A8"/>
    <w:rsid w:val="00C95273"/>
    <w:rsid w:val="00CC1A99"/>
    <w:rsid w:val="00CF1611"/>
    <w:rsid w:val="00CF2CC5"/>
    <w:rsid w:val="00D40906"/>
    <w:rsid w:val="00D433E4"/>
    <w:rsid w:val="00D66D19"/>
    <w:rsid w:val="00D67779"/>
    <w:rsid w:val="00D8588F"/>
    <w:rsid w:val="00D903C5"/>
    <w:rsid w:val="00E35C6D"/>
    <w:rsid w:val="00E55932"/>
    <w:rsid w:val="00E80D99"/>
    <w:rsid w:val="00EF4988"/>
    <w:rsid w:val="00F47A79"/>
    <w:rsid w:val="00F80DF4"/>
    <w:rsid w:val="00FD2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8EA"/>
    <w:pPr>
      <w:widowControl w:val="0"/>
      <w:jc w:val="both"/>
    </w:pPr>
  </w:style>
  <w:style w:type="paragraph" w:styleId="1">
    <w:name w:val="heading 1"/>
    <w:basedOn w:val="a"/>
    <w:next w:val="a"/>
    <w:link w:val="1Char"/>
    <w:uiPriority w:val="9"/>
    <w:qFormat/>
    <w:rsid w:val="002F484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F484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2F484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unhideWhenUsed/>
    <w:qFormat/>
    <w:rsid w:val="002F484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EA0"/>
    <w:pPr>
      <w:ind w:firstLineChars="200" w:firstLine="420"/>
    </w:pPr>
  </w:style>
  <w:style w:type="paragraph" w:styleId="a4">
    <w:name w:val="Date"/>
    <w:basedOn w:val="a"/>
    <w:next w:val="a"/>
    <w:link w:val="Char"/>
    <w:uiPriority w:val="99"/>
    <w:semiHidden/>
    <w:unhideWhenUsed/>
    <w:rsid w:val="002F484F"/>
    <w:pPr>
      <w:ind w:leftChars="2500" w:left="100"/>
    </w:pPr>
  </w:style>
  <w:style w:type="character" w:customStyle="1" w:styleId="Char">
    <w:name w:val="日期 Char"/>
    <w:basedOn w:val="a0"/>
    <w:link w:val="a4"/>
    <w:uiPriority w:val="99"/>
    <w:semiHidden/>
    <w:rsid w:val="002F484F"/>
  </w:style>
  <w:style w:type="character" w:customStyle="1" w:styleId="1Char">
    <w:name w:val="标题 1 Char"/>
    <w:basedOn w:val="a0"/>
    <w:link w:val="1"/>
    <w:uiPriority w:val="9"/>
    <w:rsid w:val="002F484F"/>
    <w:rPr>
      <w:b/>
      <w:bCs/>
      <w:kern w:val="44"/>
      <w:sz w:val="44"/>
      <w:szCs w:val="44"/>
    </w:rPr>
  </w:style>
  <w:style w:type="character" w:customStyle="1" w:styleId="2Char">
    <w:name w:val="标题 2 Char"/>
    <w:basedOn w:val="a0"/>
    <w:link w:val="2"/>
    <w:uiPriority w:val="9"/>
    <w:rsid w:val="002F484F"/>
    <w:rPr>
      <w:rFonts w:asciiTheme="majorHAnsi" w:eastAsiaTheme="majorEastAsia" w:hAnsiTheme="majorHAnsi" w:cstheme="majorBidi"/>
      <w:b/>
      <w:bCs/>
      <w:sz w:val="32"/>
      <w:szCs w:val="32"/>
    </w:rPr>
  </w:style>
  <w:style w:type="character" w:customStyle="1" w:styleId="3Char">
    <w:name w:val="标题 3 Char"/>
    <w:basedOn w:val="a0"/>
    <w:link w:val="3"/>
    <w:qFormat/>
    <w:rsid w:val="002F484F"/>
    <w:rPr>
      <w:rFonts w:ascii="Calibri" w:eastAsia="宋体" w:hAnsi="Calibri" w:cs="Times New Roman"/>
      <w:b/>
      <w:bCs/>
      <w:sz w:val="32"/>
      <w:szCs w:val="32"/>
    </w:rPr>
  </w:style>
  <w:style w:type="character" w:customStyle="1" w:styleId="4Char">
    <w:name w:val="标题 4 Char"/>
    <w:basedOn w:val="a0"/>
    <w:link w:val="4"/>
    <w:uiPriority w:val="9"/>
    <w:rsid w:val="002F484F"/>
    <w:rPr>
      <w:rFonts w:asciiTheme="majorHAnsi" w:eastAsiaTheme="majorEastAsia" w:hAnsiTheme="majorHAnsi" w:cstheme="majorBidi"/>
      <w:b/>
      <w:bCs/>
      <w:sz w:val="28"/>
      <w:szCs w:val="28"/>
    </w:rPr>
  </w:style>
  <w:style w:type="numbering" w:customStyle="1" w:styleId="10">
    <w:name w:val="无列表1"/>
    <w:next w:val="a2"/>
    <w:uiPriority w:val="99"/>
    <w:semiHidden/>
    <w:unhideWhenUsed/>
    <w:rsid w:val="002F484F"/>
  </w:style>
  <w:style w:type="paragraph" w:styleId="a5">
    <w:name w:val="header"/>
    <w:basedOn w:val="a"/>
    <w:link w:val="Char0"/>
    <w:uiPriority w:val="99"/>
    <w:unhideWhenUsed/>
    <w:rsid w:val="002F484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uiPriority w:val="99"/>
    <w:rsid w:val="002F484F"/>
    <w:rPr>
      <w:rFonts w:ascii="Times New Roman" w:eastAsia="宋体" w:hAnsi="Times New Roman" w:cs="Times New Roman"/>
      <w:sz w:val="18"/>
      <w:szCs w:val="18"/>
    </w:rPr>
  </w:style>
  <w:style w:type="paragraph" w:styleId="a6">
    <w:name w:val="footer"/>
    <w:basedOn w:val="a"/>
    <w:link w:val="Char1"/>
    <w:uiPriority w:val="99"/>
    <w:unhideWhenUsed/>
    <w:rsid w:val="002F484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uiPriority w:val="99"/>
    <w:rsid w:val="002F484F"/>
    <w:rPr>
      <w:rFonts w:ascii="Times New Roman" w:eastAsia="宋体" w:hAnsi="Times New Roman" w:cs="Times New Roman"/>
      <w:sz w:val="18"/>
      <w:szCs w:val="18"/>
    </w:rPr>
  </w:style>
  <w:style w:type="paragraph" w:styleId="a7">
    <w:name w:val="Balloon Text"/>
    <w:basedOn w:val="a"/>
    <w:link w:val="Char2"/>
    <w:uiPriority w:val="99"/>
    <w:semiHidden/>
    <w:unhideWhenUsed/>
    <w:rsid w:val="002F484F"/>
    <w:rPr>
      <w:sz w:val="18"/>
      <w:szCs w:val="18"/>
    </w:rPr>
  </w:style>
  <w:style w:type="character" w:customStyle="1" w:styleId="Char2">
    <w:name w:val="批注框文本 Char"/>
    <w:basedOn w:val="a0"/>
    <w:link w:val="a7"/>
    <w:uiPriority w:val="99"/>
    <w:semiHidden/>
    <w:rsid w:val="002F484F"/>
    <w:rPr>
      <w:sz w:val="18"/>
      <w:szCs w:val="18"/>
    </w:rPr>
  </w:style>
  <w:style w:type="table" w:styleId="a8">
    <w:name w:val="Table Grid"/>
    <w:basedOn w:val="a1"/>
    <w:uiPriority w:val="39"/>
    <w:rsid w:val="002F4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nhideWhenUsed/>
    <w:qFormat/>
    <w:rsid w:val="002F484F"/>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unhideWhenUsed/>
    <w:qFormat/>
    <w:rsid w:val="002F484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qFormat/>
    <w:rsid w:val="002F484F"/>
    <w:pPr>
      <w:tabs>
        <w:tab w:val="right" w:leader="dot" w:pos="8222"/>
      </w:tabs>
      <w:ind w:leftChars="200" w:left="420"/>
    </w:pPr>
    <w:rPr>
      <w:rFonts w:ascii="Times New Roman" w:eastAsia="宋体" w:hAnsi="Times New Roman" w:cs="Times New Roman"/>
    </w:rPr>
  </w:style>
  <w:style w:type="paragraph" w:styleId="30">
    <w:name w:val="toc 3"/>
    <w:basedOn w:val="a"/>
    <w:next w:val="a"/>
    <w:autoRedefine/>
    <w:uiPriority w:val="39"/>
    <w:unhideWhenUsed/>
    <w:qFormat/>
    <w:rsid w:val="002F484F"/>
    <w:pPr>
      <w:tabs>
        <w:tab w:val="right" w:leader="dot" w:pos="8222"/>
      </w:tabs>
      <w:spacing w:line="360" w:lineRule="auto"/>
      <w:ind w:leftChars="400" w:left="840"/>
    </w:pPr>
    <w:rPr>
      <w:rFonts w:ascii="Times New Roman" w:eastAsia="宋体" w:hAnsi="Times New Roman" w:cs="Times New Roman"/>
    </w:rPr>
  </w:style>
  <w:style w:type="character" w:styleId="aa">
    <w:name w:val="Hyperlink"/>
    <w:basedOn w:val="a0"/>
    <w:uiPriority w:val="99"/>
    <w:unhideWhenUsed/>
    <w:rsid w:val="002F484F"/>
    <w:rPr>
      <w:color w:val="0000FF" w:themeColor="hyperlink"/>
      <w:u w:val="single"/>
    </w:rPr>
  </w:style>
  <w:style w:type="character" w:customStyle="1" w:styleId="Char3">
    <w:name w:val="正文文本缩进 Char"/>
    <w:basedOn w:val="a0"/>
    <w:link w:val="ab"/>
    <w:uiPriority w:val="99"/>
    <w:rsid w:val="002F484F"/>
    <w:rPr>
      <w:rFonts w:ascii="Times New Roman" w:eastAsia="宋体" w:hAnsi="Times New Roman" w:cs="Times New Roman"/>
      <w:szCs w:val="24"/>
    </w:rPr>
  </w:style>
  <w:style w:type="paragraph" w:styleId="ab">
    <w:name w:val="Body Text Indent"/>
    <w:basedOn w:val="a"/>
    <w:link w:val="Char3"/>
    <w:uiPriority w:val="99"/>
    <w:rsid w:val="002F484F"/>
    <w:pPr>
      <w:ind w:firstLineChars="300" w:firstLine="630"/>
    </w:pPr>
    <w:rPr>
      <w:rFonts w:ascii="Times New Roman" w:eastAsia="宋体" w:hAnsi="Times New Roman" w:cs="Times New Roman"/>
      <w:szCs w:val="24"/>
    </w:rPr>
  </w:style>
  <w:style w:type="character" w:customStyle="1" w:styleId="Char10">
    <w:name w:val="正文文本缩进 Char1"/>
    <w:basedOn w:val="a0"/>
    <w:uiPriority w:val="99"/>
    <w:semiHidden/>
    <w:rsid w:val="002F484F"/>
  </w:style>
  <w:style w:type="character" w:styleId="ac">
    <w:name w:val="annotation reference"/>
    <w:basedOn w:val="a0"/>
    <w:uiPriority w:val="99"/>
    <w:semiHidden/>
    <w:unhideWhenUsed/>
    <w:rsid w:val="002F484F"/>
    <w:rPr>
      <w:sz w:val="21"/>
      <w:szCs w:val="21"/>
    </w:rPr>
  </w:style>
  <w:style w:type="paragraph" w:styleId="ad">
    <w:name w:val="annotation text"/>
    <w:basedOn w:val="a"/>
    <w:link w:val="Char4"/>
    <w:uiPriority w:val="99"/>
    <w:semiHidden/>
    <w:unhideWhenUsed/>
    <w:rsid w:val="002F484F"/>
    <w:pPr>
      <w:jc w:val="left"/>
    </w:pPr>
    <w:rPr>
      <w:rFonts w:ascii="Times New Roman" w:eastAsia="宋体" w:hAnsi="Times New Roman" w:cs="Times New Roman"/>
    </w:rPr>
  </w:style>
  <w:style w:type="character" w:customStyle="1" w:styleId="Char4">
    <w:name w:val="批注文字 Char"/>
    <w:basedOn w:val="a0"/>
    <w:link w:val="ad"/>
    <w:uiPriority w:val="99"/>
    <w:semiHidden/>
    <w:rsid w:val="002F484F"/>
    <w:rPr>
      <w:rFonts w:ascii="Times New Roman" w:eastAsia="宋体" w:hAnsi="Times New Roman" w:cs="Times New Roman"/>
    </w:rPr>
  </w:style>
  <w:style w:type="paragraph" w:styleId="ae">
    <w:name w:val="annotation subject"/>
    <w:basedOn w:val="ad"/>
    <w:next w:val="ad"/>
    <w:link w:val="Char5"/>
    <w:uiPriority w:val="99"/>
    <w:semiHidden/>
    <w:unhideWhenUsed/>
    <w:rsid w:val="002F484F"/>
    <w:rPr>
      <w:b/>
      <w:bCs/>
    </w:rPr>
  </w:style>
  <w:style w:type="character" w:customStyle="1" w:styleId="Char5">
    <w:name w:val="批注主题 Char"/>
    <w:basedOn w:val="Char4"/>
    <w:link w:val="ae"/>
    <w:uiPriority w:val="99"/>
    <w:semiHidden/>
    <w:rsid w:val="002F484F"/>
    <w:rPr>
      <w:rFonts w:ascii="Times New Roman" w:eastAsia="宋体" w:hAnsi="Times New Roman" w:cs="Times New Roman"/>
      <w:b/>
      <w:bCs/>
    </w:rPr>
  </w:style>
  <w:style w:type="paragraph" w:customStyle="1" w:styleId="1bG">
    <w:name w:val="1bG"/>
    <w:basedOn w:val="a"/>
    <w:uiPriority w:val="99"/>
    <w:qFormat/>
    <w:rsid w:val="002F484F"/>
    <w:pPr>
      <w:spacing w:line="264" w:lineRule="auto"/>
      <w:jc w:val="left"/>
    </w:pPr>
    <w:rPr>
      <w:rFonts w:ascii="宋体" w:eastAsia="宋体" w:hAnsi="宋体" w:cs="Times New Roman"/>
      <w:szCs w:val="21"/>
    </w:rPr>
  </w:style>
  <w:style w:type="paragraph" w:customStyle="1" w:styleId="CharCharChar1Char">
    <w:name w:val="Char Char Char1 Char"/>
    <w:basedOn w:val="a"/>
    <w:autoRedefine/>
    <w:uiPriority w:val="99"/>
    <w:rsid w:val="002F484F"/>
    <w:rPr>
      <w:rFonts w:ascii="仿宋_GB2312" w:eastAsia="仿宋_GB2312" w:hAnsi="Times New Roman" w:cs="仿宋_GB2312"/>
      <w:b/>
      <w:bCs/>
      <w:sz w:val="32"/>
      <w:szCs w:val="32"/>
    </w:rPr>
  </w:style>
  <w:style w:type="paragraph" w:customStyle="1" w:styleId="z1--">
    <w:name w:val="z样式1-正文-小四"/>
    <w:basedOn w:val="a"/>
    <w:uiPriority w:val="99"/>
    <w:qFormat/>
    <w:rsid w:val="002F484F"/>
    <w:pPr>
      <w:spacing w:line="440" w:lineRule="exact"/>
      <w:ind w:firstLineChars="200" w:firstLine="200"/>
    </w:pPr>
    <w:rPr>
      <w:rFonts w:ascii="宋体" w:eastAsia="仿宋" w:hAnsi="宋体" w:cs="宋体"/>
      <w:kern w:val="0"/>
      <w:sz w:val="24"/>
      <w:szCs w:val="21"/>
    </w:rPr>
  </w:style>
  <w:style w:type="paragraph" w:customStyle="1" w:styleId="Default">
    <w:name w:val="Default"/>
    <w:uiPriority w:val="99"/>
    <w:rsid w:val="002F484F"/>
    <w:pPr>
      <w:widowControl w:val="0"/>
      <w:autoSpaceDE w:val="0"/>
      <w:autoSpaceDN w:val="0"/>
      <w:adjustRightInd w:val="0"/>
    </w:pPr>
    <w:rPr>
      <w:rFonts w:ascii="宋体" w:eastAsia="宋体" w:cs="宋体"/>
      <w:color w:val="000000"/>
      <w:kern w:val="0"/>
      <w:sz w:val="24"/>
      <w:szCs w:val="24"/>
    </w:rPr>
  </w:style>
  <w:style w:type="character" w:customStyle="1" w:styleId="Char6">
    <w:name w:val="文档结构图 Char"/>
    <w:basedOn w:val="a0"/>
    <w:link w:val="af"/>
    <w:uiPriority w:val="99"/>
    <w:semiHidden/>
    <w:rsid w:val="002F484F"/>
    <w:rPr>
      <w:rFonts w:ascii="宋体" w:eastAsia="宋体" w:hAnsi="Times New Roman" w:cs="Times New Roman"/>
      <w:sz w:val="18"/>
      <w:szCs w:val="18"/>
    </w:rPr>
  </w:style>
  <w:style w:type="paragraph" w:styleId="af">
    <w:name w:val="Document Map"/>
    <w:basedOn w:val="a"/>
    <w:link w:val="Char6"/>
    <w:uiPriority w:val="99"/>
    <w:semiHidden/>
    <w:unhideWhenUsed/>
    <w:rsid w:val="002F484F"/>
    <w:rPr>
      <w:rFonts w:ascii="宋体" w:eastAsia="宋体" w:hAnsi="Times New Roman" w:cs="Times New Roman"/>
      <w:sz w:val="18"/>
      <w:szCs w:val="18"/>
    </w:rPr>
  </w:style>
  <w:style w:type="character" w:customStyle="1" w:styleId="Char11">
    <w:name w:val="文档结构图 Char1"/>
    <w:basedOn w:val="a0"/>
    <w:uiPriority w:val="99"/>
    <w:semiHidden/>
    <w:rsid w:val="002F484F"/>
    <w:rPr>
      <w:rFonts w:ascii="宋体" w:eastAsia="宋体"/>
      <w:sz w:val="18"/>
      <w:szCs w:val="18"/>
    </w:rPr>
  </w:style>
  <w:style w:type="table" w:customStyle="1" w:styleId="11">
    <w:name w:val="网格型1"/>
    <w:basedOn w:val="a1"/>
    <w:next w:val="a8"/>
    <w:uiPriority w:val="39"/>
    <w:qFormat/>
    <w:rsid w:val="002F4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semiHidden/>
    <w:unhideWhenUsed/>
    <w:qFormat/>
    <w:rsid w:val="002F484F"/>
    <w:pPr>
      <w:widowControl/>
      <w:spacing w:after="100" w:line="276" w:lineRule="auto"/>
      <w:jc w:val="left"/>
    </w:pPr>
    <w:rPr>
      <w:kern w:val="0"/>
      <w:sz w:val="22"/>
    </w:rPr>
  </w:style>
  <w:style w:type="character" w:customStyle="1" w:styleId="HTMLChar">
    <w:name w:val="HTML 预设格式 Char"/>
    <w:basedOn w:val="a0"/>
    <w:link w:val="HTML"/>
    <w:uiPriority w:val="99"/>
    <w:semiHidden/>
    <w:rsid w:val="002F484F"/>
    <w:rPr>
      <w:rFonts w:ascii="宋体" w:eastAsia="宋体" w:hAnsi="宋体" w:cs="宋体"/>
      <w:kern w:val="0"/>
      <w:sz w:val="24"/>
      <w:szCs w:val="24"/>
    </w:rPr>
  </w:style>
  <w:style w:type="paragraph" w:styleId="HTML">
    <w:name w:val="HTML Preformatted"/>
    <w:basedOn w:val="a"/>
    <w:link w:val="HTMLChar"/>
    <w:uiPriority w:val="99"/>
    <w:semiHidden/>
    <w:unhideWhenUsed/>
    <w:rsid w:val="002F4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uiPriority w:val="99"/>
    <w:semiHidden/>
    <w:rsid w:val="002F484F"/>
    <w:rPr>
      <w:rFonts w:ascii="Courier New" w:hAnsi="Courier New" w:cs="Courier New"/>
      <w:sz w:val="20"/>
      <w:szCs w:val="20"/>
    </w:rPr>
  </w:style>
  <w:style w:type="paragraph" w:styleId="af0">
    <w:name w:val="Revision"/>
    <w:hidden/>
    <w:uiPriority w:val="99"/>
    <w:semiHidden/>
    <w:rsid w:val="002F484F"/>
    <w:rPr>
      <w:rFonts w:ascii="Times New Roman" w:eastAsia="宋体" w:hAnsi="Times New Roman" w:cs="Times New Roman"/>
    </w:rPr>
  </w:style>
  <w:style w:type="character" w:customStyle="1" w:styleId="fontstyle01">
    <w:name w:val="fontstyle01"/>
    <w:basedOn w:val="a0"/>
    <w:rsid w:val="002F484F"/>
    <w:rPr>
      <w:rFonts w:ascii="FZFSK--GBK1-0" w:hAnsi="FZFSK--GBK1-0" w:hint="default"/>
      <w:b w:val="0"/>
      <w:bCs w:val="0"/>
      <w:i w:val="0"/>
      <w:iCs w:val="0"/>
      <w:color w:val="000000"/>
      <w:sz w:val="32"/>
      <w:szCs w:val="32"/>
    </w:rPr>
  </w:style>
  <w:style w:type="character" w:customStyle="1" w:styleId="fontstyle11">
    <w:name w:val="fontstyle11"/>
    <w:basedOn w:val="a0"/>
    <w:rsid w:val="002F484F"/>
    <w:rPr>
      <w:rFonts w:ascii="E-BZ" w:hAnsi="E-BZ" w:hint="default"/>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8EA"/>
    <w:pPr>
      <w:widowControl w:val="0"/>
      <w:jc w:val="both"/>
    </w:pPr>
  </w:style>
  <w:style w:type="paragraph" w:styleId="1">
    <w:name w:val="heading 1"/>
    <w:basedOn w:val="a"/>
    <w:next w:val="a"/>
    <w:link w:val="1Char"/>
    <w:uiPriority w:val="9"/>
    <w:qFormat/>
    <w:rsid w:val="002F484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F484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2F484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unhideWhenUsed/>
    <w:qFormat/>
    <w:rsid w:val="002F484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EA0"/>
    <w:pPr>
      <w:ind w:firstLineChars="200" w:firstLine="420"/>
    </w:pPr>
  </w:style>
  <w:style w:type="paragraph" w:styleId="a4">
    <w:name w:val="Date"/>
    <w:basedOn w:val="a"/>
    <w:next w:val="a"/>
    <w:link w:val="Char"/>
    <w:uiPriority w:val="99"/>
    <w:semiHidden/>
    <w:unhideWhenUsed/>
    <w:rsid w:val="002F484F"/>
    <w:pPr>
      <w:ind w:leftChars="2500" w:left="100"/>
    </w:pPr>
  </w:style>
  <w:style w:type="character" w:customStyle="1" w:styleId="Char">
    <w:name w:val="日期 Char"/>
    <w:basedOn w:val="a0"/>
    <w:link w:val="a4"/>
    <w:uiPriority w:val="99"/>
    <w:semiHidden/>
    <w:rsid w:val="002F484F"/>
  </w:style>
  <w:style w:type="character" w:customStyle="1" w:styleId="1Char">
    <w:name w:val="标题 1 Char"/>
    <w:basedOn w:val="a0"/>
    <w:link w:val="1"/>
    <w:uiPriority w:val="9"/>
    <w:rsid w:val="002F484F"/>
    <w:rPr>
      <w:b/>
      <w:bCs/>
      <w:kern w:val="44"/>
      <w:sz w:val="44"/>
      <w:szCs w:val="44"/>
    </w:rPr>
  </w:style>
  <w:style w:type="character" w:customStyle="1" w:styleId="2Char">
    <w:name w:val="标题 2 Char"/>
    <w:basedOn w:val="a0"/>
    <w:link w:val="2"/>
    <w:uiPriority w:val="9"/>
    <w:rsid w:val="002F484F"/>
    <w:rPr>
      <w:rFonts w:asciiTheme="majorHAnsi" w:eastAsiaTheme="majorEastAsia" w:hAnsiTheme="majorHAnsi" w:cstheme="majorBidi"/>
      <w:b/>
      <w:bCs/>
      <w:sz w:val="32"/>
      <w:szCs w:val="32"/>
    </w:rPr>
  </w:style>
  <w:style w:type="character" w:customStyle="1" w:styleId="3Char">
    <w:name w:val="标题 3 Char"/>
    <w:basedOn w:val="a0"/>
    <w:link w:val="3"/>
    <w:qFormat/>
    <w:rsid w:val="002F484F"/>
    <w:rPr>
      <w:rFonts w:ascii="Calibri" w:eastAsia="宋体" w:hAnsi="Calibri" w:cs="Times New Roman"/>
      <w:b/>
      <w:bCs/>
      <w:sz w:val="32"/>
      <w:szCs w:val="32"/>
    </w:rPr>
  </w:style>
  <w:style w:type="character" w:customStyle="1" w:styleId="4Char">
    <w:name w:val="标题 4 Char"/>
    <w:basedOn w:val="a0"/>
    <w:link w:val="4"/>
    <w:uiPriority w:val="9"/>
    <w:rsid w:val="002F484F"/>
    <w:rPr>
      <w:rFonts w:asciiTheme="majorHAnsi" w:eastAsiaTheme="majorEastAsia" w:hAnsiTheme="majorHAnsi" w:cstheme="majorBidi"/>
      <w:b/>
      <w:bCs/>
      <w:sz w:val="28"/>
      <w:szCs w:val="28"/>
    </w:rPr>
  </w:style>
  <w:style w:type="numbering" w:customStyle="1" w:styleId="10">
    <w:name w:val="无列表1"/>
    <w:next w:val="a2"/>
    <w:uiPriority w:val="99"/>
    <w:semiHidden/>
    <w:unhideWhenUsed/>
    <w:rsid w:val="002F484F"/>
  </w:style>
  <w:style w:type="paragraph" w:styleId="a5">
    <w:name w:val="header"/>
    <w:basedOn w:val="a"/>
    <w:link w:val="Char0"/>
    <w:uiPriority w:val="99"/>
    <w:unhideWhenUsed/>
    <w:rsid w:val="002F484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uiPriority w:val="99"/>
    <w:rsid w:val="002F484F"/>
    <w:rPr>
      <w:rFonts w:ascii="Times New Roman" w:eastAsia="宋体" w:hAnsi="Times New Roman" w:cs="Times New Roman"/>
      <w:sz w:val="18"/>
      <w:szCs w:val="18"/>
    </w:rPr>
  </w:style>
  <w:style w:type="paragraph" w:styleId="a6">
    <w:name w:val="footer"/>
    <w:basedOn w:val="a"/>
    <w:link w:val="Char1"/>
    <w:uiPriority w:val="99"/>
    <w:unhideWhenUsed/>
    <w:rsid w:val="002F484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uiPriority w:val="99"/>
    <w:rsid w:val="002F484F"/>
    <w:rPr>
      <w:rFonts w:ascii="Times New Roman" w:eastAsia="宋体" w:hAnsi="Times New Roman" w:cs="Times New Roman"/>
      <w:sz w:val="18"/>
      <w:szCs w:val="18"/>
    </w:rPr>
  </w:style>
  <w:style w:type="paragraph" w:styleId="a7">
    <w:name w:val="Balloon Text"/>
    <w:basedOn w:val="a"/>
    <w:link w:val="Char2"/>
    <w:uiPriority w:val="99"/>
    <w:semiHidden/>
    <w:unhideWhenUsed/>
    <w:rsid w:val="002F484F"/>
    <w:rPr>
      <w:sz w:val="18"/>
      <w:szCs w:val="18"/>
    </w:rPr>
  </w:style>
  <w:style w:type="character" w:customStyle="1" w:styleId="Char2">
    <w:name w:val="批注框文本 Char"/>
    <w:basedOn w:val="a0"/>
    <w:link w:val="a7"/>
    <w:uiPriority w:val="99"/>
    <w:semiHidden/>
    <w:rsid w:val="002F484F"/>
    <w:rPr>
      <w:sz w:val="18"/>
      <w:szCs w:val="18"/>
    </w:rPr>
  </w:style>
  <w:style w:type="table" w:styleId="a8">
    <w:name w:val="Table Grid"/>
    <w:basedOn w:val="a1"/>
    <w:uiPriority w:val="39"/>
    <w:rsid w:val="002F4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nhideWhenUsed/>
    <w:qFormat/>
    <w:rsid w:val="002F484F"/>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unhideWhenUsed/>
    <w:qFormat/>
    <w:rsid w:val="002F484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qFormat/>
    <w:rsid w:val="002F484F"/>
    <w:pPr>
      <w:tabs>
        <w:tab w:val="right" w:leader="dot" w:pos="8222"/>
      </w:tabs>
      <w:ind w:leftChars="200" w:left="420"/>
    </w:pPr>
    <w:rPr>
      <w:rFonts w:ascii="Times New Roman" w:eastAsia="宋体" w:hAnsi="Times New Roman" w:cs="Times New Roman"/>
    </w:rPr>
  </w:style>
  <w:style w:type="paragraph" w:styleId="30">
    <w:name w:val="toc 3"/>
    <w:basedOn w:val="a"/>
    <w:next w:val="a"/>
    <w:autoRedefine/>
    <w:uiPriority w:val="39"/>
    <w:unhideWhenUsed/>
    <w:qFormat/>
    <w:rsid w:val="002F484F"/>
    <w:pPr>
      <w:tabs>
        <w:tab w:val="right" w:leader="dot" w:pos="8222"/>
      </w:tabs>
      <w:spacing w:line="360" w:lineRule="auto"/>
      <w:ind w:leftChars="400" w:left="840"/>
    </w:pPr>
    <w:rPr>
      <w:rFonts w:ascii="Times New Roman" w:eastAsia="宋体" w:hAnsi="Times New Roman" w:cs="Times New Roman"/>
    </w:rPr>
  </w:style>
  <w:style w:type="character" w:styleId="aa">
    <w:name w:val="Hyperlink"/>
    <w:basedOn w:val="a0"/>
    <w:uiPriority w:val="99"/>
    <w:unhideWhenUsed/>
    <w:rsid w:val="002F484F"/>
    <w:rPr>
      <w:color w:val="0000FF" w:themeColor="hyperlink"/>
      <w:u w:val="single"/>
    </w:rPr>
  </w:style>
  <w:style w:type="character" w:customStyle="1" w:styleId="Char3">
    <w:name w:val="正文文本缩进 Char"/>
    <w:basedOn w:val="a0"/>
    <w:link w:val="ab"/>
    <w:uiPriority w:val="99"/>
    <w:rsid w:val="002F484F"/>
    <w:rPr>
      <w:rFonts w:ascii="Times New Roman" w:eastAsia="宋体" w:hAnsi="Times New Roman" w:cs="Times New Roman"/>
      <w:szCs w:val="24"/>
    </w:rPr>
  </w:style>
  <w:style w:type="paragraph" w:styleId="ab">
    <w:name w:val="Body Text Indent"/>
    <w:basedOn w:val="a"/>
    <w:link w:val="Char3"/>
    <w:uiPriority w:val="99"/>
    <w:rsid w:val="002F484F"/>
    <w:pPr>
      <w:ind w:firstLineChars="300" w:firstLine="630"/>
    </w:pPr>
    <w:rPr>
      <w:rFonts w:ascii="Times New Roman" w:eastAsia="宋体" w:hAnsi="Times New Roman" w:cs="Times New Roman"/>
      <w:szCs w:val="24"/>
    </w:rPr>
  </w:style>
  <w:style w:type="character" w:customStyle="1" w:styleId="Char10">
    <w:name w:val="正文文本缩进 Char1"/>
    <w:basedOn w:val="a0"/>
    <w:uiPriority w:val="99"/>
    <w:semiHidden/>
    <w:rsid w:val="002F484F"/>
  </w:style>
  <w:style w:type="character" w:styleId="ac">
    <w:name w:val="annotation reference"/>
    <w:basedOn w:val="a0"/>
    <w:uiPriority w:val="99"/>
    <w:semiHidden/>
    <w:unhideWhenUsed/>
    <w:rsid w:val="002F484F"/>
    <w:rPr>
      <w:sz w:val="21"/>
      <w:szCs w:val="21"/>
    </w:rPr>
  </w:style>
  <w:style w:type="paragraph" w:styleId="ad">
    <w:name w:val="annotation text"/>
    <w:basedOn w:val="a"/>
    <w:link w:val="Char4"/>
    <w:uiPriority w:val="99"/>
    <w:semiHidden/>
    <w:unhideWhenUsed/>
    <w:rsid w:val="002F484F"/>
    <w:pPr>
      <w:jc w:val="left"/>
    </w:pPr>
    <w:rPr>
      <w:rFonts w:ascii="Times New Roman" w:eastAsia="宋体" w:hAnsi="Times New Roman" w:cs="Times New Roman"/>
    </w:rPr>
  </w:style>
  <w:style w:type="character" w:customStyle="1" w:styleId="Char4">
    <w:name w:val="批注文字 Char"/>
    <w:basedOn w:val="a0"/>
    <w:link w:val="ad"/>
    <w:uiPriority w:val="99"/>
    <w:semiHidden/>
    <w:rsid w:val="002F484F"/>
    <w:rPr>
      <w:rFonts w:ascii="Times New Roman" w:eastAsia="宋体" w:hAnsi="Times New Roman" w:cs="Times New Roman"/>
    </w:rPr>
  </w:style>
  <w:style w:type="paragraph" w:styleId="ae">
    <w:name w:val="annotation subject"/>
    <w:basedOn w:val="ad"/>
    <w:next w:val="ad"/>
    <w:link w:val="Char5"/>
    <w:uiPriority w:val="99"/>
    <w:semiHidden/>
    <w:unhideWhenUsed/>
    <w:rsid w:val="002F484F"/>
    <w:rPr>
      <w:b/>
      <w:bCs/>
    </w:rPr>
  </w:style>
  <w:style w:type="character" w:customStyle="1" w:styleId="Char5">
    <w:name w:val="批注主题 Char"/>
    <w:basedOn w:val="Char4"/>
    <w:link w:val="ae"/>
    <w:uiPriority w:val="99"/>
    <w:semiHidden/>
    <w:rsid w:val="002F484F"/>
    <w:rPr>
      <w:rFonts w:ascii="Times New Roman" w:eastAsia="宋体" w:hAnsi="Times New Roman" w:cs="Times New Roman"/>
      <w:b/>
      <w:bCs/>
    </w:rPr>
  </w:style>
  <w:style w:type="paragraph" w:customStyle="1" w:styleId="1bG">
    <w:name w:val="1bG"/>
    <w:basedOn w:val="a"/>
    <w:uiPriority w:val="99"/>
    <w:qFormat/>
    <w:rsid w:val="002F484F"/>
    <w:pPr>
      <w:spacing w:line="264" w:lineRule="auto"/>
      <w:jc w:val="left"/>
    </w:pPr>
    <w:rPr>
      <w:rFonts w:ascii="宋体" w:eastAsia="宋体" w:hAnsi="宋体" w:cs="Times New Roman"/>
      <w:szCs w:val="21"/>
    </w:rPr>
  </w:style>
  <w:style w:type="paragraph" w:customStyle="1" w:styleId="CharCharChar1Char">
    <w:name w:val="Char Char Char1 Char"/>
    <w:basedOn w:val="a"/>
    <w:autoRedefine/>
    <w:uiPriority w:val="99"/>
    <w:rsid w:val="002F484F"/>
    <w:rPr>
      <w:rFonts w:ascii="仿宋_GB2312" w:eastAsia="仿宋_GB2312" w:hAnsi="Times New Roman" w:cs="仿宋_GB2312"/>
      <w:b/>
      <w:bCs/>
      <w:sz w:val="32"/>
      <w:szCs w:val="32"/>
    </w:rPr>
  </w:style>
  <w:style w:type="paragraph" w:customStyle="1" w:styleId="z1--">
    <w:name w:val="z样式1-正文-小四"/>
    <w:basedOn w:val="a"/>
    <w:uiPriority w:val="99"/>
    <w:qFormat/>
    <w:rsid w:val="002F484F"/>
    <w:pPr>
      <w:spacing w:line="440" w:lineRule="exact"/>
      <w:ind w:firstLineChars="200" w:firstLine="200"/>
    </w:pPr>
    <w:rPr>
      <w:rFonts w:ascii="宋体" w:eastAsia="仿宋" w:hAnsi="宋体" w:cs="宋体"/>
      <w:kern w:val="0"/>
      <w:sz w:val="24"/>
      <w:szCs w:val="21"/>
    </w:rPr>
  </w:style>
  <w:style w:type="paragraph" w:customStyle="1" w:styleId="Default">
    <w:name w:val="Default"/>
    <w:uiPriority w:val="99"/>
    <w:rsid w:val="002F484F"/>
    <w:pPr>
      <w:widowControl w:val="0"/>
      <w:autoSpaceDE w:val="0"/>
      <w:autoSpaceDN w:val="0"/>
      <w:adjustRightInd w:val="0"/>
    </w:pPr>
    <w:rPr>
      <w:rFonts w:ascii="宋体" w:eastAsia="宋体" w:cs="宋体"/>
      <w:color w:val="000000"/>
      <w:kern w:val="0"/>
      <w:sz w:val="24"/>
      <w:szCs w:val="24"/>
    </w:rPr>
  </w:style>
  <w:style w:type="character" w:customStyle="1" w:styleId="Char6">
    <w:name w:val="文档结构图 Char"/>
    <w:basedOn w:val="a0"/>
    <w:link w:val="af"/>
    <w:uiPriority w:val="99"/>
    <w:semiHidden/>
    <w:rsid w:val="002F484F"/>
    <w:rPr>
      <w:rFonts w:ascii="宋体" w:eastAsia="宋体" w:hAnsi="Times New Roman" w:cs="Times New Roman"/>
      <w:sz w:val="18"/>
      <w:szCs w:val="18"/>
    </w:rPr>
  </w:style>
  <w:style w:type="paragraph" w:styleId="af">
    <w:name w:val="Document Map"/>
    <w:basedOn w:val="a"/>
    <w:link w:val="Char6"/>
    <w:uiPriority w:val="99"/>
    <w:semiHidden/>
    <w:unhideWhenUsed/>
    <w:rsid w:val="002F484F"/>
    <w:rPr>
      <w:rFonts w:ascii="宋体" w:eastAsia="宋体" w:hAnsi="Times New Roman" w:cs="Times New Roman"/>
      <w:sz w:val="18"/>
      <w:szCs w:val="18"/>
    </w:rPr>
  </w:style>
  <w:style w:type="character" w:customStyle="1" w:styleId="Char11">
    <w:name w:val="文档结构图 Char1"/>
    <w:basedOn w:val="a0"/>
    <w:uiPriority w:val="99"/>
    <w:semiHidden/>
    <w:rsid w:val="002F484F"/>
    <w:rPr>
      <w:rFonts w:ascii="宋体" w:eastAsia="宋体"/>
      <w:sz w:val="18"/>
      <w:szCs w:val="18"/>
    </w:rPr>
  </w:style>
  <w:style w:type="table" w:customStyle="1" w:styleId="11">
    <w:name w:val="网格型1"/>
    <w:basedOn w:val="a1"/>
    <w:next w:val="a8"/>
    <w:uiPriority w:val="39"/>
    <w:qFormat/>
    <w:rsid w:val="002F4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semiHidden/>
    <w:unhideWhenUsed/>
    <w:qFormat/>
    <w:rsid w:val="002F484F"/>
    <w:pPr>
      <w:widowControl/>
      <w:spacing w:after="100" w:line="276" w:lineRule="auto"/>
      <w:jc w:val="left"/>
    </w:pPr>
    <w:rPr>
      <w:kern w:val="0"/>
      <w:sz w:val="22"/>
    </w:rPr>
  </w:style>
  <w:style w:type="character" w:customStyle="1" w:styleId="HTMLChar">
    <w:name w:val="HTML 预设格式 Char"/>
    <w:basedOn w:val="a0"/>
    <w:link w:val="HTML"/>
    <w:uiPriority w:val="99"/>
    <w:semiHidden/>
    <w:rsid w:val="002F484F"/>
    <w:rPr>
      <w:rFonts w:ascii="宋体" w:eastAsia="宋体" w:hAnsi="宋体" w:cs="宋体"/>
      <w:kern w:val="0"/>
      <w:sz w:val="24"/>
      <w:szCs w:val="24"/>
    </w:rPr>
  </w:style>
  <w:style w:type="paragraph" w:styleId="HTML">
    <w:name w:val="HTML Preformatted"/>
    <w:basedOn w:val="a"/>
    <w:link w:val="HTMLChar"/>
    <w:uiPriority w:val="99"/>
    <w:semiHidden/>
    <w:unhideWhenUsed/>
    <w:rsid w:val="002F4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uiPriority w:val="99"/>
    <w:semiHidden/>
    <w:rsid w:val="002F484F"/>
    <w:rPr>
      <w:rFonts w:ascii="Courier New" w:hAnsi="Courier New" w:cs="Courier New"/>
      <w:sz w:val="20"/>
      <w:szCs w:val="20"/>
    </w:rPr>
  </w:style>
  <w:style w:type="paragraph" w:styleId="af0">
    <w:name w:val="Revision"/>
    <w:hidden/>
    <w:uiPriority w:val="99"/>
    <w:semiHidden/>
    <w:rsid w:val="002F484F"/>
    <w:rPr>
      <w:rFonts w:ascii="Times New Roman" w:eastAsia="宋体" w:hAnsi="Times New Roman" w:cs="Times New Roman"/>
    </w:rPr>
  </w:style>
  <w:style w:type="character" w:customStyle="1" w:styleId="fontstyle01">
    <w:name w:val="fontstyle01"/>
    <w:basedOn w:val="a0"/>
    <w:rsid w:val="002F484F"/>
    <w:rPr>
      <w:rFonts w:ascii="FZFSK--GBK1-0" w:hAnsi="FZFSK--GBK1-0" w:hint="default"/>
      <w:b w:val="0"/>
      <w:bCs w:val="0"/>
      <w:i w:val="0"/>
      <w:iCs w:val="0"/>
      <w:color w:val="000000"/>
      <w:sz w:val="32"/>
      <w:szCs w:val="32"/>
    </w:rPr>
  </w:style>
  <w:style w:type="character" w:customStyle="1" w:styleId="fontstyle11">
    <w:name w:val="fontstyle11"/>
    <w:basedOn w:val="a0"/>
    <w:rsid w:val="002F484F"/>
    <w:rPr>
      <w:rFonts w:ascii="E-BZ" w:hAnsi="E-BZ"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D:\&#38738;&#23707;&#24066;&#20844;&#26381;&#35774;&#26045;&#23548;&#21017;201705.docx" TargetMode="External"/><Relationship Id="rId4" Type="http://schemas.microsoft.com/office/2007/relationships/stylesWithEffects" Target="stylesWithEffects.xml"/><Relationship Id="rId9" Type="http://schemas.openxmlformats.org/officeDocument/2006/relationships/hyperlink" Target="file:///D:\&#38738;&#23707;&#24066;&#20844;&#26381;&#35774;&#26045;&#23548;&#21017;201705.doc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AF37-D582-4030-A59D-8D64268B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955</Words>
  <Characters>5448</Characters>
  <Application>Microsoft Office Word</Application>
  <DocSecurity>0</DocSecurity>
  <Lines>45</Lines>
  <Paragraphs>12</Paragraphs>
  <ScaleCrop>false</ScaleCrop>
  <Company>Organization</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3</cp:revision>
  <cp:lastPrinted>2022-01-18T06:34:00Z</cp:lastPrinted>
  <dcterms:created xsi:type="dcterms:W3CDTF">2022-01-21T08:26:00Z</dcterms:created>
  <dcterms:modified xsi:type="dcterms:W3CDTF">2022-03-17T06:20:00Z</dcterms:modified>
</cp:coreProperties>
</file>