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center"/>
        <w:rPr>
          <w:rFonts w:hint="eastAsia" w:ascii="方正小标宋简体" w:hAnsi="方正小标宋简体" w:eastAsia="方正小标宋简体" w:cs="方正小标宋简体"/>
          <w:b w:val="0"/>
          <w:bCs/>
          <w:caps w:val="0"/>
          <w:color w:val="000000"/>
          <w:spacing w:val="0"/>
          <w:sz w:val="44"/>
          <w:szCs w:val="44"/>
        </w:rPr>
      </w:pPr>
      <w:bookmarkStart w:id="0" w:name="_GoBack"/>
      <w:r>
        <w:rPr>
          <w:rStyle w:val="5"/>
          <w:rFonts w:hint="eastAsia" w:ascii="方正小标宋简体" w:hAnsi="方正小标宋简体" w:eastAsia="方正小标宋简体" w:cs="方正小标宋简体"/>
          <w:b w:val="0"/>
          <w:bCs/>
          <w:caps w:val="0"/>
          <w:color w:val="000000"/>
          <w:spacing w:val="0"/>
          <w:sz w:val="44"/>
          <w:szCs w:val="44"/>
          <w:bdr w:val="none" w:color="auto" w:sz="0" w:space="0"/>
          <w:shd w:val="clear" w:fill="FFFFFF"/>
        </w:rPr>
        <w:t>区（市）级耕地保护激励评价指标体系及权重</w:t>
      </w:r>
      <w:bookmarkEnd w:id="0"/>
    </w:p>
    <w:tbl>
      <w:tblPr>
        <w:tblW w:w="144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706"/>
        <w:gridCol w:w="1697"/>
        <w:gridCol w:w="5991"/>
        <w:gridCol w:w="3123"/>
        <w:gridCol w:w="2162"/>
        <w:gridCol w:w="8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序号</w:t>
            </w:r>
          </w:p>
        </w:tc>
        <w:tc>
          <w:tcPr>
            <w:tcW w:w="16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评价指标</w:t>
            </w:r>
          </w:p>
        </w:tc>
        <w:tc>
          <w:tcPr>
            <w:tcW w:w="598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评价标准</w:t>
            </w:r>
          </w:p>
        </w:tc>
        <w:tc>
          <w:tcPr>
            <w:tcW w:w="312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评分依据</w:t>
            </w:r>
          </w:p>
        </w:tc>
        <w:tc>
          <w:tcPr>
            <w:tcW w:w="21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数据来源</w:t>
            </w:r>
          </w:p>
        </w:tc>
        <w:tc>
          <w:tcPr>
            <w:tcW w:w="81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权重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1830" w:hRule="atLeast"/>
        </w:trPr>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1</w:t>
            </w:r>
          </w:p>
        </w:tc>
        <w:tc>
          <w:tcPr>
            <w:tcW w:w="16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耕地保有量完成情况</w:t>
            </w:r>
          </w:p>
        </w:tc>
        <w:tc>
          <w:tcPr>
            <w:tcW w:w="598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1）上一年末实有耕地面积与规划确定的耕地保有量目标比较，大于等于的得10分；（2）以区、市耕地保有量为基数，每高于基数5%的加1分，最高不超过3分；（3）以区、市为单位，全市实有耕地面积平均值为基数，高于基数10%的加1分，高于基数20%的加2分，最高不超过2分。</w:t>
            </w:r>
          </w:p>
        </w:tc>
        <w:tc>
          <w:tcPr>
            <w:tcW w:w="312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年度国土变更调查成果</w:t>
            </w:r>
          </w:p>
        </w:tc>
        <w:tc>
          <w:tcPr>
            <w:tcW w:w="21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市自然资源和规划局</w:t>
            </w:r>
          </w:p>
        </w:tc>
        <w:tc>
          <w:tcPr>
            <w:tcW w:w="81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660" w:hRule="atLeast"/>
        </w:trPr>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2</w:t>
            </w:r>
          </w:p>
        </w:tc>
        <w:tc>
          <w:tcPr>
            <w:tcW w:w="16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永久基本农田保护任务完成情况</w:t>
            </w:r>
          </w:p>
        </w:tc>
        <w:tc>
          <w:tcPr>
            <w:tcW w:w="598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上一年末永久基本农田面积与规划确定的永久基本农田保护目标比较，大于等于的得15分。</w:t>
            </w:r>
          </w:p>
        </w:tc>
        <w:tc>
          <w:tcPr>
            <w:tcW w:w="312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年度国土变更调查成果</w:t>
            </w:r>
          </w:p>
        </w:tc>
        <w:tc>
          <w:tcPr>
            <w:tcW w:w="21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市自然资源和规划局</w:t>
            </w:r>
          </w:p>
        </w:tc>
        <w:tc>
          <w:tcPr>
            <w:tcW w:w="81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1395" w:hRule="atLeast"/>
        </w:trPr>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3</w:t>
            </w:r>
          </w:p>
        </w:tc>
        <w:tc>
          <w:tcPr>
            <w:tcW w:w="16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耕地占补平衡落实情况</w:t>
            </w:r>
          </w:p>
        </w:tc>
        <w:tc>
          <w:tcPr>
            <w:tcW w:w="598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1）上一年度补充耕地面积大于等于新增建设用地占用耕地面积的得5分；（2）上一年度内每新增入库耕地面积500亩加0.2分，最高不超过3分；上一年度高标准农田建设新增耕地面积纳入补充耕地储备库，每新增耕地300亩加1分，最高不超过2分。</w:t>
            </w:r>
          </w:p>
        </w:tc>
        <w:tc>
          <w:tcPr>
            <w:tcW w:w="312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青岛市建设用地审批系统、全国耕地占补平衡动态监管系统</w:t>
            </w:r>
          </w:p>
        </w:tc>
        <w:tc>
          <w:tcPr>
            <w:tcW w:w="21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市自然资源和规划局</w:t>
            </w:r>
          </w:p>
        </w:tc>
        <w:tc>
          <w:tcPr>
            <w:tcW w:w="81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115" w:hRule="atLeast"/>
        </w:trPr>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4</w:t>
            </w:r>
          </w:p>
        </w:tc>
        <w:tc>
          <w:tcPr>
            <w:tcW w:w="16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耕地占补平衡项目、增减挂钩项目实施和后期管护情况</w:t>
            </w:r>
          </w:p>
        </w:tc>
        <w:tc>
          <w:tcPr>
            <w:tcW w:w="598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1）抽查的耕地占补平衡项目预算资金中的后期管护资金大于等于投资总额1%的得4分，低于1%的不得分；（2）上一年度补充耕地核查中新增耕地全部属实的得4分，抽查的耕地不实规模与抽查的补充耕地规模相比，按照比值乘以分值计算相应扣分。（3）抽查的增减挂钩项目后期管护资金和措施到位，没有发生“非农化”“非粮化”等耕地不实情形的得2分，按照抽查的耕地不实规模与抽查的新增耕地规模相比，按照比值乘以分值计算相应扣分。</w:t>
            </w:r>
          </w:p>
        </w:tc>
        <w:tc>
          <w:tcPr>
            <w:tcW w:w="312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山东省耕地保护动态监管工作平台耕地占补平衡项目核查结果；增减挂钩项目核查结果</w:t>
            </w:r>
          </w:p>
        </w:tc>
        <w:tc>
          <w:tcPr>
            <w:tcW w:w="21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市自然资源和规划局</w:t>
            </w:r>
          </w:p>
        </w:tc>
        <w:tc>
          <w:tcPr>
            <w:tcW w:w="81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1260" w:hRule="atLeast"/>
        </w:trPr>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5</w:t>
            </w:r>
          </w:p>
        </w:tc>
        <w:tc>
          <w:tcPr>
            <w:tcW w:w="16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耕地进出平衡项目实施情况</w:t>
            </w:r>
          </w:p>
        </w:tc>
        <w:tc>
          <w:tcPr>
            <w:tcW w:w="598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（1）编制完成年度耕地进出平衡总体方案并备案，得5分；（2）实施完成进出平衡总体方案确定的拟整治恢复耕地的规模并验收备案入库的得5分。</w:t>
            </w:r>
          </w:p>
        </w:tc>
        <w:tc>
          <w:tcPr>
            <w:tcW w:w="312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年度变更调查成果、耕地进出平衡指标储备库</w:t>
            </w:r>
          </w:p>
        </w:tc>
        <w:tc>
          <w:tcPr>
            <w:tcW w:w="21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市自然资源和规划局</w:t>
            </w:r>
          </w:p>
        </w:tc>
        <w:tc>
          <w:tcPr>
            <w:tcW w:w="81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400" w:hRule="atLeast"/>
        </w:trPr>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6</w:t>
            </w:r>
          </w:p>
        </w:tc>
        <w:tc>
          <w:tcPr>
            <w:tcW w:w="16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违法占用耕地和永久基本农田情况</w:t>
            </w:r>
          </w:p>
        </w:tc>
        <w:tc>
          <w:tcPr>
            <w:tcW w:w="598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1）上一年度无违法占用耕地和永久基本农田的得10分，新增建设用地违法占用耕地面积与新增建设用地占用耕地面积的比例每增加0.5%扣1分，大于等于5%的不得分；（2）以上一年度全市耕地卫片新增“非农化”“非粮化”图斑面积占全市耕地保有量的比例为基数，区、市耕地卫片新增图斑面积占本辖区耕地保有量的比例小于等于基数的，得5分，每增加1%扣1分，增加5%以上的不得分。</w:t>
            </w:r>
          </w:p>
        </w:tc>
        <w:tc>
          <w:tcPr>
            <w:tcW w:w="312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年度土地卫片执法检查结果、年度耕地卫片监督检查结果</w:t>
            </w:r>
          </w:p>
        </w:tc>
        <w:tc>
          <w:tcPr>
            <w:tcW w:w="21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市自然资源和规划局</w:t>
            </w:r>
          </w:p>
        </w:tc>
        <w:tc>
          <w:tcPr>
            <w:tcW w:w="81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1395" w:hRule="atLeast"/>
        </w:trPr>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7</w:t>
            </w:r>
          </w:p>
        </w:tc>
        <w:tc>
          <w:tcPr>
            <w:tcW w:w="16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耕地和永久基本农田保护“田长制”工作实施情况</w:t>
            </w:r>
          </w:p>
        </w:tc>
        <w:tc>
          <w:tcPr>
            <w:tcW w:w="598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上一年度耕地和永久基本农田保护“田长制”工作绩效评价结果95分（含）以上的得10分；评价结果90-94分的得7分；评价结果85-89分的得5分；评价结果85分（不含）以下的不得分。</w:t>
            </w:r>
          </w:p>
        </w:tc>
        <w:tc>
          <w:tcPr>
            <w:tcW w:w="312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耕地和永久基本农田保护“田长制”工作绩效评价结果</w:t>
            </w:r>
          </w:p>
        </w:tc>
        <w:tc>
          <w:tcPr>
            <w:tcW w:w="21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市自然资源和规划局</w:t>
            </w:r>
          </w:p>
        </w:tc>
        <w:tc>
          <w:tcPr>
            <w:tcW w:w="81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1845" w:hRule="atLeast"/>
        </w:trPr>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8</w:t>
            </w:r>
          </w:p>
        </w:tc>
        <w:tc>
          <w:tcPr>
            <w:tcW w:w="16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耕地保护奖励资金管理和使用情况</w:t>
            </w:r>
          </w:p>
        </w:tc>
        <w:tc>
          <w:tcPr>
            <w:tcW w:w="598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1）受到省级和市级激励的乡（镇）资金全部实现支出得5分，其余情况得分为：（实际支出资金/省级+市级奖励资金）*5分;（2）受到省级和市级激励的乡（镇）在规定范围内使用资金的得5分，其余情况为（在规定范围内使用资金/省级+市级奖励资金）*5分。</w:t>
            </w:r>
          </w:p>
        </w:tc>
        <w:tc>
          <w:tcPr>
            <w:tcW w:w="312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奖励资金拨付和使用情况</w:t>
            </w:r>
          </w:p>
        </w:tc>
        <w:tc>
          <w:tcPr>
            <w:tcW w:w="21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市财政局、市自然资源和规划局</w:t>
            </w:r>
          </w:p>
        </w:tc>
        <w:tc>
          <w:tcPr>
            <w:tcW w:w="81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1110" w:hRule="atLeast"/>
        </w:trPr>
        <w:tc>
          <w:tcPr>
            <w:tcW w:w="70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9</w:t>
            </w:r>
          </w:p>
        </w:tc>
        <w:tc>
          <w:tcPr>
            <w:tcW w:w="169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耕地保护制度建设和做法创新情况</w:t>
            </w:r>
          </w:p>
        </w:tc>
        <w:tc>
          <w:tcPr>
            <w:tcW w:w="598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建立“耕地保护补偿激励”“耕地动态监测监管”“耕作层土壤剥离再利用”等耕地保护创新机制并取得明显成效的，每项得1分，最高不超过5分。</w:t>
            </w:r>
          </w:p>
        </w:tc>
        <w:tc>
          <w:tcPr>
            <w:tcW w:w="312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各地提供的举证材料情况</w:t>
            </w:r>
          </w:p>
        </w:tc>
        <w:tc>
          <w:tcPr>
            <w:tcW w:w="216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市自然资源和规划局</w:t>
            </w:r>
          </w:p>
        </w:tc>
        <w:tc>
          <w:tcPr>
            <w:tcW w:w="81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i w:val="0"/>
                <w:caps w:val="0"/>
                <w:color w:val="000000"/>
                <w:spacing w:val="0"/>
                <w:sz w:val="24"/>
                <w:szCs w:val="24"/>
                <w:bdr w:val="none" w:color="auto" w:sz="0" w:space="0"/>
              </w:rPr>
              <w:t>5%</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right="0" w:firstLine="480" w:firstLineChars="200"/>
        <w:jc w:val="left"/>
        <w:rPr>
          <w:rFonts w:hint="default" w:ascii="microsoft yahei" w:hAnsi="microsoft yahei" w:eastAsia="microsoft yahei" w:cs="microsoft yahei"/>
          <w:caps w:val="0"/>
          <w:color w:val="000000"/>
          <w:spacing w:val="0"/>
          <w:sz w:val="24"/>
          <w:szCs w:val="24"/>
        </w:rPr>
      </w:pPr>
      <w:r>
        <w:rPr>
          <w:rFonts w:hint="eastAsia" w:ascii="仿宋_GB2312" w:hAnsi="仿宋_GB2312" w:eastAsia="仿宋_GB2312" w:cs="仿宋_GB2312"/>
          <w:caps w:val="0"/>
          <w:color w:val="000000"/>
          <w:spacing w:val="0"/>
          <w:sz w:val="24"/>
          <w:szCs w:val="24"/>
          <w:bdr w:val="none" w:color="auto" w:sz="0" w:space="0"/>
          <w:shd w:val="clear" w:fill="FFFFFF"/>
        </w:rPr>
        <w:t>备注：1.按照导向明确、科学合理、凸显差异、客观公正的原则，选定9项数据指标，共计100分；2.上一年度未有省级和市级激励名额的区（市）第8项直接计10分；3.原则上按照区（市）耕地保有量所占全市耕地保有量的比例分配20个市级激励镇（街道）名额，推荐名单按照分值排名择优认定。</w:t>
      </w: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80F3C52" w:usb2="00000016" w:usb3="00000000" w:csb0="0004001F" w:csb1="00000000"/>
  </w:font>
  <w:font w:name="microsoft yahei">
    <w:altName w:val="URW Bookman"/>
    <w:panose1 w:val="00000000000000000000"/>
    <w:charset w:val="00"/>
    <w:family w:val="auto"/>
    <w:pitch w:val="default"/>
    <w:sig w:usb0="00000000" w:usb1="00000000" w:usb2="00000000" w:usb3="00000000" w:csb0="00000000" w:csb1="00000000"/>
  </w:font>
  <w:font w:name="URW Bookman">
    <w:panose1 w:val="00000400000000000000"/>
    <w:charset w:val="00"/>
    <w:family w:val="auto"/>
    <w:pitch w:val="default"/>
    <w:sig w:usb0="00000287" w:usb1="00000800" w:usb2="00000000" w:usb3="00000000" w:csb0="6000009F" w:csb1="00000000"/>
  </w:font>
  <w:font w:name="方正宋体S-超大字符集">
    <w:panose1 w:val="02000000000000000000"/>
    <w:charset w:val="86"/>
    <w:family w:val="auto"/>
    <w:pitch w:val="default"/>
    <w:sig w:usb0="00000001" w:usb1="08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Standard Symbols PS">
    <w:panose1 w:val="05050102010706020507"/>
    <w:charset w:val="00"/>
    <w:family w:val="auto"/>
    <w:pitch w:val="default"/>
    <w:sig w:usb0="00000003" w:usb1="00000000" w:usb2="00000000" w:usb3="00000000" w:csb0="00000001" w:csb1="00000000"/>
  </w:font>
  <w:font w:name="方正黑体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E7AE283"/>
    <w:rsid w:val="FE7AE2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2023-11-15T16:30:00Z</dcterms:created>
  <dc:creator>user</dc:creator>
  <cp:lastModifiedBy>user</cp:lastModifiedBy>
  <dcterms:modified xsi:type="dcterms:W3CDTF">2023-11-15T16:32:06Z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