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F4" w:rsidRPr="005526F4" w:rsidRDefault="005526F4" w:rsidP="005526F4">
      <w:pPr>
        <w:overflowPunct w:val="0"/>
        <w:spacing w:line="540" w:lineRule="exact"/>
        <w:jc w:val="center"/>
        <w:rPr>
          <w:rFonts w:ascii="方正小标宋简体" w:eastAsia="方正小标宋简体" w:hAnsi="楷体_GB2312" w:cs="楷体_GB2312" w:hint="eastAsia"/>
          <w:bCs/>
          <w:spacing w:val="-17"/>
          <w:sz w:val="44"/>
          <w:szCs w:val="44"/>
        </w:rPr>
      </w:pPr>
      <w:r w:rsidRPr="005526F4">
        <w:rPr>
          <w:rFonts w:ascii="方正小标宋简体" w:eastAsia="方正小标宋简体" w:hAnsi="楷体_GB2312" w:cs="楷体_GB2312" w:hint="eastAsia"/>
          <w:bCs/>
          <w:spacing w:val="-17"/>
          <w:sz w:val="44"/>
          <w:szCs w:val="44"/>
        </w:rPr>
        <w:t>即墨区一线调度强力推进重点项目</w:t>
      </w:r>
    </w:p>
    <w:p w:rsidR="005526F4" w:rsidRPr="005526F4" w:rsidRDefault="005526F4" w:rsidP="005526F4">
      <w:pPr>
        <w:overflowPunct w:val="0"/>
        <w:spacing w:line="540" w:lineRule="exact"/>
        <w:jc w:val="center"/>
        <w:rPr>
          <w:rFonts w:ascii="方正小标宋简体" w:eastAsia="方正小标宋简体" w:hAnsi="楷体_GB2312" w:cs="楷体_GB2312" w:hint="eastAsia"/>
          <w:bCs/>
          <w:spacing w:val="-17"/>
          <w:sz w:val="44"/>
          <w:szCs w:val="44"/>
        </w:rPr>
      </w:pPr>
      <w:r w:rsidRPr="005526F4">
        <w:rPr>
          <w:rFonts w:ascii="方正小标宋简体" w:eastAsia="方正小标宋简体" w:hAnsi="楷体_GB2312" w:cs="楷体_GB2312" w:hint="eastAsia"/>
          <w:bCs/>
          <w:spacing w:val="-17"/>
          <w:sz w:val="44"/>
          <w:szCs w:val="44"/>
        </w:rPr>
        <w:t>建设提速增效</w:t>
      </w:r>
    </w:p>
    <w:p w:rsidR="005526F4" w:rsidRPr="005526F4" w:rsidRDefault="005526F4" w:rsidP="005526F4">
      <w:pPr>
        <w:overflowPunct w:val="0"/>
        <w:spacing w:line="540" w:lineRule="exact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</w:p>
    <w:p w:rsidR="005526F4" w:rsidRPr="005526F4" w:rsidRDefault="005526F4" w:rsidP="005526F4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526F4">
        <w:rPr>
          <w:rFonts w:ascii="仿宋_GB2312" w:eastAsia="仿宋_GB2312" w:hAnsi="仿宋_GB2312" w:cs="仿宋_GB2312" w:hint="eastAsia"/>
          <w:sz w:val="32"/>
          <w:szCs w:val="32"/>
        </w:rPr>
        <w:t>今年以来，即墨区把重点项目建设作为党政“一把手工程”，坚持树立“大抓项目、抓大项目”的工作导向，“一切围绕项目转、一切盯着项目干”，坚持顶格推进，强化项目调度，加快建设进度，全区54个省市重点项目开工率达到81.5%，计划一季度开工率达到91%以上。</w:t>
      </w:r>
    </w:p>
    <w:p w:rsidR="005526F4" w:rsidRPr="005526F4" w:rsidRDefault="005526F4" w:rsidP="005526F4">
      <w:pPr>
        <w:spacing w:after="120" w:line="540" w:lineRule="exact"/>
        <w:ind w:firstLine="622"/>
        <w:rPr>
          <w:rFonts w:ascii="仿宋_GB2312" w:eastAsia="仿宋_GB2312" w:hAnsi="仿宋_GB2312" w:cs="仿宋_GB2312" w:hint="eastAsia"/>
          <w:sz w:val="32"/>
          <w:szCs w:val="40"/>
        </w:rPr>
      </w:pP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在点的突破上，奇瑞汽车项目调度具有代表性。</w:t>
      </w:r>
      <w:r w:rsidRPr="005526F4">
        <w:rPr>
          <w:rFonts w:ascii="仿宋_GB2312" w:eastAsia="仿宋_GB2312" w:hAnsi="仿宋_GB2312" w:cs="仿宋_GB2312" w:hint="eastAsia"/>
          <w:sz w:val="28"/>
          <w:szCs w:val="24"/>
        </w:rPr>
        <w:t>奇瑞汽车青岛基地项目，总投资130亿元，规划建设30万辆产能乘用车生产基地，2021年5月开工，计划今年底建成投产。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为加快推进奇瑞汽车项目建设，即墨区为该项目量身定做推进机制，零距离直线推进，锚定工期节点，全面冲刺发力，目前，项目已累计完成投资34.3亿元，冲压、焊装、涂装、</w:t>
      </w:r>
      <w:proofErr w:type="gramStart"/>
      <w:r w:rsidRPr="005526F4">
        <w:rPr>
          <w:rFonts w:ascii="仿宋_GB2312" w:eastAsia="仿宋_GB2312" w:hAnsi="仿宋_GB2312" w:cs="仿宋_GB2312" w:hint="eastAsia"/>
          <w:sz w:val="32"/>
          <w:szCs w:val="32"/>
        </w:rPr>
        <w:t>总装四</w:t>
      </w:r>
      <w:proofErr w:type="gramEnd"/>
      <w:r w:rsidRPr="005526F4">
        <w:rPr>
          <w:rFonts w:ascii="仿宋_GB2312" w:eastAsia="仿宋_GB2312" w:hAnsi="仿宋_GB2312" w:cs="仿宋_GB2312" w:hint="eastAsia"/>
          <w:sz w:val="32"/>
          <w:szCs w:val="32"/>
        </w:rPr>
        <w:t>大车间主体已封顶，正在进行内部装修和设备安装，该项目力争提前一个月，计划于今年11月整车下线，</w:t>
      </w:r>
      <w:proofErr w:type="gramStart"/>
      <w:r w:rsidRPr="005526F4">
        <w:rPr>
          <w:rFonts w:ascii="仿宋_GB2312" w:eastAsia="仿宋_GB2312" w:hAnsi="仿宋_GB2312" w:cs="仿宋_GB2312" w:hint="eastAsia"/>
          <w:sz w:val="32"/>
          <w:szCs w:val="40"/>
        </w:rPr>
        <w:t>创汽车</w:t>
      </w:r>
      <w:proofErr w:type="gramEnd"/>
      <w:r w:rsidRPr="005526F4">
        <w:rPr>
          <w:rFonts w:ascii="仿宋_GB2312" w:eastAsia="仿宋_GB2312" w:hAnsi="仿宋_GB2312" w:cs="仿宋_GB2312" w:hint="eastAsia"/>
          <w:sz w:val="32"/>
          <w:szCs w:val="40"/>
        </w:rPr>
        <w:t>项目建设的“即墨速度”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。在推动重点项目过程中，即墨区坚持项目建设“一张图”，日落实、周调度。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一是一竿子插到底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全员调度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。区委书记定期召开项目推进专题会议，从区级分管领导、职能部门、建设单位、施工企业、配套企业，进行全面调度，全链条、系统化压实责任，把工作责任明确到发改、财政、国土、审批、汽车城管委、龙泉街道等职能部门和所属区位，明确到奇瑞公司、青岛城投等3家建设单位、中建八局发展公司等20余家施工和供货配套单位，推动各责任单位认领任务，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签订项目责任状，做到压力传导到位、工作执行到位。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二是成立指挥部，现场督促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。组织汽车城管委、自然资源、住建、审批、供电等部门拉起专门班子，进驻项目建设一线，现场办公。指挥部建立一天</w:t>
      </w:r>
      <w:proofErr w:type="gramStart"/>
      <w:r w:rsidRPr="005526F4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5526F4">
        <w:rPr>
          <w:rFonts w:ascii="仿宋_GB2312" w:eastAsia="仿宋_GB2312" w:hAnsi="仿宋_GB2312" w:cs="仿宋_GB2312" w:hint="eastAsia"/>
          <w:sz w:val="32"/>
          <w:szCs w:val="32"/>
        </w:rPr>
        <w:t>巡、双日调度、周汇总机制，及时调度进展、布置工作。区委区政府督查专班建立周调度机制，对照时间表和作战图，对工作进展情况进行跟踪督查。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三是日</w:t>
      </w:r>
      <w:proofErr w:type="gramStart"/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调度日清账</w:t>
      </w:r>
      <w:proofErr w:type="gramEnd"/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，细化到时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。锁定总计划不变，排出日进度、周计划，倒排工期，挂图作战。指挥部会同各建设单位每天召开进度会议，落实当日进度是否满足计划要求，存在偏差的，立即拿出纠偏措施且第二天完成。针对项目提出的配套企业电力供应问题，及时调度供电公司、热电厂等保障单位，对在即钢构、混凝土等主材加工企业进行精准有序供电，确保优先保障奇瑞项目建设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</w:t>
      </w:r>
      <w:r w:rsidRPr="005526F4"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本地配套，快速保供。</w:t>
      </w:r>
      <w:r w:rsidRPr="005526F4">
        <w:rPr>
          <w:rFonts w:ascii="仿宋_GB2312" w:eastAsia="仿宋_GB2312" w:hAnsi="仿宋_GB2312" w:cs="仿宋_GB2312" w:hint="eastAsia"/>
          <w:sz w:val="28"/>
          <w:szCs w:val="24"/>
        </w:rPr>
        <w:t>坚持优先使用本地企业、地产地用，为奇瑞项目提供钢构、混凝土、水泥等配套的供应商和工程队，确保了建设物资的快速协调、快速进场、快速保供，解决了外地物资因疫情限制进场慢、进不来的问题。</w:t>
      </w:r>
      <w:r w:rsidRPr="005526F4"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五是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日夜连轴，不间断施工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。推动各工种穿插施工，全面施行“两班倒”。春节期间，组织200多名工人留守工地，管理人员全部轮值在岗，正月初三开始进场施工，正月初七全面复工，持续加大人员和机械投入，施工人员迅速增加到千人以上</w:t>
      </w:r>
      <w:r w:rsidRPr="005526F4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5526F4" w:rsidRPr="005526F4" w:rsidRDefault="005526F4" w:rsidP="005526F4">
      <w:pPr>
        <w:spacing w:line="540" w:lineRule="exact"/>
        <w:ind w:firstLine="622"/>
        <w:rPr>
          <w:rFonts w:ascii="仿宋_GB2312" w:eastAsia="仿宋_GB2312" w:hAnsi="仿宋_GB2312" w:cs="仿宋_GB2312" w:hint="eastAsia"/>
          <w:sz w:val="28"/>
          <w:szCs w:val="24"/>
        </w:rPr>
      </w:pPr>
      <w:r w:rsidRPr="005526F4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在面的推进中，即墨区建立高效推进机制，确保重点项目建设快速推进。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一是项目谋划清单制。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t>即墨区今年确定了208个省市区重点产业项目，逐一列出项目清单和具体的时间表、路线图、责任状、奖惩单，纳入区委、区政府重点督查，确保项目实打实、</w:t>
      </w:r>
      <w:r w:rsidRPr="005526F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能落地、年初就能快开工。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二是书记区长亲自抓。</w:t>
      </w:r>
      <w:r w:rsidRPr="005526F4">
        <w:rPr>
          <w:rFonts w:ascii="仿宋_GB2312" w:eastAsia="仿宋_GB2312" w:hAnsi="仿宋_GB2312" w:cs="仿宋_GB2312" w:hint="eastAsia"/>
          <w:sz w:val="28"/>
          <w:szCs w:val="24"/>
        </w:rPr>
        <w:t>现场调度研究重点项目成为常态，区委理论学习中心组到项目现场学习研讨形成制度，每名区级领导都有自己的项目联系点，随时发现解决项目建设遇到的困难问题。今年以来，即墨区委先后召开12次重点项目推进专题会，协调解决重点问题180余个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三是工作推进专班化。</w:t>
      </w:r>
      <w:r w:rsidRPr="005526F4">
        <w:rPr>
          <w:rFonts w:ascii="仿宋_GB2312" w:eastAsia="仿宋_GB2312" w:hAnsi="仿宋_GB2312" w:cs="仿宋_GB2312" w:hint="eastAsia"/>
          <w:sz w:val="28"/>
          <w:szCs w:val="24"/>
        </w:rPr>
        <w:t>投资促进工作领导小组办公室负责项目全周期过程，从开始谈判、引进，到中期考察、评估、立项，到后期落地、促进、考核，实行“全链条”跟进，确保项目从引进到建设整个环节不断线、高效率。</w:t>
      </w:r>
      <w:r w:rsidRPr="005526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四是要素跟着项目走。</w:t>
      </w:r>
      <w:r w:rsidRPr="005526F4">
        <w:rPr>
          <w:rFonts w:ascii="仿宋_GB2312" w:eastAsia="仿宋_GB2312" w:hAnsi="仿宋_GB2312" w:cs="仿宋_GB2312" w:hint="eastAsia"/>
          <w:sz w:val="28"/>
          <w:szCs w:val="24"/>
        </w:rPr>
        <w:t>确定了优化营商环境32项重点任务，将重点项目全部纳入VIP高效通道和模拟审批，发改、自然资源、财税等部门提前介入，在土地、资金、审批等环节优先支持保障。围绕土地供给，推行“标准地”改革，变“项目等地”为“对标拿地”，奇瑞汽车等重点项目从拿地到开工平均用时缩短40％；围绕审批提速，坚持“有求必应”“有需必供”，通过一张服务联系卡、</w:t>
      </w:r>
      <w:proofErr w:type="gramStart"/>
      <w:r w:rsidRPr="005526F4">
        <w:rPr>
          <w:rFonts w:ascii="仿宋_GB2312" w:eastAsia="仿宋_GB2312" w:hAnsi="仿宋_GB2312" w:cs="仿宋_GB2312" w:hint="eastAsia"/>
          <w:sz w:val="28"/>
          <w:szCs w:val="24"/>
        </w:rPr>
        <w:t>一个微信服务</w:t>
      </w:r>
      <w:proofErr w:type="gramEnd"/>
      <w:r w:rsidRPr="005526F4">
        <w:rPr>
          <w:rFonts w:ascii="仿宋_GB2312" w:eastAsia="仿宋_GB2312" w:hAnsi="仿宋_GB2312" w:cs="仿宋_GB2312" w:hint="eastAsia"/>
          <w:sz w:val="28"/>
          <w:szCs w:val="24"/>
        </w:rPr>
        <w:t>群、一张倒排工期表、一张督促协调单，为项目提供“保姆式”服务。比如，青岛市重点蓝村绿色能源装配智</w:t>
      </w:r>
      <w:proofErr w:type="gramStart"/>
      <w:r w:rsidRPr="005526F4">
        <w:rPr>
          <w:rFonts w:ascii="仿宋_GB2312" w:eastAsia="仿宋_GB2312" w:hAnsi="仿宋_GB2312" w:cs="仿宋_GB2312" w:hint="eastAsia"/>
          <w:sz w:val="28"/>
          <w:szCs w:val="24"/>
        </w:rPr>
        <w:t>造产业</w:t>
      </w:r>
      <w:proofErr w:type="gramEnd"/>
      <w:r w:rsidRPr="005526F4">
        <w:rPr>
          <w:rFonts w:ascii="仿宋_GB2312" w:eastAsia="仿宋_GB2312" w:hAnsi="仿宋_GB2312" w:cs="仿宋_GB2312" w:hint="eastAsia"/>
          <w:sz w:val="28"/>
          <w:szCs w:val="24"/>
        </w:rPr>
        <w:t>园项目，采取告知承诺、</w:t>
      </w:r>
      <w:proofErr w:type="gramStart"/>
      <w:r w:rsidRPr="005526F4">
        <w:rPr>
          <w:rFonts w:ascii="仿宋_GB2312" w:eastAsia="仿宋_GB2312" w:hAnsi="仿宋_GB2312" w:cs="仿宋_GB2312" w:hint="eastAsia"/>
          <w:sz w:val="28"/>
          <w:szCs w:val="24"/>
        </w:rPr>
        <w:t>容缺受理</w:t>
      </w:r>
      <w:proofErr w:type="gramEnd"/>
      <w:r w:rsidRPr="005526F4">
        <w:rPr>
          <w:rFonts w:ascii="仿宋_GB2312" w:eastAsia="仿宋_GB2312" w:hAnsi="仿宋_GB2312" w:cs="仿宋_GB2312" w:hint="eastAsia"/>
          <w:sz w:val="28"/>
          <w:szCs w:val="24"/>
        </w:rPr>
        <w:t>，通过“不见面、网上办”，3月17日仅用一天时间，就办理完成施工许可，推进项目顺利开建。</w:t>
      </w:r>
      <w:bookmarkStart w:id="0" w:name="_GoBack"/>
      <w:r w:rsidRPr="005526F4">
        <w:rPr>
          <w:rFonts w:ascii="仿宋_GB2312" w:eastAsia="仿宋_GB2312" w:hAnsi="仿宋_GB2312" w:cs="仿宋_GB2312" w:hint="eastAsia"/>
          <w:sz w:val="28"/>
          <w:szCs w:val="24"/>
        </w:rPr>
        <w:t>再比如，道恩生物降解材料项目，其总公司3月11日召开董事会议确定后，3月12日就跟进，3月14日为项目办理工商注册，3月15日完成立项，3月16日签订土地出让合同，提前10多天完成开工准备。</w:t>
      </w:r>
    </w:p>
    <w:bookmarkEnd w:id="0"/>
    <w:p w:rsidR="00740445" w:rsidRPr="005526F4" w:rsidRDefault="00740445" w:rsidP="005526F4">
      <w:pPr>
        <w:spacing w:line="540" w:lineRule="exact"/>
      </w:pPr>
    </w:p>
    <w:sectPr w:rsidR="00740445" w:rsidRPr="005526F4" w:rsidSect="005526F4">
      <w:headerReference w:type="default" r:id="rId8"/>
      <w:footerReference w:type="default" r:id="rId9"/>
      <w:pgSz w:w="11906" w:h="16838"/>
      <w:pgMar w:top="2098" w:right="1418" w:bottom="1985" w:left="1531" w:header="851" w:footer="1418" w:gutter="0"/>
      <w:pgNumType w:fmt="numberInDash"/>
      <w:cols w:space="720"/>
      <w:docGrid w:type="lines" w:linePitch="569" w:charSpace="7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7" w:rsidRDefault="00A230B7" w:rsidP="005526F4">
      <w:r>
        <w:separator/>
      </w:r>
    </w:p>
  </w:endnote>
  <w:endnote w:type="continuationSeparator" w:id="0">
    <w:p w:rsidR="00A230B7" w:rsidRDefault="00A230B7" w:rsidP="0055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30B7">
    <w:pPr>
      <w:pStyle w:val="a4"/>
      <w:framePr w:wrap="around" w:vAnchor="text" w:hAnchor="margin" w:xAlign="center" w:y="1"/>
      <w:rPr>
        <w:rStyle w:val="a5"/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526F4">
      <w:rPr>
        <w:rStyle w:val="a5"/>
        <w:rFonts w:ascii="宋体" w:eastAsia="宋体" w:hAnsi="宋体"/>
        <w:noProof/>
        <w:sz w:val="28"/>
        <w:szCs w:val="28"/>
      </w:rPr>
      <w:t>- 3 -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A230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7" w:rsidRDefault="00A230B7" w:rsidP="005526F4">
      <w:r>
        <w:separator/>
      </w:r>
    </w:p>
  </w:footnote>
  <w:footnote w:type="continuationSeparator" w:id="0">
    <w:p w:rsidR="00A230B7" w:rsidRDefault="00A230B7" w:rsidP="0055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30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F2"/>
    <w:rsid w:val="005526F4"/>
    <w:rsid w:val="00740445"/>
    <w:rsid w:val="00A230B7"/>
    <w:rsid w:val="00C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6F4"/>
    <w:rPr>
      <w:sz w:val="18"/>
      <w:szCs w:val="18"/>
    </w:rPr>
  </w:style>
  <w:style w:type="character" w:styleId="a5">
    <w:name w:val="page number"/>
    <w:basedOn w:val="a0"/>
    <w:rsid w:val="005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6F4"/>
    <w:rPr>
      <w:sz w:val="18"/>
      <w:szCs w:val="18"/>
    </w:rPr>
  </w:style>
  <w:style w:type="character" w:styleId="a5">
    <w:name w:val="page number"/>
    <w:basedOn w:val="a0"/>
    <w:rsid w:val="005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98F-1949-4FC1-BFDA-AF440E2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2022-09-01T06:41:00Z</dcterms:created>
  <dcterms:modified xsi:type="dcterms:W3CDTF">2022-09-01T06:46:00Z</dcterms:modified>
</cp:coreProperties>
</file>