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717171" w:sz="8" w:space="10"/>
          <w:right w:val="none" w:color="auto" w:sz="0" w:space="0"/>
        </w:pBdr>
        <w:spacing w:before="0" w:beforeAutospacing="0" w:after="0" w:afterAutospacing="0"/>
        <w:ind w:left="0" w:right="0" w:firstLine="0"/>
        <w:jc w:val="center"/>
        <w:rPr>
          <w:rFonts w:ascii="微软雅黑" w:hAnsi="微软雅黑" w:eastAsia="微软雅黑" w:cs="微软雅黑"/>
          <w:b/>
          <w:i w:val="0"/>
          <w:caps w:val="0"/>
          <w:color w:val="333333"/>
          <w:spacing w:val="0"/>
          <w:sz w:val="25"/>
          <w:szCs w:val="25"/>
        </w:rPr>
      </w:pPr>
      <w:r>
        <w:rPr>
          <w:rFonts w:hint="eastAsia" w:ascii="微软雅黑" w:hAnsi="微软雅黑" w:eastAsia="微软雅黑" w:cs="微软雅黑"/>
          <w:b/>
          <w:i w:val="0"/>
          <w:caps w:val="0"/>
          <w:color w:val="333333"/>
          <w:spacing w:val="0"/>
          <w:sz w:val="25"/>
          <w:szCs w:val="25"/>
          <w:bdr w:val="none" w:color="auto" w:sz="0" w:space="0"/>
        </w:rPr>
        <w:t>《关于加强药品和医用耗材集中采购工作的意见》</w:t>
      </w:r>
      <w:r>
        <w:rPr>
          <w:rFonts w:hint="eastAsia" w:ascii="微软雅黑" w:hAnsi="微软雅黑" w:eastAsia="微软雅黑" w:cs="微软雅黑"/>
          <w:b/>
          <w:i w:val="0"/>
          <w:caps w:val="0"/>
          <w:color w:val="333333"/>
          <w:spacing w:val="0"/>
          <w:sz w:val="25"/>
          <w:szCs w:val="25"/>
          <w:bdr w:val="none" w:color="auto" w:sz="0" w:space="0"/>
        </w:rPr>
        <w:br w:type="textWrapping"/>
      </w:r>
      <w:r>
        <w:rPr>
          <w:rFonts w:hint="eastAsia" w:ascii="微软雅黑" w:hAnsi="微软雅黑" w:eastAsia="微软雅黑" w:cs="微软雅黑"/>
          <w:b/>
          <w:i w:val="0"/>
          <w:caps w:val="0"/>
          <w:color w:val="333333"/>
          <w:spacing w:val="0"/>
          <w:sz w:val="25"/>
          <w:szCs w:val="25"/>
          <w:bdr w:val="none" w:color="auto" w:sz="0" w:space="0"/>
        </w:rPr>
        <w:t>政策解读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15"/>
          <w:szCs w:val="15"/>
          <w:bdr w:val="none" w:color="auto" w:sz="0" w:space="0"/>
        </w:rPr>
        <w:t>上传日期：2019-08-05 10:57 浏览次数： 1179次 字号：[ </w:t>
      </w:r>
      <w:r>
        <w:rPr>
          <w:rFonts w:hint="eastAsia" w:ascii="微软雅黑" w:hAnsi="微软雅黑" w:eastAsia="微软雅黑" w:cs="微软雅黑"/>
          <w:i w:val="0"/>
          <w:caps w:val="0"/>
          <w:color w:val="333333"/>
          <w:spacing w:val="0"/>
          <w:sz w:val="15"/>
          <w:szCs w:val="15"/>
          <w:u w:val="none"/>
          <w:bdr w:val="none" w:color="auto" w:sz="0" w:space="0"/>
        </w:rPr>
        <w:fldChar w:fldCharType="begin"/>
      </w:r>
      <w:r>
        <w:rPr>
          <w:rFonts w:hint="eastAsia" w:ascii="微软雅黑" w:hAnsi="微软雅黑" w:eastAsia="微软雅黑" w:cs="微软雅黑"/>
          <w:i w:val="0"/>
          <w:caps w:val="0"/>
          <w:color w:val="333333"/>
          <w:spacing w:val="0"/>
          <w:sz w:val="15"/>
          <w:szCs w:val="15"/>
          <w:u w:val="none"/>
          <w:bdr w:val="none" w:color="auto" w:sz="0" w:space="0"/>
        </w:rPr>
        <w:instrText xml:space="preserve"> HYPERLINK "http://ybj.shandong.gov.cn/art/2019/8/5/javascript:doZoom(16)" </w:instrText>
      </w:r>
      <w:r>
        <w:rPr>
          <w:rFonts w:hint="eastAsia" w:ascii="微软雅黑" w:hAnsi="微软雅黑" w:eastAsia="微软雅黑" w:cs="微软雅黑"/>
          <w:i w:val="0"/>
          <w:caps w:val="0"/>
          <w:color w:val="333333"/>
          <w:spacing w:val="0"/>
          <w:sz w:val="15"/>
          <w:szCs w:val="15"/>
          <w:u w:val="none"/>
          <w:bdr w:val="none" w:color="auto" w:sz="0" w:space="0"/>
        </w:rPr>
        <w:fldChar w:fldCharType="separate"/>
      </w:r>
      <w:r>
        <w:rPr>
          <w:rStyle w:val="6"/>
          <w:rFonts w:hint="eastAsia" w:ascii="微软雅黑" w:hAnsi="微软雅黑" w:eastAsia="微软雅黑" w:cs="微软雅黑"/>
          <w:i w:val="0"/>
          <w:caps w:val="0"/>
          <w:color w:val="333333"/>
          <w:spacing w:val="0"/>
          <w:sz w:val="15"/>
          <w:szCs w:val="15"/>
          <w:u w:val="none"/>
          <w:bdr w:val="none" w:color="auto" w:sz="0" w:space="0"/>
        </w:rPr>
        <w:t>大</w:t>
      </w:r>
      <w:r>
        <w:rPr>
          <w:rFonts w:hint="eastAsia" w:ascii="微软雅黑" w:hAnsi="微软雅黑" w:eastAsia="微软雅黑" w:cs="微软雅黑"/>
          <w:i w:val="0"/>
          <w:caps w:val="0"/>
          <w:color w:val="333333"/>
          <w:spacing w:val="0"/>
          <w:sz w:val="15"/>
          <w:szCs w:val="15"/>
          <w:u w:val="none"/>
          <w:bdr w:val="none" w:color="auto" w:sz="0" w:space="0"/>
        </w:rPr>
        <w:fldChar w:fldCharType="end"/>
      </w:r>
      <w:r>
        <w:rPr>
          <w:rFonts w:hint="eastAsia" w:ascii="微软雅黑" w:hAnsi="微软雅黑" w:eastAsia="微软雅黑" w:cs="微软雅黑"/>
          <w:i w:val="0"/>
          <w:caps w:val="0"/>
          <w:color w:val="333333"/>
          <w:spacing w:val="0"/>
          <w:sz w:val="15"/>
          <w:szCs w:val="15"/>
          <w:bdr w:val="none" w:color="auto" w:sz="0" w:space="0"/>
        </w:rPr>
        <w:t> </w:t>
      </w:r>
      <w:r>
        <w:rPr>
          <w:rFonts w:hint="eastAsia" w:ascii="微软雅黑" w:hAnsi="微软雅黑" w:eastAsia="微软雅黑" w:cs="微软雅黑"/>
          <w:i w:val="0"/>
          <w:caps w:val="0"/>
          <w:color w:val="333333"/>
          <w:spacing w:val="0"/>
          <w:sz w:val="15"/>
          <w:szCs w:val="15"/>
          <w:u w:val="none"/>
          <w:bdr w:val="none" w:color="auto" w:sz="0" w:space="0"/>
        </w:rPr>
        <w:fldChar w:fldCharType="begin"/>
      </w:r>
      <w:r>
        <w:rPr>
          <w:rFonts w:hint="eastAsia" w:ascii="微软雅黑" w:hAnsi="微软雅黑" w:eastAsia="微软雅黑" w:cs="微软雅黑"/>
          <w:i w:val="0"/>
          <w:caps w:val="0"/>
          <w:color w:val="333333"/>
          <w:spacing w:val="0"/>
          <w:sz w:val="15"/>
          <w:szCs w:val="15"/>
          <w:u w:val="none"/>
          <w:bdr w:val="none" w:color="auto" w:sz="0" w:space="0"/>
        </w:rPr>
        <w:instrText xml:space="preserve"> HYPERLINK "http://ybj.shandong.gov.cn/art/2019/8/5/javascript:doZoom(14)" </w:instrText>
      </w:r>
      <w:r>
        <w:rPr>
          <w:rFonts w:hint="eastAsia" w:ascii="微软雅黑" w:hAnsi="微软雅黑" w:eastAsia="微软雅黑" w:cs="微软雅黑"/>
          <w:i w:val="0"/>
          <w:caps w:val="0"/>
          <w:color w:val="333333"/>
          <w:spacing w:val="0"/>
          <w:sz w:val="15"/>
          <w:szCs w:val="15"/>
          <w:u w:val="none"/>
          <w:bdr w:val="none" w:color="auto" w:sz="0" w:space="0"/>
        </w:rPr>
        <w:fldChar w:fldCharType="separate"/>
      </w:r>
      <w:r>
        <w:rPr>
          <w:rStyle w:val="6"/>
          <w:rFonts w:hint="eastAsia" w:ascii="微软雅黑" w:hAnsi="微软雅黑" w:eastAsia="微软雅黑" w:cs="微软雅黑"/>
          <w:i w:val="0"/>
          <w:caps w:val="0"/>
          <w:color w:val="333333"/>
          <w:spacing w:val="0"/>
          <w:sz w:val="15"/>
          <w:szCs w:val="15"/>
          <w:u w:val="none"/>
          <w:bdr w:val="none" w:color="auto" w:sz="0" w:space="0"/>
        </w:rPr>
        <w:t>中</w:t>
      </w:r>
      <w:r>
        <w:rPr>
          <w:rFonts w:hint="eastAsia" w:ascii="微软雅黑" w:hAnsi="微软雅黑" w:eastAsia="微软雅黑" w:cs="微软雅黑"/>
          <w:i w:val="0"/>
          <w:caps w:val="0"/>
          <w:color w:val="333333"/>
          <w:spacing w:val="0"/>
          <w:sz w:val="15"/>
          <w:szCs w:val="15"/>
          <w:u w:val="none"/>
          <w:bdr w:val="none" w:color="auto" w:sz="0" w:space="0"/>
        </w:rPr>
        <w:fldChar w:fldCharType="end"/>
      </w:r>
      <w:r>
        <w:rPr>
          <w:rFonts w:hint="eastAsia" w:ascii="微软雅黑" w:hAnsi="微软雅黑" w:eastAsia="微软雅黑" w:cs="微软雅黑"/>
          <w:i w:val="0"/>
          <w:caps w:val="0"/>
          <w:color w:val="333333"/>
          <w:spacing w:val="0"/>
          <w:sz w:val="15"/>
          <w:szCs w:val="15"/>
          <w:bdr w:val="none" w:color="auto" w:sz="0" w:space="0"/>
        </w:rPr>
        <w:t> </w:t>
      </w:r>
      <w:r>
        <w:rPr>
          <w:rFonts w:hint="eastAsia" w:ascii="微软雅黑" w:hAnsi="微软雅黑" w:eastAsia="微软雅黑" w:cs="微软雅黑"/>
          <w:i w:val="0"/>
          <w:caps w:val="0"/>
          <w:color w:val="333333"/>
          <w:spacing w:val="0"/>
          <w:sz w:val="15"/>
          <w:szCs w:val="15"/>
          <w:u w:val="none"/>
          <w:bdr w:val="none" w:color="auto" w:sz="0" w:space="0"/>
        </w:rPr>
        <w:fldChar w:fldCharType="begin"/>
      </w:r>
      <w:r>
        <w:rPr>
          <w:rFonts w:hint="eastAsia" w:ascii="微软雅黑" w:hAnsi="微软雅黑" w:eastAsia="微软雅黑" w:cs="微软雅黑"/>
          <w:i w:val="0"/>
          <w:caps w:val="0"/>
          <w:color w:val="333333"/>
          <w:spacing w:val="0"/>
          <w:sz w:val="15"/>
          <w:szCs w:val="15"/>
          <w:u w:val="none"/>
          <w:bdr w:val="none" w:color="auto" w:sz="0" w:space="0"/>
        </w:rPr>
        <w:instrText xml:space="preserve"> HYPERLINK "http://ybj.shandong.gov.cn/art/2019/8/5/javascript:doZoom(12)" </w:instrText>
      </w:r>
      <w:r>
        <w:rPr>
          <w:rFonts w:hint="eastAsia" w:ascii="微软雅黑" w:hAnsi="微软雅黑" w:eastAsia="微软雅黑" w:cs="微软雅黑"/>
          <w:i w:val="0"/>
          <w:caps w:val="0"/>
          <w:color w:val="333333"/>
          <w:spacing w:val="0"/>
          <w:sz w:val="15"/>
          <w:szCs w:val="15"/>
          <w:u w:val="none"/>
          <w:bdr w:val="none" w:color="auto" w:sz="0" w:space="0"/>
        </w:rPr>
        <w:fldChar w:fldCharType="separate"/>
      </w:r>
      <w:r>
        <w:rPr>
          <w:rStyle w:val="6"/>
          <w:rFonts w:hint="eastAsia" w:ascii="微软雅黑" w:hAnsi="微软雅黑" w:eastAsia="微软雅黑" w:cs="微软雅黑"/>
          <w:i w:val="0"/>
          <w:caps w:val="0"/>
          <w:color w:val="333333"/>
          <w:spacing w:val="0"/>
          <w:sz w:val="15"/>
          <w:szCs w:val="15"/>
          <w:u w:val="none"/>
          <w:bdr w:val="none" w:color="auto" w:sz="0" w:space="0"/>
        </w:rPr>
        <w:t>小</w:t>
      </w:r>
      <w:r>
        <w:rPr>
          <w:rFonts w:hint="eastAsia" w:ascii="微软雅黑" w:hAnsi="微软雅黑" w:eastAsia="微软雅黑" w:cs="微软雅黑"/>
          <w:i w:val="0"/>
          <w:caps w:val="0"/>
          <w:color w:val="333333"/>
          <w:spacing w:val="0"/>
          <w:sz w:val="15"/>
          <w:szCs w:val="15"/>
          <w:u w:val="none"/>
          <w:bdr w:val="none" w:color="auto" w:sz="0" w:space="0"/>
        </w:rPr>
        <w:fldChar w:fldCharType="end"/>
      </w:r>
      <w:r>
        <w:rPr>
          <w:rFonts w:hint="eastAsia" w:ascii="微软雅黑" w:hAnsi="微软雅黑" w:eastAsia="微软雅黑" w:cs="微软雅黑"/>
          <w:i w:val="0"/>
          <w:caps w:val="0"/>
          <w:color w:val="333333"/>
          <w:spacing w:val="0"/>
          <w:sz w:val="15"/>
          <w:szCs w:val="15"/>
          <w:bdr w:val="none" w:color="auto" w:sz="0" w:space="0"/>
        </w:rPr>
        <w:t> ]</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line="300" w:lineRule="atLeast"/>
        <w:ind w:left="0" w:right="0" w:firstLine="420"/>
        <w:jc w:val="left"/>
      </w:pPr>
      <w:r>
        <w:rPr>
          <w:rFonts w:hint="eastAsia" w:ascii="微软雅黑" w:hAnsi="微软雅黑" w:eastAsia="微软雅黑" w:cs="微软雅黑"/>
          <w:i w:val="0"/>
          <w:caps w:val="0"/>
          <w:color w:val="333333"/>
          <w:spacing w:val="0"/>
          <w:sz w:val="15"/>
          <w:szCs w:val="15"/>
          <w:bdr w:val="none" w:color="auto" w:sz="0" w:space="0"/>
        </w:rPr>
        <w:t>一、药品和医用耗材集中采购工作原则是什么？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line="300" w:lineRule="atLeast"/>
        <w:ind w:left="0" w:right="0" w:firstLine="420"/>
        <w:jc w:val="left"/>
      </w:pPr>
      <w:r>
        <w:rPr>
          <w:rFonts w:hint="eastAsia" w:ascii="微软雅黑" w:hAnsi="微软雅黑" w:eastAsia="微软雅黑" w:cs="微软雅黑"/>
          <w:i w:val="0"/>
          <w:caps w:val="0"/>
          <w:color w:val="333333"/>
          <w:spacing w:val="0"/>
          <w:sz w:val="15"/>
          <w:szCs w:val="15"/>
          <w:bdr w:val="none" w:color="auto" w:sz="0" w:space="0"/>
        </w:rPr>
        <w:t>坚持以人民为中心的发展思想，保障群众合理用药需求，进一步减轻群众医药费用负担；坚持转变政府管理方式，加强采购全过程监管；坚持集中采购改革方向，落实带量采购、量价挂钩、招采合一，构建规范有序、客观公正、公开透明的供应保障体系；坚持推动药品、耗材生产流通企业公平竞争，促进医药产业健康发展；坚持问题导向和目标导向，积极探索建立药品和医用耗材采购新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line="300" w:lineRule="atLeast"/>
        <w:ind w:left="0" w:right="0" w:firstLine="420"/>
        <w:jc w:val="left"/>
      </w:pPr>
      <w:r>
        <w:rPr>
          <w:rFonts w:hint="eastAsia" w:ascii="微软雅黑" w:hAnsi="微软雅黑" w:eastAsia="微软雅黑" w:cs="微软雅黑"/>
          <w:i w:val="0"/>
          <w:caps w:val="0"/>
          <w:color w:val="333333"/>
          <w:spacing w:val="0"/>
          <w:sz w:val="15"/>
          <w:szCs w:val="15"/>
          <w:bdr w:val="none" w:color="auto" w:sz="0" w:space="0"/>
        </w:rPr>
        <w:t>二、药品和医用耗材挂网范围有哪些？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line="300" w:lineRule="atLeast"/>
        <w:ind w:left="0" w:right="0" w:firstLine="420"/>
        <w:jc w:val="left"/>
      </w:pPr>
      <w:r>
        <w:rPr>
          <w:rFonts w:hint="eastAsia" w:ascii="微软雅黑" w:hAnsi="微软雅黑" w:eastAsia="微软雅黑" w:cs="微软雅黑"/>
          <w:i w:val="0"/>
          <w:caps w:val="0"/>
          <w:color w:val="333333"/>
          <w:spacing w:val="0"/>
          <w:sz w:val="15"/>
          <w:szCs w:val="15"/>
          <w:bdr w:val="none" w:color="auto" w:sz="0" w:space="0"/>
        </w:rPr>
        <w:t>除麻醉药品、精神药品、防治传染病和寄生虫病的免费用药、疫苗、计划生育药品及中药饮片按国家现行规定采购外，公立医疗机构配备使用的药品和高值医用耗材全部纳入省药品、医用耗材集中采购平台挂网。此外，低值医用耗材、体外诊断试剂也将逐步实现挂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line="300" w:lineRule="atLeast"/>
        <w:ind w:left="0" w:right="0" w:firstLine="420"/>
        <w:jc w:val="left"/>
      </w:pPr>
      <w:r>
        <w:rPr>
          <w:rFonts w:hint="eastAsia" w:ascii="微软雅黑" w:hAnsi="微软雅黑" w:eastAsia="微软雅黑" w:cs="微软雅黑"/>
          <w:i w:val="0"/>
          <w:caps w:val="0"/>
          <w:color w:val="333333"/>
          <w:spacing w:val="0"/>
          <w:sz w:val="15"/>
          <w:szCs w:val="15"/>
          <w:bdr w:val="none" w:color="auto" w:sz="0" w:space="0"/>
        </w:rPr>
        <w:t>三、药品和医用耗材如何联动全国最低价？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line="300" w:lineRule="atLeast"/>
        <w:ind w:left="0" w:right="0" w:firstLine="420"/>
        <w:jc w:val="left"/>
      </w:pPr>
      <w:r>
        <w:rPr>
          <w:rFonts w:hint="eastAsia" w:ascii="微软雅黑" w:hAnsi="微软雅黑" w:eastAsia="微软雅黑" w:cs="微软雅黑"/>
          <w:i w:val="0"/>
          <w:caps w:val="0"/>
          <w:color w:val="333333"/>
          <w:spacing w:val="0"/>
          <w:sz w:val="15"/>
          <w:szCs w:val="15"/>
          <w:bdr w:val="none" w:color="auto" w:sz="0" w:space="0"/>
        </w:rPr>
        <w:t>药品挂网价格联动本产品在国家开展新一轮药品集中采购以来产生的省级最低中标或挂网价，高值医用耗材挂网价格联动本产品全国现行省级挂网最低价，由生产企业向省公共资源交易中心承诺最低价申报，省公共资源交易中心按规定进行挂网，公立医疗机构不得高于挂网价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line="300" w:lineRule="atLeast"/>
        <w:ind w:left="0" w:right="0" w:firstLine="420"/>
        <w:jc w:val="left"/>
      </w:pPr>
      <w:r>
        <w:rPr>
          <w:rFonts w:hint="eastAsia" w:ascii="微软雅黑" w:hAnsi="微软雅黑" w:eastAsia="微软雅黑" w:cs="微软雅黑"/>
          <w:i w:val="0"/>
          <w:caps w:val="0"/>
          <w:color w:val="333333"/>
          <w:spacing w:val="0"/>
          <w:sz w:val="15"/>
          <w:szCs w:val="15"/>
          <w:bdr w:val="none" w:color="auto" w:sz="0" w:space="0"/>
        </w:rPr>
        <w:t>对于以下几类药品的政策要求：一是通过质量和疗效一致性评价的药品挂网办法，参照鲁医保发〔2019〕20号规定执行，未通过质量和疗效一致性评价的同品种药品，其挂网价格不得高于通过质量和疗效一致性评价的药品；二是基础输液等价格低廉的药品，探索通过区分品种、规格、包材等实行网上统一挂网价；三是纳入国家和我省正式发布的短缺药品清单或以其他方式确认的短缺、易短缺药品，允许企业自主调整价格直接挂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line="300" w:lineRule="atLeast"/>
        <w:ind w:left="0" w:right="0" w:firstLine="420"/>
        <w:jc w:val="left"/>
      </w:pPr>
      <w:r>
        <w:rPr>
          <w:rFonts w:hint="eastAsia" w:ascii="微软雅黑" w:hAnsi="微软雅黑" w:eastAsia="微软雅黑" w:cs="微软雅黑"/>
          <w:i w:val="0"/>
          <w:caps w:val="0"/>
          <w:color w:val="333333"/>
          <w:spacing w:val="0"/>
          <w:sz w:val="15"/>
          <w:szCs w:val="15"/>
          <w:bdr w:val="none" w:color="auto" w:sz="0" w:space="0"/>
        </w:rPr>
        <w:t>四、所有的网下采购都是违规采购吗？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line="300" w:lineRule="atLeast"/>
        <w:ind w:left="0" w:right="0" w:firstLine="420"/>
        <w:jc w:val="left"/>
      </w:pPr>
      <w:r>
        <w:rPr>
          <w:rFonts w:hint="eastAsia" w:ascii="微软雅黑" w:hAnsi="微软雅黑" w:eastAsia="微软雅黑" w:cs="微软雅黑"/>
          <w:i w:val="0"/>
          <w:caps w:val="0"/>
          <w:color w:val="333333"/>
          <w:spacing w:val="0"/>
          <w:sz w:val="15"/>
          <w:szCs w:val="15"/>
          <w:bdr w:val="none" w:color="auto" w:sz="0" w:space="0"/>
        </w:rPr>
        <w:t>不是。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line="300" w:lineRule="atLeast"/>
        <w:ind w:left="0" w:right="0" w:firstLine="420"/>
        <w:jc w:val="left"/>
      </w:pPr>
      <w:r>
        <w:rPr>
          <w:rFonts w:hint="eastAsia" w:ascii="微软雅黑" w:hAnsi="微软雅黑" w:eastAsia="微软雅黑" w:cs="微软雅黑"/>
          <w:i w:val="0"/>
          <w:caps w:val="0"/>
          <w:color w:val="333333"/>
          <w:spacing w:val="0"/>
          <w:sz w:val="15"/>
          <w:szCs w:val="15"/>
          <w:bdr w:val="none" w:color="auto" w:sz="0" w:space="0"/>
        </w:rPr>
        <w:t>对于尚未挂网或网上供应不到位、临床必需、不可替代的药品、医用耗材，医疗机构可线下联系生产经营企业临时采购，并在临时采购完成3个工作日内通过采购平台进行登记，未按规定登记的，视为违规采购。此外，医疗机构一个年度网下应急采购的药品、医用耗材金额，原则上均分别不得超过本机构当年药品采购总金额、医用耗材采购总金额的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line="300" w:lineRule="atLeast"/>
        <w:ind w:left="0" w:right="0" w:firstLine="420"/>
        <w:jc w:val="left"/>
      </w:pPr>
      <w:r>
        <w:rPr>
          <w:rFonts w:hint="eastAsia" w:ascii="微软雅黑" w:hAnsi="微软雅黑" w:eastAsia="微软雅黑" w:cs="微软雅黑"/>
          <w:i w:val="0"/>
          <w:caps w:val="0"/>
          <w:color w:val="333333"/>
          <w:spacing w:val="0"/>
          <w:sz w:val="15"/>
          <w:szCs w:val="15"/>
          <w:bdr w:val="none" w:color="auto" w:sz="0" w:space="0"/>
        </w:rPr>
        <w:t>五、省内是否会开展带量采购？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line="300" w:lineRule="atLeast"/>
        <w:ind w:left="0" w:right="0" w:firstLine="420"/>
        <w:jc w:val="left"/>
      </w:pPr>
      <w:r>
        <w:rPr>
          <w:rFonts w:hint="eastAsia" w:ascii="微软雅黑" w:hAnsi="微软雅黑" w:eastAsia="微软雅黑" w:cs="微软雅黑"/>
          <w:i w:val="0"/>
          <w:caps w:val="0"/>
          <w:color w:val="333333"/>
          <w:spacing w:val="0"/>
          <w:sz w:val="15"/>
          <w:szCs w:val="15"/>
          <w:bdr w:val="none" w:color="auto" w:sz="0" w:space="0"/>
        </w:rPr>
        <w:t>我省将积极推进药品、医用耗材带量采购工作。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0" w:afterAutospacing="0" w:line="300" w:lineRule="atLeast"/>
        <w:ind w:left="0" w:right="0" w:firstLine="420"/>
        <w:jc w:val="left"/>
      </w:pPr>
      <w:r>
        <w:rPr>
          <w:rFonts w:hint="eastAsia" w:ascii="微软雅黑" w:hAnsi="微软雅黑" w:eastAsia="微软雅黑" w:cs="微软雅黑"/>
          <w:i w:val="0"/>
          <w:caps w:val="0"/>
          <w:color w:val="333333"/>
          <w:spacing w:val="0"/>
          <w:sz w:val="15"/>
          <w:szCs w:val="15"/>
          <w:bdr w:val="none" w:color="auto" w:sz="0" w:space="0"/>
        </w:rPr>
        <w:t>省级层面将遴选未通过质量和疗效一致性评价、临床用量大的药品、医用耗材，采取集中招标或谈判等方式，按照不低于年度使用量的50%进行带量采购，实现量价挂钩、以量换价，降低采购价格。国家和省集中带量采购以外的药品、医用耗材，可由医疗机构联合体议价采购，鼓励实行带量采购。各市要积极探索基金总额预付、医保支付标准与招标采购政策的配套衔接，通过医保支付政策调动医疗机构的积极性，引导形成合理价格。未纳入联合采购的药品、医用耗材，医疗机构可与生产经营企业在挂网价以下带量议价采购。</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56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2021-11-26T02:53:01Z</dcterms:created>
  <dc:creator>lenovo</dc:creator>
  <cp:lastModifiedBy>lenovo</cp:lastModifiedBy>
  <dcterms:modified xsi:type="dcterms:W3CDTF">2021-11-26T02:53:12Z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