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60" w:lineRule="exact"/>
        <w:rPr>
          <w:rFonts w:ascii="黑体" w:hAnsi="黑体" w:eastAsia="黑体" w:cs="CESI黑体-GB2312"/>
          <w:color w:val="auto"/>
          <w:spacing w:val="5"/>
          <w:kern w:val="0"/>
          <w:highlight w:val="none"/>
        </w:rPr>
      </w:pPr>
      <w:bookmarkStart w:id="0" w:name="_GoBack"/>
      <w:bookmarkEnd w:id="0"/>
      <w:r>
        <w:rPr>
          <w:rFonts w:hint="eastAsia" w:ascii="黑体" w:hAnsi="黑体" w:eastAsia="黑体" w:cs="CESI黑体-GB2312"/>
          <w:color w:val="auto"/>
          <w:spacing w:val="5"/>
          <w:kern w:val="0"/>
          <w:highlight w:val="none"/>
        </w:rPr>
        <w:t>附件1</w:t>
      </w:r>
    </w:p>
    <w:p>
      <w:pPr>
        <w:autoSpaceDE w:val="0"/>
        <w:autoSpaceDN w:val="0"/>
        <w:adjustRightInd w:val="0"/>
        <w:snapToGrid w:val="0"/>
        <w:spacing w:line="560" w:lineRule="exact"/>
        <w:jc w:val="center"/>
        <w:rPr>
          <w:rFonts w:ascii="方正小标宋_GBK" w:hAnsi="方正小标宋_GBK" w:eastAsia="方正小标宋_GBK" w:cs="方正小标宋_GBK"/>
          <w:color w:val="auto"/>
          <w:spacing w:val="5"/>
          <w:kern w:val="0"/>
          <w:sz w:val="44"/>
          <w:szCs w:val="44"/>
          <w:highlight w:val="none"/>
        </w:rPr>
      </w:pPr>
      <w:r>
        <w:rPr>
          <w:rFonts w:hint="eastAsia" w:ascii="方正小标宋_GBK" w:hAnsi="方正小标宋_GBK" w:eastAsia="方正小标宋_GBK" w:cs="方正小标宋_GBK"/>
          <w:color w:val="auto"/>
          <w:spacing w:val="5"/>
          <w:kern w:val="0"/>
          <w:sz w:val="44"/>
          <w:szCs w:val="44"/>
          <w:highlight w:val="none"/>
        </w:rPr>
        <w:t>定点医药机构</w:t>
      </w:r>
      <w:r>
        <w:rPr>
          <w:rFonts w:hint="eastAsia" w:ascii="方正小标宋_GBK" w:hAnsi="方正小标宋_GBK" w:eastAsia="方正小标宋_GBK" w:cs="方正小标宋_GBK"/>
          <w:color w:val="auto"/>
          <w:spacing w:val="5"/>
          <w:kern w:val="0"/>
          <w:sz w:val="44"/>
          <w:szCs w:val="44"/>
          <w:highlight w:val="none"/>
          <w:lang w:eastAsia="zh-CN"/>
        </w:rPr>
        <w:t>申请</w:t>
      </w:r>
      <w:r>
        <w:rPr>
          <w:rFonts w:hint="eastAsia" w:ascii="方正小标宋_GBK" w:hAnsi="方正小标宋_GBK" w:eastAsia="方正小标宋_GBK" w:cs="方正小标宋_GBK"/>
          <w:color w:val="auto"/>
          <w:spacing w:val="5"/>
          <w:kern w:val="0"/>
          <w:sz w:val="44"/>
          <w:szCs w:val="44"/>
          <w:highlight w:val="none"/>
        </w:rPr>
        <w:t>有关要求</w:t>
      </w:r>
    </w:p>
    <w:p>
      <w:pPr>
        <w:autoSpaceDE w:val="0"/>
        <w:autoSpaceDN w:val="0"/>
        <w:adjustRightInd w:val="0"/>
        <w:snapToGrid w:val="0"/>
        <w:spacing w:line="560" w:lineRule="exact"/>
        <w:ind w:firstLine="670" w:firstLineChars="200"/>
        <w:jc w:val="left"/>
        <w:rPr>
          <w:rFonts w:ascii="CESI黑体-GB2312" w:hAnsi="CESI黑体-GB2312" w:eastAsia="CESI黑体-GB2312" w:cs="CESI黑体-GB2312"/>
          <w:color w:val="auto"/>
          <w:spacing w:val="5"/>
          <w:kern w:val="0"/>
          <w:highlight w:val="none"/>
        </w:rPr>
      </w:pPr>
    </w:p>
    <w:p>
      <w:pPr>
        <w:autoSpaceDE w:val="0"/>
        <w:autoSpaceDN w:val="0"/>
        <w:adjustRightInd w:val="0"/>
        <w:snapToGrid w:val="0"/>
        <w:spacing w:line="560" w:lineRule="exact"/>
        <w:ind w:firstLine="670" w:firstLineChars="200"/>
        <w:jc w:val="left"/>
        <w:rPr>
          <w:rFonts w:ascii="黑体" w:hAnsi="黑体" w:eastAsia="黑体" w:cs="CESI黑体-GB2312"/>
          <w:color w:val="auto"/>
          <w:spacing w:val="5"/>
          <w:kern w:val="0"/>
          <w:highlight w:val="none"/>
        </w:rPr>
      </w:pPr>
      <w:r>
        <w:rPr>
          <w:rFonts w:hint="eastAsia" w:ascii="黑体" w:hAnsi="黑体" w:eastAsia="黑体" w:cs="CESI黑体-GB2312"/>
          <w:color w:val="auto"/>
          <w:spacing w:val="5"/>
          <w:kern w:val="0"/>
          <w:highlight w:val="none"/>
        </w:rPr>
        <w:t>一、《医疗机构医疗保障定点管理暂行办法》（国家医保局令第2号）有关要求</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hint="eastAsia" w:ascii="楷体_GB2312" w:hAnsi="楷体_GB2312" w:eastAsia="楷体_GB2312" w:cs="楷体_GB2312"/>
          <w:color w:val="auto"/>
          <w:spacing w:val="5"/>
          <w:kern w:val="0"/>
          <w:highlight w:val="none"/>
        </w:rPr>
        <w:t>（一）以下取得医疗机构执业许可证或中医诊所备案证的医疗机构，以及经军队主管部门批准有为民服务资质的军队医疗机构可申请医保定点：</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1.</w:t>
      </w:r>
      <w:r>
        <w:rPr>
          <w:rFonts w:hint="eastAsia" w:ascii="仿宋_GB2312" w:hAnsi="仿宋_GB2312" w:cs="仿宋_GB2312"/>
          <w:color w:val="auto"/>
          <w:spacing w:val="5"/>
          <w:kern w:val="0"/>
          <w:highlight w:val="none"/>
        </w:rPr>
        <w:t>综合医院、中医医院、中西医结合医院、民族医医院、专科医院、康复医院;</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2.</w:t>
      </w:r>
      <w:r>
        <w:rPr>
          <w:rFonts w:hint="eastAsia" w:ascii="仿宋_GB2312" w:hAnsi="仿宋_GB2312" w:cs="仿宋_GB2312"/>
          <w:color w:val="auto"/>
          <w:spacing w:val="5"/>
          <w:kern w:val="0"/>
          <w:highlight w:val="none"/>
        </w:rPr>
        <w:t>专科疾病防治院(所、站)、妇幼保健院;</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3.</w:t>
      </w:r>
      <w:r>
        <w:rPr>
          <w:rFonts w:hint="eastAsia" w:ascii="仿宋_GB2312" w:hAnsi="仿宋_GB2312" w:cs="仿宋_GB2312"/>
          <w:color w:val="auto"/>
          <w:spacing w:val="5"/>
          <w:kern w:val="0"/>
          <w:highlight w:val="none"/>
        </w:rPr>
        <w:t>社区卫生服务中心(站)、中心卫生院、乡镇卫生院、街道卫生院、门诊部、诊所、卫生所(站)、村卫生室(所);</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4.</w:t>
      </w:r>
      <w:r>
        <w:rPr>
          <w:rFonts w:hint="eastAsia" w:ascii="仿宋_GB2312" w:hAnsi="仿宋_GB2312" w:cs="仿宋_GB2312"/>
          <w:color w:val="auto"/>
          <w:spacing w:val="5"/>
          <w:kern w:val="0"/>
          <w:highlight w:val="none"/>
        </w:rPr>
        <w:t>独立设置的急救中心;</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5.</w:t>
      </w:r>
      <w:r>
        <w:rPr>
          <w:rFonts w:hint="eastAsia" w:ascii="仿宋_GB2312" w:hAnsi="仿宋_GB2312" w:cs="仿宋_GB2312"/>
          <w:color w:val="auto"/>
          <w:spacing w:val="5"/>
          <w:kern w:val="0"/>
          <w:highlight w:val="none"/>
        </w:rPr>
        <w:t>安宁疗护中心、血液透析中心、护理院;</w:t>
      </w:r>
    </w:p>
    <w:p>
      <w:pPr>
        <w:autoSpaceDE w:val="0"/>
        <w:autoSpaceDN w:val="0"/>
        <w:adjustRightInd w:val="0"/>
        <w:snapToGrid w:val="0"/>
        <w:spacing w:line="560" w:lineRule="exact"/>
        <w:ind w:firstLine="706" w:firstLineChars="211"/>
        <w:jc w:val="left"/>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6.</w:t>
      </w:r>
      <w:r>
        <w:rPr>
          <w:rFonts w:hint="eastAsia" w:ascii="仿宋_GB2312" w:hAnsi="仿宋_GB2312" w:cs="仿宋_GB2312"/>
          <w:color w:val="auto"/>
          <w:spacing w:val="5"/>
          <w:kern w:val="0"/>
          <w:highlight w:val="none"/>
        </w:rPr>
        <w:t>养老机构内设的医疗机构。</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hint="eastAsia" w:ascii="楷体_GB2312" w:hAnsi="楷体_GB2312" w:eastAsia="楷体_GB2312" w:cs="楷体_GB2312"/>
          <w:color w:val="auto"/>
          <w:spacing w:val="5"/>
          <w:kern w:val="0"/>
          <w:highlight w:val="none"/>
        </w:rPr>
        <w:t>（二）申请医保定点的医疗机构应当同时具备以下基本条件：</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1.</w:t>
      </w:r>
      <w:r>
        <w:rPr>
          <w:rFonts w:hint="eastAsia" w:ascii="仿宋_GB2312" w:hAnsi="仿宋_GB2312" w:cs="仿宋_GB2312"/>
          <w:color w:val="auto"/>
          <w:spacing w:val="5"/>
          <w:kern w:val="0"/>
          <w:highlight w:val="none"/>
        </w:rPr>
        <w:t>正式运营至少3个月;</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2.</w:t>
      </w:r>
      <w:r>
        <w:rPr>
          <w:rFonts w:hint="eastAsia" w:ascii="仿宋_GB2312" w:hAnsi="仿宋_GB2312" w:cs="仿宋_GB2312"/>
          <w:color w:val="auto"/>
          <w:spacing w:val="5"/>
          <w:kern w:val="0"/>
          <w:highlight w:val="none"/>
        </w:rPr>
        <w:t>至少有1名取得医师执业证书、乡村医生执业证书或中医(专长)医师资格证书且第一注册地在该医疗机构的医师;</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3.</w:t>
      </w:r>
      <w:r>
        <w:rPr>
          <w:rFonts w:hint="eastAsia" w:ascii="仿宋_GB2312" w:hAnsi="仿宋_GB2312" w:cs="仿宋_GB2312"/>
          <w:color w:val="auto"/>
          <w:spacing w:val="5"/>
          <w:kern w:val="0"/>
          <w:highlight w:val="none"/>
        </w:rPr>
        <w:t>主要负责人负责医保工作，配备专(兼)职医保管理人员;100张床位以上的医疗机构应设内部医保管理部门，安排专职工作人员;</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4.</w:t>
      </w:r>
      <w:r>
        <w:rPr>
          <w:rFonts w:hint="eastAsia" w:ascii="仿宋_GB2312" w:hAnsi="仿宋_GB2312" w:cs="仿宋_GB2312"/>
          <w:color w:val="auto"/>
          <w:spacing w:val="5"/>
          <w:kern w:val="0"/>
          <w:highlight w:val="none"/>
        </w:rPr>
        <w:t>具有符合医保协议管理要求的医保管理制度、财务制度、统计信息管理制度、医疗质量安全核心制度等;</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5.</w:t>
      </w:r>
      <w:r>
        <w:rPr>
          <w:rFonts w:hint="eastAsia" w:ascii="仿宋_GB2312" w:hAnsi="仿宋_GB2312" w:cs="仿宋_GB2312"/>
          <w:color w:val="auto"/>
          <w:spacing w:val="5"/>
          <w:kern w:val="0"/>
          <w:highlight w:val="none"/>
        </w:rPr>
        <w:t>具有符合医保协议管理要求的医院信息系统技术和接口标准，实现与医保信息系统有效对接，按要求向医保信息系统传送全部就诊人员相关信息，为参保人员提供直接联网结算。设立医保药品、诊疗项目、医疗服务设施、医用耗材、疾病病种等基础数据库，按规定使用国家统一的医保编码;</w:t>
      </w:r>
    </w:p>
    <w:p>
      <w:pPr>
        <w:autoSpaceDE w:val="0"/>
        <w:autoSpaceDN w:val="0"/>
        <w:adjustRightInd w:val="0"/>
        <w:snapToGrid w:val="0"/>
        <w:spacing w:line="560" w:lineRule="exact"/>
        <w:ind w:firstLine="706" w:firstLineChars="211"/>
        <w:jc w:val="left"/>
        <w:rPr>
          <w:rFonts w:hint="eastAsia" w:ascii="仿宋_GB2312" w:hAnsi="仿宋_GB2312" w:cs="仿宋_GB2312"/>
          <w:color w:val="auto"/>
          <w:spacing w:val="5"/>
          <w:kern w:val="0"/>
          <w:highlight w:val="none"/>
        </w:rPr>
      </w:pPr>
      <w:r>
        <w:rPr>
          <w:rFonts w:ascii="仿宋_GB2312" w:hAnsi="仿宋_GB2312" w:cs="仿宋_GB2312"/>
          <w:color w:val="auto"/>
          <w:spacing w:val="5"/>
          <w:kern w:val="0"/>
          <w:highlight w:val="none"/>
        </w:rPr>
        <w:t>6.</w:t>
      </w:r>
      <w:r>
        <w:rPr>
          <w:rFonts w:hint="eastAsia" w:ascii="仿宋_GB2312" w:hAnsi="仿宋_GB2312" w:cs="仿宋_GB2312"/>
          <w:color w:val="auto"/>
          <w:spacing w:val="5"/>
          <w:kern w:val="0"/>
          <w:highlight w:val="none"/>
        </w:rPr>
        <w:t>符合法律法规和省级及以上医疗保障行政部门规定的其他条件。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124" w:firstLine="664"/>
        <w:jc w:val="both"/>
        <w:textAlignment w:val="baseline"/>
        <w:rPr>
          <w:rFonts w:ascii="仿宋_GB2312" w:hAnsi="黑体" w:eastAsia="仿宋_GB2312" w:cs="Times New Roman"/>
          <w:snapToGrid/>
          <w:color w:val="auto"/>
          <w:sz w:val="32"/>
          <w:szCs w:val="32"/>
          <w:highlight w:val="none"/>
          <w:lang w:eastAsia="zh-CN"/>
        </w:rPr>
      </w:pPr>
      <w:r>
        <w:rPr>
          <w:rFonts w:hint="eastAsia" w:ascii="楷体_GB2312" w:hAnsi="楷体_GB2312" w:eastAsia="楷体_GB2312" w:cs="楷体_GB2312"/>
          <w:color w:val="auto"/>
          <w:spacing w:val="5"/>
          <w:kern w:val="0"/>
          <w:highlight w:val="none"/>
          <w:lang w:eastAsia="zh-CN"/>
        </w:rPr>
        <w:t>（三）定点医疗机构申请材料如下：</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124" w:firstLine="664"/>
        <w:jc w:val="both"/>
        <w:textAlignment w:val="baseline"/>
        <w:rPr>
          <w:rFonts w:ascii="仿宋_GB2312" w:hAnsi="黑体" w:eastAsia="仿宋_GB2312" w:cs="Times New Roman"/>
          <w:snapToGrid/>
          <w:color w:val="auto"/>
          <w:sz w:val="32"/>
          <w:szCs w:val="32"/>
          <w:highlight w:val="none"/>
          <w:lang w:eastAsia="zh-CN"/>
        </w:rPr>
      </w:pPr>
      <w:r>
        <w:rPr>
          <w:rFonts w:hint="eastAsia" w:ascii="仿宋_GB2312" w:hAnsi="黑体" w:cs="Times New Roman"/>
          <w:snapToGrid/>
          <w:color w:val="auto"/>
          <w:sz w:val="32"/>
          <w:szCs w:val="32"/>
          <w:highlight w:val="none"/>
          <w:lang w:val="en-US" w:eastAsia="zh-CN"/>
        </w:rPr>
        <w:t>1.</w:t>
      </w:r>
      <w:r>
        <w:rPr>
          <w:rFonts w:hint="eastAsia" w:ascii="仿宋_GB2312" w:hAnsi="黑体" w:eastAsia="仿宋_GB2312" w:cs="Times New Roman"/>
          <w:snapToGrid/>
          <w:color w:val="auto"/>
          <w:sz w:val="32"/>
          <w:szCs w:val="32"/>
          <w:highlight w:val="none"/>
          <w:lang w:eastAsia="zh-CN"/>
        </w:rPr>
        <w:t>定点医疗机构申请表;</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124" w:firstLine="664"/>
        <w:jc w:val="both"/>
        <w:textAlignment w:val="baseline"/>
        <w:rPr>
          <w:rFonts w:ascii="仿宋_GB2312" w:hAnsi="黑体" w:eastAsia="仿宋_GB2312" w:cs="Times New Roman"/>
          <w:snapToGrid/>
          <w:color w:val="auto"/>
          <w:sz w:val="32"/>
          <w:szCs w:val="32"/>
          <w:highlight w:val="none"/>
          <w:lang w:eastAsia="zh-CN"/>
        </w:rPr>
      </w:pPr>
      <w:r>
        <w:rPr>
          <w:rFonts w:hint="eastAsia" w:ascii="仿宋_GB2312" w:hAnsi="黑体" w:cs="Times New Roman"/>
          <w:snapToGrid/>
          <w:color w:val="auto"/>
          <w:sz w:val="32"/>
          <w:szCs w:val="32"/>
          <w:highlight w:val="none"/>
          <w:lang w:val="en-US" w:eastAsia="zh-CN"/>
        </w:rPr>
        <w:t>2.</w:t>
      </w:r>
      <w:r>
        <w:rPr>
          <w:rFonts w:hint="eastAsia" w:ascii="仿宋_GB2312" w:hAnsi="黑体" w:eastAsia="仿宋_GB2312" w:cs="Times New Roman"/>
          <w:snapToGrid/>
          <w:color w:val="auto"/>
          <w:sz w:val="32"/>
          <w:szCs w:val="32"/>
          <w:highlight w:val="none"/>
          <w:lang w:eastAsia="zh-CN"/>
        </w:rPr>
        <w:t>医疗机构执业许可证、中医诊所备案证、诊所备案凭证或军队医疗机构为民服务许可证照复印件(含正、副本);</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124" w:firstLine="664"/>
        <w:jc w:val="both"/>
        <w:textAlignment w:val="baseline"/>
        <w:rPr>
          <w:rFonts w:ascii="仿宋" w:hAnsi="仿宋" w:eastAsia="仿宋" w:cs="仿宋"/>
          <w:color w:val="auto"/>
          <w:sz w:val="31"/>
          <w:szCs w:val="31"/>
          <w:highlight w:val="none"/>
          <w:lang w:eastAsia="zh-CN"/>
        </w:rPr>
      </w:pPr>
      <w:r>
        <w:rPr>
          <w:rFonts w:hint="eastAsia" w:ascii="仿宋_GB2312" w:hAnsi="黑体" w:cs="Times New Roman"/>
          <w:snapToGrid/>
          <w:color w:val="auto"/>
          <w:sz w:val="32"/>
          <w:szCs w:val="32"/>
          <w:highlight w:val="none"/>
          <w:lang w:val="en-US" w:eastAsia="zh-CN"/>
        </w:rPr>
        <w:t>3.</w:t>
      </w:r>
      <w:r>
        <w:rPr>
          <w:rFonts w:hint="eastAsia" w:ascii="仿宋_GB2312" w:hAnsi="黑体" w:eastAsia="仿宋_GB2312" w:cs="Times New Roman"/>
          <w:snapToGrid/>
          <w:color w:val="auto"/>
          <w:sz w:val="32"/>
          <w:szCs w:val="32"/>
          <w:highlight w:val="none"/>
          <w:lang w:eastAsia="zh-CN"/>
        </w:rPr>
        <w:t>单位人员花名册及参保缴费证明，医师、护士、药学及医技等专业技术人员、专(兼)职医保管理人员、专(兼)职信息系统管理人员、专(兼)职财务管理人员需要注明；</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124" w:firstLine="664"/>
        <w:jc w:val="both"/>
        <w:textAlignment w:val="baseline"/>
        <w:rPr>
          <w:rFonts w:ascii="仿宋_GB2312" w:hAnsi="黑体" w:eastAsia="仿宋_GB2312" w:cs="Times New Roman"/>
          <w:snapToGrid/>
          <w:color w:val="auto"/>
          <w:sz w:val="32"/>
          <w:szCs w:val="32"/>
          <w:highlight w:val="none"/>
          <w:lang w:eastAsia="zh-CN"/>
        </w:rPr>
      </w:pPr>
      <w:r>
        <w:rPr>
          <w:rFonts w:hint="eastAsia" w:ascii="仿宋_GB2312" w:hAnsi="黑体" w:cs="Times New Roman"/>
          <w:snapToGrid/>
          <w:color w:val="auto"/>
          <w:sz w:val="32"/>
          <w:szCs w:val="32"/>
          <w:highlight w:val="none"/>
          <w:lang w:val="en-US" w:eastAsia="zh-CN"/>
        </w:rPr>
        <w:t>4.</w:t>
      </w:r>
      <w:r>
        <w:rPr>
          <w:rFonts w:hint="eastAsia" w:ascii="仿宋_GB2312" w:hAnsi="黑体" w:eastAsia="仿宋_GB2312" w:cs="Times New Roman"/>
          <w:snapToGrid/>
          <w:color w:val="auto"/>
          <w:sz w:val="32"/>
          <w:szCs w:val="32"/>
          <w:highlight w:val="none"/>
          <w:lang w:eastAsia="zh-CN"/>
        </w:rPr>
        <w:t>与医保政策对应的内部管理制度和财务制度文本；</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124" w:firstLine="664"/>
        <w:jc w:val="both"/>
        <w:textAlignment w:val="baseline"/>
        <w:rPr>
          <w:rFonts w:ascii="仿宋_GB2312" w:hAnsi="黑体" w:eastAsia="仿宋_GB2312" w:cs="Times New Roman"/>
          <w:snapToGrid/>
          <w:color w:val="auto"/>
          <w:sz w:val="32"/>
          <w:szCs w:val="32"/>
          <w:highlight w:val="none"/>
          <w:lang w:eastAsia="zh-CN"/>
        </w:rPr>
      </w:pPr>
      <w:r>
        <w:rPr>
          <w:rFonts w:hint="eastAsia" w:ascii="仿宋_GB2312" w:hAnsi="黑体" w:cs="Times New Roman"/>
          <w:snapToGrid/>
          <w:color w:val="auto"/>
          <w:sz w:val="32"/>
          <w:szCs w:val="32"/>
          <w:highlight w:val="none"/>
          <w:lang w:val="en-US" w:eastAsia="zh-CN"/>
        </w:rPr>
        <w:t>5.</w:t>
      </w:r>
      <w:r>
        <w:rPr>
          <w:rFonts w:hint="eastAsia" w:ascii="仿宋_GB2312" w:hAnsi="黑体" w:eastAsia="仿宋_GB2312" w:cs="Times New Roman"/>
          <w:snapToGrid/>
          <w:color w:val="auto"/>
          <w:sz w:val="32"/>
          <w:szCs w:val="32"/>
          <w:highlight w:val="none"/>
          <w:lang w:eastAsia="zh-CN"/>
        </w:rPr>
        <w:t>与医保有关的医疗机构信息系统相关材料；</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124" w:firstLine="664"/>
        <w:jc w:val="both"/>
        <w:textAlignment w:val="baseline"/>
        <w:rPr>
          <w:rFonts w:hint="eastAsia" w:eastAsia="仿宋_GB2312"/>
          <w:lang w:eastAsia="zh-CN"/>
        </w:rPr>
      </w:pPr>
      <w:r>
        <w:rPr>
          <w:rFonts w:hint="eastAsia" w:ascii="仿宋_GB2312" w:hAnsi="黑体" w:cs="Times New Roman"/>
          <w:snapToGrid/>
          <w:color w:val="auto"/>
          <w:sz w:val="32"/>
          <w:szCs w:val="32"/>
          <w:highlight w:val="none"/>
          <w:lang w:val="en-US" w:eastAsia="zh-CN"/>
        </w:rPr>
        <w:t>6.</w:t>
      </w:r>
      <w:r>
        <w:rPr>
          <w:rFonts w:hint="eastAsia" w:ascii="仿宋_GB2312" w:hAnsi="黑体" w:eastAsia="仿宋_GB2312" w:cs="Times New Roman"/>
          <w:snapToGrid/>
          <w:color w:val="auto"/>
          <w:sz w:val="32"/>
          <w:szCs w:val="32"/>
          <w:highlight w:val="none"/>
          <w:lang w:eastAsia="zh-CN"/>
        </w:rPr>
        <w:t>纳入医保定点后使用医疗保障基金的预测性分析报告，主要包括：1.医疗机构基本情况(包括类别、经营性质、级别、面积、门诊和住院规模、科室设置、人员配备、诊疗服务范围、药品耗材管理、检查检验、信息系统、服务人群等);2.近3个月运营状况(医疗服务量、费用及人次情况、住院床位使用率等情况);3.预测分析纳入医保定点后医疗保障基金使用情况及安全风险防范预案等</w:t>
      </w:r>
      <w:r>
        <w:rPr>
          <w:rFonts w:hint="eastAsia" w:ascii="仿宋_GB2312" w:hAnsi="黑体" w:cs="Times New Roman"/>
          <w:snapToGrid/>
          <w:color w:val="auto"/>
          <w:sz w:val="32"/>
          <w:szCs w:val="32"/>
          <w:highlight w:val="none"/>
          <w:lang w:val="en-US" w:eastAsia="zh-CN"/>
        </w:rPr>
        <w:t>。</w:t>
      </w:r>
    </w:p>
    <w:p>
      <w:pPr>
        <w:shd w:val="clear" w:color="auto" w:fill="FFFFFF"/>
        <w:autoSpaceDE w:val="0"/>
        <w:autoSpaceDN w:val="0"/>
        <w:adjustRightInd w:val="0"/>
        <w:snapToGrid w:val="0"/>
        <w:spacing w:line="560" w:lineRule="exact"/>
        <w:ind w:firstLine="706" w:firstLineChars="211"/>
        <w:rPr>
          <w:rFonts w:hint="eastAsia" w:ascii="楷体_GB2312" w:hAnsi="楷体_GB2312" w:eastAsia="楷体_GB2312" w:cs="楷体_GB2312"/>
          <w:color w:val="auto"/>
          <w:spacing w:val="5"/>
          <w:kern w:val="0"/>
          <w:highlight w:val="none"/>
        </w:rPr>
      </w:pPr>
      <w:r>
        <w:rPr>
          <w:rFonts w:hint="eastAsia" w:ascii="楷体_GB2312" w:hAnsi="楷体_GB2312" w:eastAsia="楷体_GB2312" w:cs="楷体_GB2312"/>
          <w:color w:val="auto"/>
          <w:spacing w:val="5"/>
          <w:kern w:val="0"/>
          <w:highlight w:val="none"/>
        </w:rPr>
        <w:t>（</w:t>
      </w:r>
      <w:r>
        <w:rPr>
          <w:rFonts w:hint="eastAsia" w:ascii="楷体_GB2312" w:hAnsi="楷体_GB2312" w:eastAsia="楷体_GB2312" w:cs="楷体_GB2312"/>
          <w:color w:val="auto"/>
          <w:spacing w:val="5"/>
          <w:kern w:val="0"/>
          <w:highlight w:val="none"/>
          <w:lang w:eastAsia="zh-CN"/>
        </w:rPr>
        <w:t>四</w:t>
      </w:r>
      <w:r>
        <w:rPr>
          <w:rFonts w:hint="eastAsia" w:ascii="楷体_GB2312" w:hAnsi="楷体_GB2312" w:eastAsia="楷体_GB2312" w:cs="楷体_GB2312"/>
          <w:color w:val="auto"/>
          <w:spacing w:val="5"/>
          <w:kern w:val="0"/>
          <w:highlight w:val="none"/>
        </w:rPr>
        <w:t>）医疗机构有下列情形之一的，不予受理定点申请：</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1.</w:t>
      </w:r>
      <w:r>
        <w:rPr>
          <w:rFonts w:hint="eastAsia" w:ascii="仿宋_GB2312" w:hAnsi="仿宋_GB2312" w:cs="仿宋_GB2312"/>
          <w:color w:val="auto"/>
          <w:spacing w:val="5"/>
          <w:kern w:val="0"/>
          <w:highlight w:val="none"/>
        </w:rPr>
        <w:t>以医疗美容、辅助生殖、生活照护、种植牙等非基本医疗服务为主要执业范围的;</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2.</w:t>
      </w:r>
      <w:r>
        <w:rPr>
          <w:rFonts w:hint="eastAsia" w:ascii="仿宋_GB2312" w:hAnsi="仿宋_GB2312" w:cs="仿宋_GB2312"/>
          <w:color w:val="auto"/>
          <w:spacing w:val="5"/>
          <w:kern w:val="0"/>
          <w:highlight w:val="none"/>
        </w:rPr>
        <w:t>基本医疗服务未执行医疗保障行政部门制定的医药价格政策的;</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3.</w:t>
      </w:r>
      <w:r>
        <w:rPr>
          <w:rFonts w:hint="eastAsia" w:ascii="仿宋_GB2312" w:hAnsi="仿宋_GB2312" w:cs="仿宋_GB2312"/>
          <w:color w:val="auto"/>
          <w:spacing w:val="5"/>
          <w:kern w:val="0"/>
          <w:highlight w:val="none"/>
        </w:rPr>
        <w:t>未依法履行行政处罚责任的;</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4.</w:t>
      </w:r>
      <w:r>
        <w:rPr>
          <w:rFonts w:hint="eastAsia" w:ascii="仿宋_GB2312" w:hAnsi="仿宋_GB2312" w:cs="仿宋_GB2312"/>
          <w:color w:val="auto"/>
          <w:spacing w:val="5"/>
          <w:kern w:val="0"/>
          <w:highlight w:val="none"/>
        </w:rPr>
        <w:t>以弄虚作假等不正当手段申请定点，自发现之日起未满3年的;</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5.</w:t>
      </w:r>
      <w:r>
        <w:rPr>
          <w:rFonts w:hint="eastAsia" w:ascii="仿宋_GB2312" w:hAnsi="仿宋_GB2312" w:cs="仿宋_GB2312"/>
          <w:color w:val="auto"/>
          <w:spacing w:val="5"/>
          <w:kern w:val="0"/>
          <w:highlight w:val="none"/>
        </w:rPr>
        <w:t>因违法违规被解除医保协议未满3年或已满3年但未完全履行行政处罚法律责任的;</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6.</w:t>
      </w:r>
      <w:r>
        <w:rPr>
          <w:rFonts w:hint="eastAsia" w:ascii="仿宋_GB2312" w:hAnsi="仿宋_GB2312" w:cs="仿宋_GB2312"/>
          <w:color w:val="auto"/>
          <w:spacing w:val="5"/>
          <w:kern w:val="0"/>
          <w:highlight w:val="none"/>
        </w:rPr>
        <w:t>因严重违反医保协议约定而被解除协议未满1年或已满1年但未完全履行违约责任的;</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7.</w:t>
      </w:r>
      <w:r>
        <w:rPr>
          <w:rFonts w:hint="eastAsia" w:ascii="仿宋_GB2312" w:hAnsi="仿宋_GB2312" w:cs="仿宋_GB2312"/>
          <w:color w:val="auto"/>
          <w:spacing w:val="5"/>
          <w:kern w:val="0"/>
          <w:highlight w:val="none"/>
        </w:rPr>
        <w:t>法定代表人、主要负责人或实际控制人曾因严重违法违规导致原定点医疗机构被解除医保协议，未满5年的;</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8.</w:t>
      </w:r>
      <w:r>
        <w:rPr>
          <w:rFonts w:hint="eastAsia" w:ascii="仿宋_GB2312" w:hAnsi="仿宋_GB2312" w:cs="仿宋_GB2312"/>
          <w:color w:val="auto"/>
          <w:spacing w:val="5"/>
          <w:kern w:val="0"/>
          <w:highlight w:val="none"/>
        </w:rPr>
        <w:t>法定代表人、主要负责人或实际控制人被列入失信人名单的;</w:t>
      </w:r>
    </w:p>
    <w:p>
      <w:pPr>
        <w:autoSpaceDE w:val="0"/>
        <w:autoSpaceDN w:val="0"/>
        <w:adjustRightInd w:val="0"/>
        <w:snapToGrid w:val="0"/>
        <w:spacing w:line="560" w:lineRule="exact"/>
        <w:ind w:firstLine="706" w:firstLineChars="211"/>
        <w:jc w:val="left"/>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9.</w:t>
      </w:r>
      <w:r>
        <w:rPr>
          <w:rFonts w:hint="eastAsia" w:ascii="仿宋_GB2312" w:hAnsi="仿宋_GB2312" w:cs="仿宋_GB2312"/>
          <w:color w:val="auto"/>
          <w:spacing w:val="5"/>
          <w:kern w:val="0"/>
          <w:highlight w:val="none"/>
        </w:rPr>
        <w:t>法律法规规定的其他不予受理的情形。</w:t>
      </w:r>
    </w:p>
    <w:p>
      <w:pPr>
        <w:autoSpaceDE w:val="0"/>
        <w:autoSpaceDN w:val="0"/>
        <w:adjustRightInd w:val="0"/>
        <w:snapToGrid w:val="0"/>
        <w:spacing w:line="560" w:lineRule="exact"/>
        <w:ind w:firstLine="670" w:firstLineChars="200"/>
        <w:jc w:val="left"/>
        <w:rPr>
          <w:rFonts w:hint="eastAsia" w:ascii="黑体" w:hAnsi="黑体" w:eastAsia="黑体" w:cs="CESI黑体-GB2312"/>
          <w:color w:val="auto"/>
          <w:spacing w:val="5"/>
          <w:kern w:val="0"/>
          <w:highlight w:val="none"/>
          <w:lang w:eastAsia="zh-CN"/>
        </w:rPr>
      </w:pPr>
      <w:r>
        <w:rPr>
          <w:rFonts w:hint="eastAsia" w:ascii="黑体" w:hAnsi="黑体" w:eastAsia="黑体" w:cs="CESI黑体-GB2312"/>
          <w:color w:val="auto"/>
          <w:spacing w:val="5"/>
          <w:kern w:val="0"/>
          <w:highlight w:val="none"/>
        </w:rPr>
        <w:t>二、《零售药店医疗保障定点管理暂行办法》（国家医保局令第</w:t>
      </w:r>
      <w:r>
        <w:rPr>
          <w:rFonts w:ascii="黑体" w:hAnsi="黑体" w:eastAsia="黑体" w:cs="CESI黑体-GB2312"/>
          <w:color w:val="auto"/>
          <w:spacing w:val="5"/>
          <w:kern w:val="0"/>
          <w:highlight w:val="none"/>
        </w:rPr>
        <w:t>3号）</w:t>
      </w:r>
      <w:r>
        <w:rPr>
          <w:rFonts w:hint="eastAsia" w:ascii="黑体" w:hAnsi="黑体" w:eastAsia="黑体" w:cs="CESI黑体-GB2312"/>
          <w:color w:val="auto"/>
          <w:spacing w:val="5"/>
          <w:kern w:val="0"/>
          <w:highlight w:val="none"/>
          <w:lang w:eastAsia="zh-CN"/>
        </w:rPr>
        <w:t>有关要求</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hint="eastAsia" w:ascii="楷体_GB2312" w:hAnsi="楷体_GB2312" w:eastAsia="楷体_GB2312" w:cs="楷体_GB2312"/>
          <w:color w:val="auto"/>
          <w:spacing w:val="5"/>
          <w:kern w:val="0"/>
          <w:highlight w:val="none"/>
        </w:rPr>
        <w:t>（一）取得药品经营许可证，并同时符合以下条件的零售药店可申请医疗保障定点：</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1.</w:t>
      </w:r>
      <w:r>
        <w:rPr>
          <w:rFonts w:hint="eastAsia" w:ascii="仿宋_GB2312" w:hAnsi="仿宋_GB2312" w:cs="仿宋_GB2312"/>
          <w:color w:val="auto"/>
          <w:spacing w:val="5"/>
          <w:kern w:val="0"/>
          <w:highlight w:val="none"/>
        </w:rPr>
        <w:t>在注册地址正式经营至少3个月;</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2.</w:t>
      </w:r>
      <w:r>
        <w:rPr>
          <w:rFonts w:hint="eastAsia" w:ascii="仿宋_GB2312" w:hAnsi="仿宋_GB2312" w:cs="仿宋_GB2312"/>
          <w:color w:val="auto"/>
          <w:spacing w:val="5"/>
          <w:kern w:val="0"/>
          <w:highlight w:val="none"/>
        </w:rPr>
        <w:t>至少有1名取得执业药师资格证书或具有药学、临床药学、中药学专业技术资格证书的药师，且注册地在该零售药店所在地，药师须签订1年以上劳动合同且在合同期内;</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3.</w:t>
      </w:r>
      <w:r>
        <w:rPr>
          <w:rFonts w:hint="eastAsia" w:ascii="仿宋_GB2312" w:hAnsi="仿宋_GB2312" w:cs="仿宋_GB2312"/>
          <w:color w:val="auto"/>
          <w:spacing w:val="5"/>
          <w:kern w:val="0"/>
          <w:highlight w:val="none"/>
        </w:rPr>
        <w:t>至少有2名熟悉医疗保障法律法规和相关制度规定的专(兼)职医保管理人员负责管理医保费用，并签订1年以上劳动合同且在合同期内;</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4.</w:t>
      </w:r>
      <w:r>
        <w:rPr>
          <w:rFonts w:hint="eastAsia" w:ascii="仿宋_GB2312" w:hAnsi="仿宋_GB2312" w:cs="仿宋_GB2312"/>
          <w:color w:val="auto"/>
          <w:spacing w:val="5"/>
          <w:kern w:val="0"/>
          <w:highlight w:val="none"/>
        </w:rPr>
        <w:t>按药品经营质量管理规范要求，开展药品分类分区管理，并对所售药品设立明确的医保用药标识;</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5.</w:t>
      </w:r>
      <w:r>
        <w:rPr>
          <w:rFonts w:hint="eastAsia" w:ascii="仿宋_GB2312" w:hAnsi="仿宋_GB2312" w:cs="仿宋_GB2312"/>
          <w:color w:val="auto"/>
          <w:spacing w:val="5"/>
          <w:kern w:val="0"/>
          <w:highlight w:val="none"/>
        </w:rPr>
        <w:t>具有符合医保协议管理要求的医保药品管理制度、财务管理制度、医保人员管理制度、统计信息管理制度和医保费用结算制度;</w:t>
      </w:r>
    </w:p>
    <w:p>
      <w:pPr>
        <w:autoSpaceDE w:val="0"/>
        <w:autoSpaceDN w:val="0"/>
        <w:adjustRightInd w:val="0"/>
        <w:snapToGrid w:val="0"/>
        <w:spacing w:line="560" w:lineRule="exact"/>
        <w:ind w:firstLine="706" w:firstLineChars="211"/>
        <w:jc w:val="left"/>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6.</w:t>
      </w:r>
      <w:r>
        <w:rPr>
          <w:rFonts w:hint="eastAsia" w:ascii="仿宋_GB2312" w:hAnsi="仿宋_GB2312" w:cs="仿宋_GB2312"/>
          <w:color w:val="auto"/>
          <w:spacing w:val="5"/>
          <w:kern w:val="0"/>
          <w:highlight w:val="none"/>
        </w:rPr>
        <w:t>具备符合医保协议管理要求的信息系统技术和接口标准，实现与医保信息系统有效对接，为参保人员提供直接联网结算，建立医保药品等基础数据库，按规定使用国家统一医保编码;</w:t>
      </w:r>
    </w:p>
    <w:p>
      <w:pPr>
        <w:autoSpaceDE w:val="0"/>
        <w:autoSpaceDN w:val="0"/>
        <w:adjustRightInd w:val="0"/>
        <w:snapToGrid w:val="0"/>
        <w:spacing w:line="560" w:lineRule="exact"/>
        <w:ind w:firstLine="706" w:firstLineChars="211"/>
        <w:jc w:val="left"/>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7.</w:t>
      </w:r>
      <w:r>
        <w:rPr>
          <w:rFonts w:hint="eastAsia" w:ascii="仿宋_GB2312" w:hAnsi="仿宋_GB2312" w:cs="仿宋_GB2312"/>
          <w:color w:val="auto"/>
          <w:spacing w:val="5"/>
          <w:kern w:val="0"/>
          <w:highlight w:val="none"/>
        </w:rPr>
        <w:t>符合法律法规和省级及以上医疗保障行政部门规定的其他条件。</w:t>
      </w:r>
    </w:p>
    <w:p>
      <w:pPr>
        <w:shd w:val="clear" w:color="auto" w:fill="FFFFFF"/>
        <w:autoSpaceDE w:val="0"/>
        <w:autoSpaceDN w:val="0"/>
        <w:adjustRightInd w:val="0"/>
        <w:snapToGrid w:val="0"/>
        <w:spacing w:line="560" w:lineRule="exact"/>
        <w:ind w:firstLine="706" w:firstLineChars="211"/>
        <w:rPr>
          <w:rFonts w:hint="eastAsia" w:ascii="楷体_GB2312" w:hAnsi="楷体_GB2312" w:eastAsia="楷体_GB2312" w:cs="楷体_GB2312"/>
          <w:color w:val="auto"/>
          <w:spacing w:val="5"/>
          <w:kern w:val="0"/>
          <w:highlight w:val="none"/>
          <w:lang w:eastAsia="zh-CN"/>
        </w:rPr>
      </w:pPr>
      <w:r>
        <w:rPr>
          <w:rFonts w:hint="eastAsia" w:ascii="楷体_GB2312" w:hAnsi="楷体_GB2312" w:eastAsia="楷体_GB2312" w:cs="楷体_GB2312"/>
          <w:color w:val="auto"/>
          <w:spacing w:val="5"/>
          <w:kern w:val="0"/>
          <w:highlight w:val="none"/>
          <w:lang w:eastAsia="zh-CN"/>
        </w:rPr>
        <w:t>（二）定点零售药店申请材料如下：</w:t>
      </w:r>
    </w:p>
    <w:p>
      <w:pPr>
        <w:keepNext w:val="0"/>
        <w:keepLines w:val="0"/>
        <w:pageBreakBefore w:val="0"/>
        <w:widowControl w:val="0"/>
        <w:kinsoku/>
        <w:wordWrap/>
        <w:overflowPunct/>
        <w:topLinePunct w:val="0"/>
        <w:bidi w:val="0"/>
        <w:adjustRightInd w:val="0"/>
        <w:snapToGrid w:val="0"/>
        <w:spacing w:line="560" w:lineRule="exact"/>
        <w:ind w:right="124" w:firstLine="664"/>
        <w:jc w:val="both"/>
        <w:rPr>
          <w:rFonts w:ascii="仿宋_GB2312" w:hAnsi="黑体" w:eastAsia="仿宋_GB2312" w:cs="Times New Roman"/>
          <w:snapToGrid/>
          <w:color w:val="auto"/>
          <w:sz w:val="32"/>
          <w:szCs w:val="32"/>
          <w:highlight w:val="none"/>
          <w:lang w:eastAsia="zh-CN"/>
        </w:rPr>
      </w:pPr>
      <w:r>
        <w:rPr>
          <w:rFonts w:hint="eastAsia" w:ascii="仿宋_GB2312" w:hAnsi="黑体" w:cs="Times New Roman"/>
          <w:snapToGrid/>
          <w:color w:val="auto"/>
          <w:sz w:val="32"/>
          <w:szCs w:val="32"/>
          <w:highlight w:val="none"/>
          <w:lang w:val="en-US" w:eastAsia="zh-CN"/>
        </w:rPr>
        <w:t>1.</w:t>
      </w:r>
      <w:r>
        <w:rPr>
          <w:rFonts w:hint="eastAsia" w:ascii="仿宋_GB2312" w:hAnsi="黑体" w:eastAsia="仿宋_GB2312" w:cs="Times New Roman"/>
          <w:snapToGrid/>
          <w:color w:val="auto"/>
          <w:sz w:val="32"/>
          <w:szCs w:val="32"/>
          <w:highlight w:val="none"/>
          <w:lang w:eastAsia="zh-CN"/>
        </w:rPr>
        <w:t>定点零售药店申请表;</w:t>
      </w:r>
    </w:p>
    <w:p>
      <w:pPr>
        <w:keepNext w:val="0"/>
        <w:keepLines w:val="0"/>
        <w:pageBreakBefore w:val="0"/>
        <w:widowControl w:val="0"/>
        <w:kinsoku/>
        <w:wordWrap/>
        <w:overflowPunct/>
        <w:topLinePunct w:val="0"/>
        <w:bidi w:val="0"/>
        <w:adjustRightInd w:val="0"/>
        <w:snapToGrid w:val="0"/>
        <w:spacing w:line="560" w:lineRule="exact"/>
        <w:ind w:right="124" w:firstLine="664"/>
        <w:jc w:val="both"/>
        <w:rPr>
          <w:rFonts w:ascii="仿宋_GB2312" w:hAnsi="黑体" w:eastAsia="仿宋_GB2312" w:cs="Times New Roman"/>
          <w:snapToGrid/>
          <w:color w:val="auto"/>
          <w:sz w:val="32"/>
          <w:szCs w:val="32"/>
          <w:highlight w:val="none"/>
          <w:lang w:eastAsia="zh-CN"/>
        </w:rPr>
      </w:pPr>
      <w:r>
        <w:rPr>
          <w:rFonts w:hint="eastAsia" w:ascii="仿宋_GB2312" w:hAnsi="黑体" w:cs="Times New Roman"/>
          <w:snapToGrid/>
          <w:color w:val="auto"/>
          <w:sz w:val="32"/>
          <w:szCs w:val="32"/>
          <w:highlight w:val="none"/>
          <w:lang w:val="en-US" w:eastAsia="zh-CN"/>
        </w:rPr>
        <w:t>2.</w:t>
      </w:r>
      <w:r>
        <w:rPr>
          <w:rFonts w:hint="eastAsia" w:ascii="仿宋_GB2312" w:hAnsi="黑体" w:eastAsia="仿宋_GB2312" w:cs="Times New Roman"/>
          <w:snapToGrid/>
          <w:color w:val="auto"/>
          <w:sz w:val="32"/>
          <w:szCs w:val="32"/>
          <w:highlight w:val="none"/>
          <w:lang w:eastAsia="zh-CN"/>
        </w:rPr>
        <w:t>药品经营许可证、营业执照和法定代表人、主要负责人或实际控制人身份证复印件(含证照正、副本);</w:t>
      </w:r>
    </w:p>
    <w:p>
      <w:pPr>
        <w:keepNext w:val="0"/>
        <w:keepLines w:val="0"/>
        <w:pageBreakBefore w:val="0"/>
        <w:widowControl w:val="0"/>
        <w:kinsoku/>
        <w:wordWrap/>
        <w:overflowPunct/>
        <w:topLinePunct w:val="0"/>
        <w:bidi w:val="0"/>
        <w:adjustRightInd w:val="0"/>
        <w:snapToGrid w:val="0"/>
        <w:spacing w:line="560" w:lineRule="exact"/>
        <w:ind w:right="124" w:firstLine="664"/>
        <w:jc w:val="both"/>
        <w:rPr>
          <w:rFonts w:ascii="仿宋_GB2312" w:hAnsi="黑体" w:eastAsia="仿宋_GB2312" w:cs="Times New Roman"/>
          <w:snapToGrid/>
          <w:color w:val="auto"/>
          <w:sz w:val="32"/>
          <w:szCs w:val="32"/>
          <w:highlight w:val="none"/>
          <w:lang w:eastAsia="zh-CN"/>
        </w:rPr>
      </w:pPr>
      <w:r>
        <w:rPr>
          <w:rFonts w:hint="eastAsia" w:ascii="仿宋_GB2312" w:hAnsi="黑体" w:cs="Times New Roman"/>
          <w:snapToGrid/>
          <w:color w:val="auto"/>
          <w:sz w:val="32"/>
          <w:szCs w:val="32"/>
          <w:highlight w:val="none"/>
          <w:lang w:val="en-US" w:eastAsia="zh-CN"/>
        </w:rPr>
        <w:t>3.</w:t>
      </w:r>
      <w:r>
        <w:rPr>
          <w:rFonts w:hint="eastAsia" w:ascii="仿宋_GB2312" w:hAnsi="黑体" w:eastAsia="仿宋_GB2312" w:cs="Times New Roman"/>
          <w:snapToGrid/>
          <w:color w:val="auto"/>
          <w:sz w:val="32"/>
          <w:szCs w:val="32"/>
          <w:highlight w:val="none"/>
          <w:lang w:eastAsia="zh-CN"/>
        </w:rPr>
        <w:t>单位人员花名册及参保缴费证明，执业药师或药学技术人员、专(兼)职医保管理人员、专(兼)职信息系统管理人员需要注明；</w:t>
      </w:r>
    </w:p>
    <w:p>
      <w:pPr>
        <w:keepNext w:val="0"/>
        <w:keepLines w:val="0"/>
        <w:pageBreakBefore w:val="0"/>
        <w:widowControl w:val="0"/>
        <w:kinsoku/>
        <w:wordWrap/>
        <w:overflowPunct/>
        <w:topLinePunct w:val="0"/>
        <w:bidi w:val="0"/>
        <w:adjustRightInd w:val="0"/>
        <w:snapToGrid w:val="0"/>
        <w:spacing w:line="560" w:lineRule="exact"/>
        <w:ind w:right="124" w:firstLine="664"/>
        <w:jc w:val="both"/>
        <w:rPr>
          <w:color w:val="auto"/>
          <w:highlight w:val="none"/>
          <w:lang w:eastAsia="zh-CN"/>
        </w:rPr>
      </w:pPr>
      <w:r>
        <w:rPr>
          <w:rFonts w:hint="eastAsia" w:ascii="仿宋_GB2312" w:hAnsi="黑体" w:cs="Times New Roman"/>
          <w:snapToGrid/>
          <w:color w:val="auto"/>
          <w:sz w:val="32"/>
          <w:szCs w:val="32"/>
          <w:highlight w:val="none"/>
          <w:lang w:val="en-US" w:eastAsia="zh-CN"/>
        </w:rPr>
        <w:t>4.</w:t>
      </w:r>
      <w:r>
        <w:rPr>
          <w:rFonts w:hint="eastAsia" w:ascii="仿宋_GB2312" w:hAnsi="黑体" w:eastAsia="仿宋_GB2312" w:cs="Times New Roman"/>
          <w:snapToGrid/>
          <w:color w:val="auto"/>
          <w:sz w:val="32"/>
          <w:szCs w:val="32"/>
          <w:highlight w:val="none"/>
          <w:lang w:eastAsia="zh-CN"/>
        </w:rPr>
        <w:t>执业药师资格证书或药学技术人员相关证书及其劳动 合同复印件；</w:t>
      </w:r>
    </w:p>
    <w:p>
      <w:pPr>
        <w:keepNext w:val="0"/>
        <w:keepLines w:val="0"/>
        <w:pageBreakBefore w:val="0"/>
        <w:widowControl w:val="0"/>
        <w:kinsoku/>
        <w:wordWrap/>
        <w:overflowPunct/>
        <w:topLinePunct w:val="0"/>
        <w:bidi w:val="0"/>
        <w:adjustRightInd w:val="0"/>
        <w:snapToGrid w:val="0"/>
        <w:spacing w:line="560" w:lineRule="exact"/>
        <w:ind w:right="124" w:firstLine="664"/>
        <w:jc w:val="both"/>
        <w:rPr>
          <w:rFonts w:ascii="仿宋_GB2312" w:hAnsi="黑体" w:eastAsia="仿宋_GB2312" w:cs="Times New Roman"/>
          <w:snapToGrid/>
          <w:color w:val="auto"/>
          <w:sz w:val="32"/>
          <w:szCs w:val="32"/>
          <w:highlight w:val="none"/>
          <w:lang w:eastAsia="zh-CN"/>
        </w:rPr>
      </w:pPr>
      <w:r>
        <w:rPr>
          <w:rFonts w:hint="eastAsia" w:ascii="仿宋_GB2312" w:hAnsi="黑体" w:cs="Times New Roman"/>
          <w:snapToGrid/>
          <w:color w:val="auto"/>
          <w:sz w:val="32"/>
          <w:szCs w:val="32"/>
          <w:highlight w:val="none"/>
          <w:lang w:val="en-US" w:eastAsia="zh-CN"/>
        </w:rPr>
        <w:t>5.</w:t>
      </w:r>
      <w:r>
        <w:rPr>
          <w:rFonts w:hint="eastAsia" w:ascii="仿宋_GB2312" w:hAnsi="黑体" w:eastAsia="仿宋_GB2312" w:cs="Times New Roman"/>
          <w:snapToGrid/>
          <w:color w:val="auto"/>
          <w:sz w:val="32"/>
          <w:szCs w:val="32"/>
          <w:highlight w:val="none"/>
          <w:lang w:eastAsia="zh-CN"/>
        </w:rPr>
        <w:t>专(兼)职医保管理人员的劳动合同复印件；</w:t>
      </w:r>
    </w:p>
    <w:p>
      <w:pPr>
        <w:keepNext w:val="0"/>
        <w:keepLines w:val="0"/>
        <w:pageBreakBefore w:val="0"/>
        <w:widowControl w:val="0"/>
        <w:kinsoku/>
        <w:wordWrap/>
        <w:overflowPunct/>
        <w:topLinePunct w:val="0"/>
        <w:bidi w:val="0"/>
        <w:adjustRightInd w:val="0"/>
        <w:snapToGrid w:val="0"/>
        <w:spacing w:line="560" w:lineRule="exact"/>
        <w:ind w:right="124" w:firstLine="664"/>
        <w:jc w:val="both"/>
        <w:rPr>
          <w:rFonts w:ascii="仿宋_GB2312" w:hAnsi="黑体" w:eastAsia="仿宋_GB2312" w:cs="Times New Roman"/>
          <w:snapToGrid/>
          <w:color w:val="auto"/>
          <w:sz w:val="32"/>
          <w:szCs w:val="32"/>
          <w:highlight w:val="none"/>
          <w:lang w:eastAsia="zh-CN"/>
        </w:rPr>
      </w:pPr>
      <w:r>
        <w:rPr>
          <w:rFonts w:hint="eastAsia" w:ascii="仿宋_GB2312" w:hAnsi="黑体" w:cs="Times New Roman"/>
          <w:snapToGrid/>
          <w:color w:val="auto"/>
          <w:sz w:val="32"/>
          <w:szCs w:val="32"/>
          <w:highlight w:val="none"/>
          <w:lang w:val="en-US" w:eastAsia="zh-CN"/>
        </w:rPr>
        <w:t>6.</w:t>
      </w:r>
      <w:r>
        <w:rPr>
          <w:rFonts w:hint="eastAsia" w:ascii="仿宋_GB2312" w:hAnsi="黑体" w:eastAsia="仿宋_GB2312" w:cs="Times New Roman"/>
          <w:snapToGrid/>
          <w:color w:val="auto"/>
          <w:sz w:val="32"/>
          <w:szCs w:val="32"/>
          <w:highlight w:val="none"/>
          <w:lang w:eastAsia="zh-CN"/>
        </w:rPr>
        <w:t>)与医疗保障政策对应的内部管理制度和财务制度文本；</w:t>
      </w:r>
    </w:p>
    <w:p>
      <w:pPr>
        <w:keepNext w:val="0"/>
        <w:keepLines w:val="0"/>
        <w:pageBreakBefore w:val="0"/>
        <w:widowControl w:val="0"/>
        <w:kinsoku/>
        <w:wordWrap/>
        <w:overflowPunct/>
        <w:topLinePunct w:val="0"/>
        <w:bidi w:val="0"/>
        <w:adjustRightInd w:val="0"/>
        <w:snapToGrid w:val="0"/>
        <w:spacing w:line="560" w:lineRule="exact"/>
        <w:ind w:right="124" w:firstLine="664"/>
        <w:jc w:val="both"/>
        <w:rPr>
          <w:rFonts w:ascii="仿宋_GB2312" w:hAnsi="黑体" w:eastAsia="仿宋_GB2312" w:cs="Times New Roman"/>
          <w:snapToGrid/>
          <w:color w:val="auto"/>
          <w:sz w:val="32"/>
          <w:szCs w:val="32"/>
          <w:highlight w:val="none"/>
          <w:lang w:eastAsia="zh-CN"/>
        </w:rPr>
      </w:pPr>
      <w:r>
        <w:rPr>
          <w:rFonts w:hint="eastAsia" w:ascii="仿宋_GB2312" w:hAnsi="黑体" w:cs="Times New Roman"/>
          <w:snapToGrid/>
          <w:color w:val="auto"/>
          <w:sz w:val="32"/>
          <w:szCs w:val="32"/>
          <w:highlight w:val="none"/>
          <w:lang w:val="en-US" w:eastAsia="zh-CN"/>
        </w:rPr>
        <w:t>7.</w:t>
      </w:r>
      <w:r>
        <w:rPr>
          <w:rFonts w:hint="eastAsia" w:ascii="仿宋_GB2312" w:hAnsi="黑体" w:eastAsia="仿宋_GB2312" w:cs="Times New Roman"/>
          <w:snapToGrid/>
          <w:color w:val="auto"/>
          <w:sz w:val="32"/>
          <w:szCs w:val="32"/>
          <w:highlight w:val="none"/>
          <w:lang w:eastAsia="zh-CN"/>
        </w:rPr>
        <w:t>与医保有关的信息系统相关材料；</w:t>
      </w:r>
    </w:p>
    <w:p>
      <w:pPr>
        <w:shd w:val="clear" w:color="auto" w:fill="FFFFFF"/>
        <w:autoSpaceDE w:val="0"/>
        <w:autoSpaceDN w:val="0"/>
        <w:adjustRightInd w:val="0"/>
        <w:snapToGrid w:val="0"/>
        <w:spacing w:line="560" w:lineRule="exact"/>
        <w:ind w:firstLine="685" w:firstLineChars="211"/>
        <w:rPr>
          <w:rFonts w:hint="eastAsia" w:ascii="仿宋_GB2312" w:hAnsi="仿宋_GB2312" w:eastAsia="仿宋_GB2312" w:cs="仿宋_GB2312"/>
          <w:color w:val="auto"/>
          <w:spacing w:val="5"/>
          <w:kern w:val="0"/>
          <w:highlight w:val="none"/>
          <w:lang w:eastAsia="zh-CN"/>
        </w:rPr>
      </w:pPr>
      <w:r>
        <w:rPr>
          <w:rFonts w:hint="eastAsia" w:ascii="仿宋_GB2312" w:hAnsi="黑体" w:cs="Times New Roman"/>
          <w:snapToGrid/>
          <w:color w:val="auto"/>
          <w:sz w:val="32"/>
          <w:szCs w:val="32"/>
          <w:highlight w:val="none"/>
          <w:lang w:val="en-US" w:eastAsia="zh-CN"/>
        </w:rPr>
        <w:t>8.</w:t>
      </w:r>
      <w:r>
        <w:rPr>
          <w:rFonts w:hint="eastAsia" w:ascii="仿宋_GB2312" w:hAnsi="黑体" w:eastAsia="仿宋_GB2312" w:cs="Times New Roman"/>
          <w:snapToGrid/>
          <w:color w:val="auto"/>
          <w:sz w:val="32"/>
          <w:szCs w:val="32"/>
          <w:highlight w:val="none"/>
          <w:lang w:eastAsia="zh-CN"/>
        </w:rPr>
        <w:t>纳入医保定点后使用医疗保障基金的预测性分析报告，主要包括：1.零售药店基本情况(包括所有制形式、性质、面积、人员配备、服务范围、药品耗材管理、信息系统、服务人群等);2.近3个月运营状况(服务量、费用及人次情况等);3.预测分析纳入医保定点后医疗保障基金使用情况及安全风险防范预案等</w:t>
      </w:r>
      <w:r>
        <w:rPr>
          <w:rFonts w:hint="eastAsia" w:ascii="仿宋_GB2312" w:hAnsi="黑体" w:cs="Times New Roman"/>
          <w:snapToGrid/>
          <w:color w:val="auto"/>
          <w:sz w:val="32"/>
          <w:szCs w:val="32"/>
          <w:highlight w:val="none"/>
          <w:lang w:eastAsia="zh-CN"/>
        </w:rPr>
        <w:t>。</w:t>
      </w:r>
    </w:p>
    <w:p>
      <w:pPr>
        <w:shd w:val="clear" w:color="auto" w:fill="FFFFFF"/>
        <w:autoSpaceDE w:val="0"/>
        <w:autoSpaceDN w:val="0"/>
        <w:adjustRightInd w:val="0"/>
        <w:snapToGrid w:val="0"/>
        <w:spacing w:line="560" w:lineRule="exact"/>
        <w:ind w:firstLine="706" w:firstLineChars="211"/>
        <w:rPr>
          <w:rFonts w:hint="eastAsia" w:ascii="楷体_GB2312" w:hAnsi="楷体_GB2312" w:eastAsia="楷体_GB2312" w:cs="楷体_GB2312"/>
          <w:color w:val="auto"/>
          <w:spacing w:val="5"/>
          <w:kern w:val="0"/>
          <w:highlight w:val="none"/>
        </w:rPr>
      </w:pPr>
      <w:r>
        <w:rPr>
          <w:rFonts w:hint="eastAsia" w:ascii="楷体_GB2312" w:hAnsi="楷体_GB2312" w:eastAsia="楷体_GB2312" w:cs="楷体_GB2312"/>
          <w:color w:val="auto"/>
          <w:spacing w:val="5"/>
          <w:kern w:val="0"/>
          <w:highlight w:val="none"/>
        </w:rPr>
        <w:t>（</w:t>
      </w:r>
      <w:r>
        <w:rPr>
          <w:rFonts w:hint="eastAsia" w:ascii="楷体_GB2312" w:hAnsi="楷体_GB2312" w:eastAsia="楷体_GB2312" w:cs="楷体_GB2312"/>
          <w:color w:val="auto"/>
          <w:spacing w:val="5"/>
          <w:kern w:val="0"/>
          <w:highlight w:val="none"/>
          <w:lang w:eastAsia="zh-CN"/>
        </w:rPr>
        <w:t>三</w:t>
      </w:r>
      <w:r>
        <w:rPr>
          <w:rFonts w:hint="eastAsia" w:ascii="楷体_GB2312" w:hAnsi="楷体_GB2312" w:eastAsia="楷体_GB2312" w:cs="楷体_GB2312"/>
          <w:color w:val="auto"/>
          <w:spacing w:val="5"/>
          <w:kern w:val="0"/>
          <w:highlight w:val="none"/>
        </w:rPr>
        <w:t>）零售药店有下列情形之一的，不予受理定点申请：</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1.</w:t>
      </w:r>
      <w:r>
        <w:rPr>
          <w:rFonts w:hint="eastAsia" w:ascii="仿宋_GB2312" w:hAnsi="仿宋_GB2312" w:cs="仿宋_GB2312"/>
          <w:color w:val="auto"/>
          <w:spacing w:val="5"/>
          <w:kern w:val="0"/>
          <w:highlight w:val="none"/>
        </w:rPr>
        <w:t>未依法履行行政处罚责任的;</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2.</w:t>
      </w:r>
      <w:r>
        <w:rPr>
          <w:rFonts w:hint="eastAsia" w:ascii="仿宋_GB2312" w:hAnsi="仿宋_GB2312" w:cs="仿宋_GB2312"/>
          <w:color w:val="auto"/>
          <w:spacing w:val="5"/>
          <w:kern w:val="0"/>
          <w:highlight w:val="none"/>
        </w:rPr>
        <w:t>以弄虚作假等不正当手段申请定点，自发现之日起未满3年的;</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3.</w:t>
      </w:r>
      <w:r>
        <w:rPr>
          <w:rFonts w:hint="eastAsia" w:ascii="仿宋_GB2312" w:hAnsi="仿宋_GB2312" w:cs="仿宋_GB2312"/>
          <w:color w:val="auto"/>
          <w:spacing w:val="5"/>
          <w:kern w:val="0"/>
          <w:highlight w:val="none"/>
        </w:rPr>
        <w:t>因违法违规被解除医保协议未满3年或已满3年但未完全履行行政处罚法律责任的;</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4.</w:t>
      </w:r>
      <w:r>
        <w:rPr>
          <w:rFonts w:hint="eastAsia" w:ascii="仿宋_GB2312" w:hAnsi="仿宋_GB2312" w:cs="仿宋_GB2312"/>
          <w:color w:val="auto"/>
          <w:spacing w:val="5"/>
          <w:kern w:val="0"/>
          <w:highlight w:val="none"/>
        </w:rPr>
        <w:t>因严重违反医保协议约定而被解除医保协议未满1年或已满1年但未完全履行违约责任的;</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5.</w:t>
      </w:r>
      <w:r>
        <w:rPr>
          <w:rFonts w:hint="eastAsia" w:ascii="仿宋_GB2312" w:hAnsi="仿宋_GB2312" w:cs="仿宋_GB2312"/>
          <w:color w:val="auto"/>
          <w:spacing w:val="5"/>
          <w:kern w:val="0"/>
          <w:highlight w:val="none"/>
        </w:rPr>
        <w:t>法定代表人、企业负责人或实际控制人曾因严重违法违规导致原定点零售药店被解除医保协议，未满5年的;</w:t>
      </w:r>
    </w:p>
    <w:p>
      <w:pPr>
        <w:shd w:val="clear" w:color="auto" w:fill="FFFFFF"/>
        <w:autoSpaceDE w:val="0"/>
        <w:autoSpaceDN w:val="0"/>
        <w:adjustRightInd w:val="0"/>
        <w:snapToGrid w:val="0"/>
        <w:spacing w:line="560" w:lineRule="exact"/>
        <w:ind w:firstLine="706" w:firstLineChars="211"/>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6.</w:t>
      </w:r>
      <w:r>
        <w:rPr>
          <w:rFonts w:hint="eastAsia" w:ascii="仿宋_GB2312" w:hAnsi="仿宋_GB2312" w:cs="仿宋_GB2312"/>
          <w:color w:val="auto"/>
          <w:spacing w:val="5"/>
          <w:kern w:val="0"/>
          <w:highlight w:val="none"/>
        </w:rPr>
        <w:t>法定代表人、企业负责人或实际控制人被列入失信人名单的;</w:t>
      </w:r>
    </w:p>
    <w:p>
      <w:pPr>
        <w:autoSpaceDE w:val="0"/>
        <w:autoSpaceDN w:val="0"/>
        <w:adjustRightInd w:val="0"/>
        <w:snapToGrid w:val="0"/>
        <w:spacing w:line="560" w:lineRule="exact"/>
        <w:ind w:firstLine="706" w:firstLineChars="211"/>
        <w:jc w:val="left"/>
        <w:rPr>
          <w:rFonts w:ascii="仿宋_GB2312" w:hAnsi="仿宋_GB2312" w:cs="仿宋_GB2312"/>
          <w:color w:val="auto"/>
          <w:spacing w:val="5"/>
          <w:kern w:val="0"/>
          <w:highlight w:val="none"/>
        </w:rPr>
      </w:pPr>
      <w:r>
        <w:rPr>
          <w:rFonts w:ascii="仿宋_GB2312" w:hAnsi="仿宋_GB2312" w:cs="仿宋_GB2312"/>
          <w:color w:val="auto"/>
          <w:spacing w:val="5"/>
          <w:kern w:val="0"/>
          <w:highlight w:val="none"/>
        </w:rPr>
        <w:t>7.</w:t>
      </w:r>
      <w:r>
        <w:rPr>
          <w:rFonts w:hint="eastAsia" w:ascii="仿宋_GB2312" w:hAnsi="仿宋_GB2312" w:cs="仿宋_GB2312"/>
          <w:color w:val="auto"/>
          <w:spacing w:val="5"/>
          <w:kern w:val="0"/>
          <w:highlight w:val="none"/>
        </w:rPr>
        <w:t>法律法规规定的其他不予受理的情形。</w:t>
      </w:r>
    </w:p>
    <w:p>
      <w:pPr>
        <w:autoSpaceDE w:val="0"/>
        <w:autoSpaceDN w:val="0"/>
        <w:adjustRightInd w:val="0"/>
        <w:snapToGrid w:val="0"/>
        <w:spacing w:line="560" w:lineRule="exact"/>
        <w:ind w:firstLine="670" w:firstLineChars="200"/>
        <w:jc w:val="left"/>
        <w:rPr>
          <w:rFonts w:hint="eastAsia" w:ascii="黑体" w:hAnsi="黑体" w:eastAsia="黑体" w:cs="CESI黑体-GB2312"/>
          <w:color w:val="auto"/>
          <w:spacing w:val="5"/>
          <w:kern w:val="0"/>
          <w:highlight w:val="none"/>
          <w:lang w:eastAsia="zh-CN"/>
        </w:rPr>
      </w:pPr>
      <w:r>
        <w:rPr>
          <w:rFonts w:hint="eastAsia" w:ascii="黑体" w:hAnsi="黑体" w:eastAsia="黑体" w:cs="CESI黑体-GB2312"/>
          <w:color w:val="auto"/>
          <w:spacing w:val="5"/>
          <w:kern w:val="0"/>
          <w:highlight w:val="none"/>
          <w:lang w:eastAsia="zh-CN"/>
        </w:rPr>
        <w:t>三、</w:t>
      </w:r>
      <w:r>
        <w:rPr>
          <w:rFonts w:hint="eastAsia" w:ascii="黑体" w:hAnsi="黑体" w:eastAsia="黑体" w:cs="CESI黑体-GB2312"/>
          <w:color w:val="auto"/>
          <w:spacing w:val="5"/>
          <w:kern w:val="0"/>
          <w:highlight w:val="none"/>
        </w:rPr>
        <w:t>《青岛市“双通道”定点零售药店协议管理经办规程》</w:t>
      </w:r>
      <w:r>
        <w:rPr>
          <w:rFonts w:hint="eastAsia" w:ascii="黑体" w:hAnsi="黑体" w:eastAsia="黑体" w:cs="CESI黑体-GB2312"/>
          <w:color w:val="auto"/>
          <w:spacing w:val="5"/>
          <w:kern w:val="0"/>
          <w:highlight w:val="none"/>
          <w:lang w:eastAsia="zh-CN"/>
        </w:rPr>
        <w:t>（</w:t>
      </w:r>
      <w:r>
        <w:rPr>
          <w:rFonts w:hint="eastAsia" w:ascii="黑体" w:hAnsi="黑体" w:eastAsia="黑体" w:cs="CESI黑体-GB2312"/>
          <w:color w:val="auto"/>
          <w:spacing w:val="5"/>
          <w:kern w:val="0"/>
          <w:highlight w:val="none"/>
        </w:rPr>
        <w:t>青医保中心字〔2024〕16号</w:t>
      </w:r>
      <w:r>
        <w:rPr>
          <w:rFonts w:hint="eastAsia" w:ascii="黑体" w:hAnsi="黑体" w:eastAsia="黑体" w:cs="CESI黑体-GB2312"/>
          <w:color w:val="auto"/>
          <w:spacing w:val="5"/>
          <w:kern w:val="0"/>
          <w:highlight w:val="none"/>
          <w:lang w:eastAsia="zh-CN"/>
        </w:rPr>
        <w:t>）有关要求</w:t>
      </w:r>
    </w:p>
    <w:p>
      <w:pPr>
        <w:pStyle w:val="10"/>
        <w:spacing w:beforeAutospacing="0" w:afterAutospacing="0" w:line="560" w:lineRule="exact"/>
        <w:ind w:firstLine="65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bidi="ar"/>
        </w:rPr>
        <w:t>“双通道”定点零售药店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应</w:t>
      </w:r>
      <w:r>
        <w:rPr>
          <w:rFonts w:hint="eastAsia" w:ascii="仿宋_GB2312" w:hAnsi="仿宋_GB2312" w:eastAsia="仿宋_GB2312" w:cs="仿宋_GB2312"/>
          <w:sz w:val="32"/>
          <w:szCs w:val="32"/>
        </w:rPr>
        <w:t>通过医疗保险经办机构公布的电子邮箱或其它方式，至少提供以下材料原件</w:t>
      </w:r>
      <w:r>
        <w:rPr>
          <w:rFonts w:ascii="仿宋_GB2312" w:hAnsi="仿宋_GB2312" w:eastAsia="仿宋_GB2312" w:cs="仿宋_GB2312"/>
          <w:sz w:val="32"/>
          <w:szCs w:val="32"/>
        </w:rPr>
        <w:t>扫描</w:t>
      </w:r>
      <w:r>
        <w:rPr>
          <w:rFonts w:hint="eastAsia" w:ascii="仿宋_GB2312" w:hAnsi="仿宋_GB2312" w:eastAsia="仿宋_GB2312" w:cs="仿宋_GB2312"/>
          <w:sz w:val="32"/>
          <w:szCs w:val="32"/>
        </w:rPr>
        <w:t>件的电子版：</w:t>
      </w:r>
    </w:p>
    <w:p>
      <w:pPr>
        <w:pStyle w:val="10"/>
        <w:spacing w:beforeAutospacing="0" w:afterAutospacing="0" w:line="560" w:lineRule="exact"/>
        <w:ind w:firstLine="650" w:firstLineChars="200"/>
        <w:rPr>
          <w:rFonts w:hint="eastAsia"/>
          <w:lang w:eastAsia="zh-CN"/>
        </w:rPr>
      </w:pP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rPr>
        <w:t>）双</w:t>
      </w:r>
      <w:r>
        <w:rPr>
          <w:rFonts w:ascii="仿宋_GB2312" w:hAnsi="仿宋_GB2312" w:eastAsia="仿宋_GB2312" w:cs="仿宋_GB2312"/>
          <w:sz w:val="32"/>
          <w:szCs w:val="32"/>
        </w:rPr>
        <w:t>通道</w:t>
      </w:r>
      <w:r>
        <w:rPr>
          <w:rFonts w:hint="eastAsia" w:ascii="仿宋_GB2312" w:hAnsi="仿宋_GB2312" w:eastAsia="仿宋_GB2312" w:cs="仿宋_GB2312"/>
          <w:sz w:val="32"/>
          <w:szCs w:val="32"/>
        </w:rPr>
        <w:t>定</w:t>
      </w:r>
      <w:r>
        <w:rPr>
          <w:rFonts w:ascii="仿宋_GB2312" w:hAnsi="仿宋_GB2312" w:eastAsia="仿宋_GB2312" w:cs="仿宋_GB2312"/>
          <w:sz w:val="32"/>
          <w:szCs w:val="32"/>
        </w:rPr>
        <w:t>点零售药店申请表</w:t>
      </w:r>
      <w:r>
        <w:rPr>
          <w:rFonts w:hint="eastAsia" w:ascii="仿宋_GB2312" w:hAnsi="仿宋_GB2312" w:eastAsia="仿宋_GB2312" w:cs="仿宋_GB2312"/>
          <w:sz w:val="32"/>
          <w:szCs w:val="32"/>
        </w:rPr>
        <w:t>；</w:t>
      </w:r>
    </w:p>
    <w:p>
      <w:pPr>
        <w:pStyle w:val="10"/>
        <w:spacing w:beforeAutospacing="0" w:afterAutospacing="0" w:line="560" w:lineRule="exact"/>
        <w:ind w:firstLine="65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rPr>
        <w:t>）零售药店定点满1年，且</w:t>
      </w:r>
      <w:r>
        <w:rPr>
          <w:rFonts w:ascii="仿宋_GB2312" w:hAnsi="仿宋_GB2312" w:eastAsia="仿宋_GB2312" w:cs="仿宋_GB2312"/>
          <w:sz w:val="32"/>
          <w:szCs w:val="32"/>
        </w:rPr>
        <w:t>在</w:t>
      </w:r>
      <w:r>
        <w:rPr>
          <w:rFonts w:hint="eastAsia" w:ascii="仿宋_GB2312" w:hAnsi="仿宋_GB2312" w:eastAsia="仿宋_GB2312" w:cs="仿宋_GB2312"/>
          <w:sz w:val="32"/>
          <w:szCs w:val="32"/>
        </w:rPr>
        <w:t>有效期内的《青岛市社会医疗保险定点零售药店服务协议》；</w:t>
      </w:r>
    </w:p>
    <w:p>
      <w:pPr>
        <w:pStyle w:val="10"/>
        <w:spacing w:beforeAutospacing="0" w:afterAutospacing="0" w:line="560" w:lineRule="exact"/>
        <w:ind w:firstLine="65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至少</w:t>
      </w:r>
      <w:r>
        <w:rPr>
          <w:rFonts w:hint="eastAsia" w:ascii="仿宋_GB2312" w:hAnsi="仿宋_GB2312" w:eastAsia="仿宋_GB2312" w:cs="仿宋_GB2312"/>
          <w:sz w:val="32"/>
          <w:szCs w:val="32"/>
        </w:rPr>
        <w:t>2名</w:t>
      </w:r>
      <w:r>
        <w:rPr>
          <w:rFonts w:ascii="仿宋_GB2312" w:hAnsi="仿宋_GB2312" w:eastAsia="仿宋_GB2312" w:cs="仿宋_GB2312"/>
          <w:sz w:val="32"/>
          <w:szCs w:val="32"/>
        </w:rPr>
        <w:t>注册在本药店</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执业药师</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在国家</w:t>
      </w:r>
      <w:r>
        <w:rPr>
          <w:rFonts w:hint="eastAsia" w:ascii="仿宋_GB2312" w:hAnsi="仿宋_GB2312" w:eastAsia="仿宋_GB2312" w:cs="仿宋_GB2312"/>
          <w:sz w:val="32"/>
          <w:szCs w:val="32"/>
        </w:rPr>
        <w:t>医保编码</w:t>
      </w:r>
      <w:r>
        <w:rPr>
          <w:rFonts w:ascii="仿宋_GB2312" w:hAnsi="仿宋_GB2312" w:eastAsia="仿宋_GB2312" w:cs="仿宋_GB2312"/>
          <w:sz w:val="32"/>
          <w:szCs w:val="32"/>
        </w:rPr>
        <w:t>平台</w:t>
      </w:r>
      <w:r>
        <w:rPr>
          <w:rFonts w:hint="eastAsia" w:ascii="仿宋_GB2312" w:hAnsi="仿宋_GB2312" w:eastAsia="仿宋_GB2312" w:cs="仿宋_GB2312"/>
          <w:sz w:val="32"/>
          <w:szCs w:val="32"/>
        </w:rPr>
        <w:t>显示状态</w:t>
      </w:r>
      <w:r>
        <w:rPr>
          <w:rFonts w:ascii="仿宋_GB2312" w:hAnsi="仿宋_GB2312" w:eastAsia="仿宋_GB2312" w:cs="仿宋_GB2312"/>
          <w:sz w:val="32"/>
          <w:szCs w:val="32"/>
        </w:rPr>
        <w:t>正常</w:t>
      </w:r>
      <w:r>
        <w:rPr>
          <w:rFonts w:hint="eastAsia" w:ascii="仿宋_GB2312" w:hAnsi="仿宋_GB2312" w:eastAsia="仿宋_GB2312" w:cs="仿宋_GB2312"/>
          <w:sz w:val="32"/>
          <w:szCs w:val="32"/>
        </w:rPr>
        <w:t>；</w:t>
      </w:r>
    </w:p>
    <w:p>
      <w:pPr>
        <w:pStyle w:val="10"/>
        <w:spacing w:beforeAutospacing="0" w:afterAutospacing="0" w:line="560" w:lineRule="exact"/>
        <w:ind w:firstLine="65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四</w:t>
      </w:r>
      <w:r>
        <w:rPr>
          <w:rFonts w:hint="eastAsia" w:ascii="仿宋_GB2312" w:hAnsi="仿宋_GB2312" w:eastAsia="仿宋_GB2312" w:cs="仿宋_GB2312"/>
          <w:sz w:val="32"/>
          <w:szCs w:val="32"/>
        </w:rPr>
        <w:t>）市辖区（市南区、市北区、李沧区、崂山区、西海岸新区、城阳区、即墨区）的定点</w:t>
      </w:r>
      <w:r>
        <w:rPr>
          <w:rFonts w:ascii="仿宋_GB2312" w:hAnsi="仿宋_GB2312" w:eastAsia="仿宋_GB2312" w:cs="仿宋_GB2312"/>
          <w:sz w:val="32"/>
          <w:szCs w:val="32"/>
        </w:rPr>
        <w:t>零售药店</w:t>
      </w: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至少</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种协议</w:t>
      </w:r>
      <w:r>
        <w:rPr>
          <w:rFonts w:ascii="仿宋_GB2312" w:hAnsi="仿宋_GB2312" w:eastAsia="仿宋_GB2312" w:cs="仿宋_GB2312"/>
          <w:sz w:val="32"/>
          <w:szCs w:val="32"/>
        </w:rPr>
        <w:t>期内</w:t>
      </w:r>
      <w:r>
        <w:rPr>
          <w:rFonts w:hint="eastAsia" w:ascii="仿宋_GB2312" w:hAnsi="仿宋_GB2312" w:eastAsia="仿宋_GB2312" w:cs="仿宋_GB2312"/>
          <w:sz w:val="32"/>
          <w:szCs w:val="32"/>
        </w:rPr>
        <w:t>的国</w:t>
      </w:r>
      <w:r>
        <w:rPr>
          <w:rFonts w:ascii="仿宋_GB2312" w:hAnsi="仿宋_GB2312" w:eastAsia="仿宋_GB2312" w:cs="仿宋_GB2312"/>
          <w:sz w:val="32"/>
          <w:szCs w:val="32"/>
        </w:rPr>
        <w:t>谈</w:t>
      </w:r>
      <w:r>
        <w:rPr>
          <w:rFonts w:hint="eastAsia" w:ascii="仿宋_GB2312" w:hAnsi="仿宋_GB2312" w:eastAsia="仿宋_GB2312" w:cs="仿宋_GB2312"/>
          <w:sz w:val="32"/>
          <w:szCs w:val="32"/>
        </w:rPr>
        <w:t>药品授权经</w:t>
      </w:r>
      <w:r>
        <w:rPr>
          <w:rFonts w:ascii="仿宋_GB2312" w:hAnsi="仿宋_GB2312" w:eastAsia="仿宋_GB2312" w:cs="仿宋_GB2312"/>
          <w:sz w:val="32"/>
          <w:szCs w:val="32"/>
        </w:rPr>
        <w:t>销材料</w:t>
      </w:r>
      <w:r>
        <w:rPr>
          <w:rFonts w:hint="eastAsia" w:ascii="仿宋_GB2312" w:hAnsi="仿宋_GB2312" w:eastAsia="仿宋_GB2312" w:cs="仿宋_GB2312"/>
          <w:sz w:val="32"/>
          <w:szCs w:val="32"/>
        </w:rPr>
        <w:t>，其他</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（胶州市、平度市、莱西市）的定点</w:t>
      </w:r>
      <w:r>
        <w:rPr>
          <w:rFonts w:ascii="仿宋_GB2312" w:hAnsi="仿宋_GB2312" w:eastAsia="仿宋_GB2312" w:cs="仿宋_GB2312"/>
          <w:sz w:val="32"/>
          <w:szCs w:val="32"/>
        </w:rPr>
        <w:t>零售药店</w:t>
      </w:r>
      <w:r>
        <w:rPr>
          <w:rFonts w:hint="eastAsia" w:ascii="仿宋_GB2312" w:hAnsi="仿宋_GB2312" w:eastAsia="仿宋_GB2312" w:cs="仿宋_GB2312"/>
          <w:sz w:val="32"/>
          <w:szCs w:val="32"/>
        </w:rPr>
        <w:t>提供至少2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种协议</w:t>
      </w:r>
      <w:r>
        <w:rPr>
          <w:rFonts w:ascii="仿宋_GB2312" w:hAnsi="仿宋_GB2312" w:eastAsia="仿宋_GB2312" w:cs="仿宋_GB2312"/>
          <w:sz w:val="32"/>
          <w:szCs w:val="32"/>
        </w:rPr>
        <w:t>期内</w:t>
      </w:r>
      <w:r>
        <w:rPr>
          <w:rFonts w:hint="eastAsia" w:ascii="仿宋_GB2312" w:hAnsi="仿宋_GB2312" w:eastAsia="仿宋_GB2312" w:cs="仿宋_GB2312"/>
          <w:sz w:val="32"/>
          <w:szCs w:val="32"/>
        </w:rPr>
        <w:t>的国</w:t>
      </w:r>
      <w:r>
        <w:rPr>
          <w:rFonts w:ascii="仿宋_GB2312" w:hAnsi="仿宋_GB2312" w:eastAsia="仿宋_GB2312" w:cs="仿宋_GB2312"/>
          <w:sz w:val="32"/>
          <w:szCs w:val="32"/>
        </w:rPr>
        <w:t>谈</w:t>
      </w:r>
      <w:r>
        <w:rPr>
          <w:rFonts w:hint="eastAsia" w:ascii="仿宋_GB2312" w:hAnsi="仿宋_GB2312" w:eastAsia="仿宋_GB2312" w:cs="仿宋_GB2312"/>
          <w:sz w:val="32"/>
          <w:szCs w:val="32"/>
        </w:rPr>
        <w:t>药品授</w:t>
      </w:r>
      <w:r>
        <w:rPr>
          <w:rFonts w:ascii="仿宋_GB2312" w:hAnsi="仿宋_GB2312" w:eastAsia="仿宋_GB2312" w:cs="仿宋_GB2312"/>
          <w:sz w:val="32"/>
          <w:szCs w:val="32"/>
        </w:rPr>
        <w:t>权</w:t>
      </w:r>
      <w:r>
        <w:rPr>
          <w:rFonts w:hint="eastAsia" w:ascii="仿宋_GB2312" w:hAnsi="仿宋_GB2312" w:eastAsia="仿宋_GB2312" w:cs="仿宋_GB2312"/>
          <w:sz w:val="32"/>
          <w:szCs w:val="32"/>
        </w:rPr>
        <w:t>经销材料；</w:t>
      </w:r>
    </w:p>
    <w:p>
      <w:pPr>
        <w:pStyle w:val="10"/>
        <w:spacing w:beforeAutospacing="0" w:afterAutospacing="0" w:line="560" w:lineRule="exact"/>
        <w:ind w:firstLine="65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五</w:t>
      </w:r>
      <w:r>
        <w:rPr>
          <w:rFonts w:hint="eastAsia" w:ascii="仿宋_GB2312" w:hAnsi="仿宋_GB2312" w:eastAsia="仿宋_GB2312" w:cs="仿宋_GB2312"/>
          <w:sz w:val="32"/>
          <w:szCs w:val="32"/>
        </w:rPr>
        <w:t>）专业检测机构对该药店在用的冷链</w:t>
      </w:r>
      <w:r>
        <w:rPr>
          <w:rFonts w:ascii="仿宋_GB2312" w:hAnsi="仿宋_GB2312" w:eastAsia="仿宋_GB2312" w:cs="仿宋_GB2312"/>
          <w:sz w:val="32"/>
          <w:szCs w:val="32"/>
        </w:rPr>
        <w:t>药品储存</w:t>
      </w:r>
      <w:r>
        <w:rPr>
          <w:rFonts w:hint="eastAsia" w:ascii="仿宋_GB2312" w:hAnsi="仿宋_GB2312" w:eastAsia="仿宋_GB2312" w:cs="仿宋_GB2312"/>
          <w:sz w:val="32"/>
          <w:szCs w:val="32"/>
        </w:rPr>
        <w:t>、配送设施设备出具的有效的设备验证、核准报告；</w:t>
      </w:r>
    </w:p>
    <w:p>
      <w:pPr>
        <w:pStyle w:val="10"/>
        <w:spacing w:beforeAutospacing="0" w:afterAutospacing="0" w:line="560" w:lineRule="exact"/>
        <w:ind w:firstLine="650" w:firstLineChars="200"/>
        <w:rPr>
          <w:rFonts w:ascii="Verdana" w:hAnsi="Verdana"/>
          <w:color w:val="auto"/>
          <w:sz w:val="24"/>
          <w:highlight w:val="none"/>
          <w:lang w:eastAsia="en-US"/>
        </w:rPr>
      </w:pP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六</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药品和耗材实</w:t>
      </w:r>
      <w:r>
        <w:rPr>
          <w:rFonts w:hint="eastAsia" w:ascii="仿宋_GB2312" w:hAnsi="仿宋_GB2312" w:eastAsia="仿宋_GB2312" w:cs="仿宋_GB2312"/>
          <w:sz w:val="32"/>
          <w:szCs w:val="32"/>
        </w:rPr>
        <w:t>行分区分类管理，已设置“双通道”药品专区（包括常温区、冷藏区等）、药事服务区、医保结算区等功能区等相</w:t>
      </w:r>
      <w:r>
        <w:rPr>
          <w:rFonts w:ascii="仿宋_GB2312" w:hAnsi="仿宋_GB2312" w:eastAsia="仿宋_GB2312" w:cs="仿宋_GB2312"/>
          <w:sz w:val="32"/>
          <w:szCs w:val="32"/>
        </w:rPr>
        <w:t>关材料</w:t>
      </w:r>
      <w:r>
        <w:rPr>
          <w:rFonts w:hint="eastAsia" w:ascii="仿宋_GB2312" w:hAnsi="仿宋_GB2312" w:cs="仿宋_GB2312"/>
          <w:sz w:val="32"/>
          <w:szCs w:val="32"/>
          <w:lang w:eastAsia="zh-CN"/>
        </w:rPr>
        <w:t>。</w:t>
      </w:r>
    </w:p>
    <w:sectPr>
      <w:headerReference r:id="rId4" w:type="first"/>
      <w:footerReference r:id="rId6" w:type="first"/>
      <w:headerReference r:id="rId3" w:type="default"/>
      <w:footerReference r:id="rId5" w:type="default"/>
      <w:pgSz w:w="11906" w:h="16838"/>
      <w:pgMar w:top="2098" w:right="1474" w:bottom="1984" w:left="1587" w:header="850" w:footer="964" w:gutter="0"/>
      <w:cols w:space="720" w:num="1"/>
      <w:titlePg/>
      <w:docGrid w:type="linesAndChars" w:linePitch="455"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A00006FF" w:usb1="4000205B" w:usb2="00000010"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Courier New">
    <w:altName w:val="DejaVu Sans"/>
    <w:panose1 w:val="02070309020205020404"/>
    <w:charset w:val="00"/>
    <w:family w:val="modern"/>
    <w:pitch w:val="default"/>
    <w:sig w:usb0="E0002EFF" w:usb1="C0007843" w:usb2="00000009" w:usb3="00000000" w:csb0="000001FF" w:csb1="00000000"/>
  </w:font>
  <w:font w:name="Arial">
    <w:altName w:val="Times New Roman"/>
    <w:panose1 w:val="020B0604020202020204"/>
    <w:charset w:val="00"/>
    <w:family w:val="swiss"/>
    <w:pitch w:val="default"/>
    <w:sig w:usb0="E0002EFF" w:usb1="C000785B" w:usb2="00000009" w:usb3="00000000" w:csb0="000001FF" w:csb1="00000000"/>
  </w:font>
  <w:font w:name="Arial Unicode MS">
    <w:altName w:val="Times New Roman"/>
    <w:panose1 w:val="020B0604020202020204"/>
    <w:charset w:val="00"/>
    <w:family w:val="swiss"/>
    <w:pitch w:val="default"/>
    <w:sig w:usb0="F7FFAFFF" w:usb1="E9DFFFFF" w:usb2="0000003F" w:usb3="00000000" w:csb0="003F01FF" w:csb1="00000000"/>
  </w:font>
  <w:font w:name="黑体">
    <w:altName w:val="方正黑体_GBK"/>
    <w:panose1 w:val="02010609060101010101"/>
    <w:charset w:val="00"/>
    <w:family w:val="modern"/>
    <w:pitch w:val="default"/>
    <w:sig w:usb0="800002BF" w:usb1="38CF7CFA"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仿宋_GB2312"/>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iV6JezAQAAUgMAAA4AAABkcnMv&#10;ZTJvRG9jLnhtbK1TS27bMBDdB+gdCO5ryl4UhmA5SBAkCFC0AZIcgKZIiwB/GNKWfIH2Blllk33P&#10;5XNkSFtO2u6CbKjhzOjNezPDxflgDdlKiNq7hk4nFSXSCd9qt27o48P11zklMXHXcuOdbOhORnq+&#10;/HK26EMtZ77zppVAEMTFug8N7VIKNWNRdNLyOPFBOgwqD5YnvMKatcB7RLeGzarqG+s9tAG8kDGi&#10;9+oQpMuCr5QU6adSUSZiGorcUjmhnKt8suWC12vgodPiSIN/gIXl2mHRE9QVT5xsQP8HZbUAH71K&#10;E+Et80ppIYsGVDOt/lFz3/EgixZsTgynNsXPgxU/tndAdIuzo8RxiyPaP/3eP//Zv/wis9yePsQa&#10;s+4D5qXh0g8NTbCRYyiiPwsfFNj8RUkEU7DXu1N/5ZCIQOd0PpvPKwwJjI0XLMHefg8Q0430lmSj&#10;oYADLH3l2+8xHVLHlFzN+WttTBmicX85EDN7WKZ/4JitNKyGo6aVb3coqcfZN9ThclJibh22Nq/J&#10;aMBorEZjE0CvO6SmuIl5OBzhLzYJiRR+ucoB+lgcB1cUHpcsb8b7e8l6ewr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YleiXswEAAFIDAAAOAAAAAAAAAAEAIAAAADQBAABkcnMvZTJvRG9j&#10;LnhtbFBLBQYAAAAABgAGAFkBAABZBQAAAAA=&#10;">
              <v:fill on="f" focussize="0,0"/>
              <v:stroke on="f"/>
              <v:imagedata o:title=""/>
              <o:lock v:ext="edit" aspectratio="f"/>
              <v:textbox inset="0mm,0mm,0mm,0mm" style="mso-fit-shape-to-text:t;">
                <w:txbxContent>
                  <w:p>
                    <w:pPr>
                      <w:pStyle w:val="8"/>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iiOU6vQEAAFwDAAAOAAAA&#10;ZHJzL2Uyb0RvYy54bWytU0tu2zAQ3RfoHQjua8lG0wiC6aBFkKJA0RRIewCaIi0C/GFIW/IF2ht0&#10;lU32PZfP0SFtOUWyC7IZDTnDN/PejJZXozVkJyFq7xidz2pKpBO+027D6M8fN+8aSmLiruPGO8no&#10;XkZ6tXr7ZjmEVi58700ngSCIi+0QGO1TCm1VRdFLy+PMB+kwqDxYnvAIm6oDPiC6NdWirj9Ug4cu&#10;gBcyRry9PgbpquArJUW6VSrKRAyj2FsqFopdZ1utlrzdAA+9Fqc2+Au6sFw7LHqGuuaJky3oZ1BW&#10;C/DRqzQT3lZeKS1k4YBs5vUTNnc9D7JwQXFiOMsUXw9WfNt9B6I7RheUOG5xRIc/vw/3fw8Pv8j7&#10;LM8QYotZdwHz0vjJj4wm2MopFPE+Ex8V2PxFSgRTUOv9WV85JiLwct4smqbGkMDYdMAS1ePzADF9&#10;lt6S7DAKOMCiK999jemYOqXkas7faGPKEI0jA6JeNJcX5cU5hOjGYZFM5Nht9tK4Hk/s1r7bI7kB&#10;t4BRh2tKifniUOS8MJMDk7OenG0AvemxScVNzGPiCP9xm7Cl0mmucoQ+FccRFq6ndcs78v+5ZD3+&#10;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KKI5Tq9AQAAXAMAAA4AAAAAAAAAAQAgAAAA&#10;OAEAAGRycy9lMm9Eb2MueG1sUEsFBgAAAAAGAAYAWQEAAGcFAAAAAA==&#10;">
              <v:fill on="f" focussize="0,0"/>
              <v:stroke on="f" weight="1.25pt"/>
              <v:imagedata o:title=""/>
              <o:lock v:ext="edit" aspectratio="f"/>
              <v:textbox inset="0mm,0mm,0mm,0mm" style="mso-fit-shape-to-text:t;">
                <w:txbxContent>
                  <w:p>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8"/>
    </w:pP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0" w:lineRule="exact"/>
      <w:rPr>
        <w:rFonts w:hint="eastAsia"/>
      </w:rPr>
    </w:pP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3"/>
  <w:drawingGridVerticalSpacing w:val="228"/>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MmJhMTE4ZTZjZDNmOWZkYzE5ZTMzODI3M2MyNTkifQ=="/>
  </w:docVars>
  <w:rsids>
    <w:rsidRoot w:val="00172A27"/>
    <w:rsid w:val="00001C26"/>
    <w:rsid w:val="000027FB"/>
    <w:rsid w:val="00021DF5"/>
    <w:rsid w:val="000258F4"/>
    <w:rsid w:val="00030AD8"/>
    <w:rsid w:val="00036DC1"/>
    <w:rsid w:val="00041FBF"/>
    <w:rsid w:val="0004504C"/>
    <w:rsid w:val="00046932"/>
    <w:rsid w:val="00046F06"/>
    <w:rsid w:val="0005226C"/>
    <w:rsid w:val="000635A3"/>
    <w:rsid w:val="00065504"/>
    <w:rsid w:val="00075671"/>
    <w:rsid w:val="0008172C"/>
    <w:rsid w:val="000875ED"/>
    <w:rsid w:val="00087FC2"/>
    <w:rsid w:val="00090955"/>
    <w:rsid w:val="00093F7C"/>
    <w:rsid w:val="000D1AC3"/>
    <w:rsid w:val="000D6F11"/>
    <w:rsid w:val="000E64D0"/>
    <w:rsid w:val="000E67C3"/>
    <w:rsid w:val="000E742D"/>
    <w:rsid w:val="000E7AF5"/>
    <w:rsid w:val="000F3346"/>
    <w:rsid w:val="00102227"/>
    <w:rsid w:val="00102BDF"/>
    <w:rsid w:val="00102E5F"/>
    <w:rsid w:val="001076EA"/>
    <w:rsid w:val="001169ED"/>
    <w:rsid w:val="001235BE"/>
    <w:rsid w:val="00125E9A"/>
    <w:rsid w:val="001332CE"/>
    <w:rsid w:val="001371E3"/>
    <w:rsid w:val="00140F9C"/>
    <w:rsid w:val="00141D76"/>
    <w:rsid w:val="00146FD2"/>
    <w:rsid w:val="00147D58"/>
    <w:rsid w:val="0015071D"/>
    <w:rsid w:val="00150EE0"/>
    <w:rsid w:val="00152168"/>
    <w:rsid w:val="00156C38"/>
    <w:rsid w:val="00162606"/>
    <w:rsid w:val="00175906"/>
    <w:rsid w:val="001830E7"/>
    <w:rsid w:val="00184BE4"/>
    <w:rsid w:val="0019300B"/>
    <w:rsid w:val="0019371A"/>
    <w:rsid w:val="001A2FCB"/>
    <w:rsid w:val="001B408C"/>
    <w:rsid w:val="001C339F"/>
    <w:rsid w:val="001D3515"/>
    <w:rsid w:val="001D4915"/>
    <w:rsid w:val="001D733E"/>
    <w:rsid w:val="001E041C"/>
    <w:rsid w:val="0020244E"/>
    <w:rsid w:val="00207346"/>
    <w:rsid w:val="00221FC6"/>
    <w:rsid w:val="00223C8A"/>
    <w:rsid w:val="0022508A"/>
    <w:rsid w:val="00230D25"/>
    <w:rsid w:val="00231CDD"/>
    <w:rsid w:val="00232BFD"/>
    <w:rsid w:val="0024609E"/>
    <w:rsid w:val="0025334B"/>
    <w:rsid w:val="00253E34"/>
    <w:rsid w:val="00255395"/>
    <w:rsid w:val="00263263"/>
    <w:rsid w:val="002846BF"/>
    <w:rsid w:val="00285BC8"/>
    <w:rsid w:val="002901CD"/>
    <w:rsid w:val="0029140F"/>
    <w:rsid w:val="00294515"/>
    <w:rsid w:val="002B1C8E"/>
    <w:rsid w:val="002B665B"/>
    <w:rsid w:val="002B6F24"/>
    <w:rsid w:val="002C2DC7"/>
    <w:rsid w:val="002C5D67"/>
    <w:rsid w:val="002C7777"/>
    <w:rsid w:val="002D18C0"/>
    <w:rsid w:val="002D2E6E"/>
    <w:rsid w:val="002D5F07"/>
    <w:rsid w:val="002E117E"/>
    <w:rsid w:val="002E1C6C"/>
    <w:rsid w:val="002E3E70"/>
    <w:rsid w:val="00305FCF"/>
    <w:rsid w:val="00311605"/>
    <w:rsid w:val="00316C07"/>
    <w:rsid w:val="00322B97"/>
    <w:rsid w:val="00323933"/>
    <w:rsid w:val="00323A72"/>
    <w:rsid w:val="00327FDC"/>
    <w:rsid w:val="0034036E"/>
    <w:rsid w:val="003432A7"/>
    <w:rsid w:val="00345035"/>
    <w:rsid w:val="00345280"/>
    <w:rsid w:val="00345A1C"/>
    <w:rsid w:val="00354A6C"/>
    <w:rsid w:val="00362863"/>
    <w:rsid w:val="00364A45"/>
    <w:rsid w:val="0036560B"/>
    <w:rsid w:val="00365AC9"/>
    <w:rsid w:val="00366EE4"/>
    <w:rsid w:val="00367504"/>
    <w:rsid w:val="00373B19"/>
    <w:rsid w:val="003743B2"/>
    <w:rsid w:val="0037617D"/>
    <w:rsid w:val="00380138"/>
    <w:rsid w:val="00383AFE"/>
    <w:rsid w:val="00384C3C"/>
    <w:rsid w:val="00385B27"/>
    <w:rsid w:val="003975CA"/>
    <w:rsid w:val="003A0EC2"/>
    <w:rsid w:val="003A6293"/>
    <w:rsid w:val="003C1FC3"/>
    <w:rsid w:val="003D05E0"/>
    <w:rsid w:val="003E0E27"/>
    <w:rsid w:val="003E1DCF"/>
    <w:rsid w:val="003E6B29"/>
    <w:rsid w:val="003E6F86"/>
    <w:rsid w:val="003F1C85"/>
    <w:rsid w:val="003F3E70"/>
    <w:rsid w:val="003F451E"/>
    <w:rsid w:val="003F7C86"/>
    <w:rsid w:val="00405477"/>
    <w:rsid w:val="00407E53"/>
    <w:rsid w:val="0041093E"/>
    <w:rsid w:val="00412C0E"/>
    <w:rsid w:val="00413791"/>
    <w:rsid w:val="0042060F"/>
    <w:rsid w:val="00420E91"/>
    <w:rsid w:val="00434096"/>
    <w:rsid w:val="00444AA2"/>
    <w:rsid w:val="004468E5"/>
    <w:rsid w:val="00450902"/>
    <w:rsid w:val="004575C0"/>
    <w:rsid w:val="004614A5"/>
    <w:rsid w:val="00461F31"/>
    <w:rsid w:val="004802FE"/>
    <w:rsid w:val="00492904"/>
    <w:rsid w:val="0049437B"/>
    <w:rsid w:val="004A24EB"/>
    <w:rsid w:val="004A2E0B"/>
    <w:rsid w:val="004A7CB6"/>
    <w:rsid w:val="004B1F72"/>
    <w:rsid w:val="004B7880"/>
    <w:rsid w:val="004C1F5A"/>
    <w:rsid w:val="004D0311"/>
    <w:rsid w:val="004D0CB4"/>
    <w:rsid w:val="004D5149"/>
    <w:rsid w:val="004D5B6B"/>
    <w:rsid w:val="004D791A"/>
    <w:rsid w:val="004E6273"/>
    <w:rsid w:val="004F05E1"/>
    <w:rsid w:val="004F1E0B"/>
    <w:rsid w:val="004F4699"/>
    <w:rsid w:val="005036A7"/>
    <w:rsid w:val="0051004A"/>
    <w:rsid w:val="0051241B"/>
    <w:rsid w:val="005142C5"/>
    <w:rsid w:val="00517FFE"/>
    <w:rsid w:val="0052276A"/>
    <w:rsid w:val="00523F9A"/>
    <w:rsid w:val="00532F96"/>
    <w:rsid w:val="00541E33"/>
    <w:rsid w:val="00543BEF"/>
    <w:rsid w:val="00560E85"/>
    <w:rsid w:val="0056311C"/>
    <w:rsid w:val="00571B8C"/>
    <w:rsid w:val="005858A7"/>
    <w:rsid w:val="00587EF2"/>
    <w:rsid w:val="005935F3"/>
    <w:rsid w:val="00595685"/>
    <w:rsid w:val="005A1BE3"/>
    <w:rsid w:val="005A370E"/>
    <w:rsid w:val="005A4781"/>
    <w:rsid w:val="005A48FA"/>
    <w:rsid w:val="005A51EC"/>
    <w:rsid w:val="005A5DC4"/>
    <w:rsid w:val="005B1655"/>
    <w:rsid w:val="005B7F11"/>
    <w:rsid w:val="005C05D7"/>
    <w:rsid w:val="005D0118"/>
    <w:rsid w:val="005D0390"/>
    <w:rsid w:val="005D0C86"/>
    <w:rsid w:val="005D2C88"/>
    <w:rsid w:val="005E3D82"/>
    <w:rsid w:val="005F5243"/>
    <w:rsid w:val="005F653E"/>
    <w:rsid w:val="00603376"/>
    <w:rsid w:val="00614472"/>
    <w:rsid w:val="00615682"/>
    <w:rsid w:val="00626EBF"/>
    <w:rsid w:val="00630460"/>
    <w:rsid w:val="006423A8"/>
    <w:rsid w:val="006452A9"/>
    <w:rsid w:val="00645BA2"/>
    <w:rsid w:val="0065340E"/>
    <w:rsid w:val="00664543"/>
    <w:rsid w:val="00665433"/>
    <w:rsid w:val="00674F46"/>
    <w:rsid w:val="006750CE"/>
    <w:rsid w:val="00681EB1"/>
    <w:rsid w:val="00683F6D"/>
    <w:rsid w:val="00686265"/>
    <w:rsid w:val="0069660E"/>
    <w:rsid w:val="00696BA8"/>
    <w:rsid w:val="006A0DE8"/>
    <w:rsid w:val="006A29AB"/>
    <w:rsid w:val="006B0C31"/>
    <w:rsid w:val="006B0D94"/>
    <w:rsid w:val="006B225D"/>
    <w:rsid w:val="006B57DF"/>
    <w:rsid w:val="006C00D5"/>
    <w:rsid w:val="006C4013"/>
    <w:rsid w:val="006C6520"/>
    <w:rsid w:val="006D2E18"/>
    <w:rsid w:val="006D4837"/>
    <w:rsid w:val="006F25F0"/>
    <w:rsid w:val="006F39B3"/>
    <w:rsid w:val="006F4759"/>
    <w:rsid w:val="007018F5"/>
    <w:rsid w:val="00721CCD"/>
    <w:rsid w:val="007252E8"/>
    <w:rsid w:val="007302C1"/>
    <w:rsid w:val="00732919"/>
    <w:rsid w:val="00742762"/>
    <w:rsid w:val="00753E9F"/>
    <w:rsid w:val="00755ED5"/>
    <w:rsid w:val="00757AD3"/>
    <w:rsid w:val="00765762"/>
    <w:rsid w:val="00766E87"/>
    <w:rsid w:val="007919CB"/>
    <w:rsid w:val="007A04C5"/>
    <w:rsid w:val="007A28FD"/>
    <w:rsid w:val="007A34C5"/>
    <w:rsid w:val="007A3850"/>
    <w:rsid w:val="007A663B"/>
    <w:rsid w:val="007A7793"/>
    <w:rsid w:val="007B24F7"/>
    <w:rsid w:val="007B3096"/>
    <w:rsid w:val="007C0C94"/>
    <w:rsid w:val="007C3F5C"/>
    <w:rsid w:val="007C57F7"/>
    <w:rsid w:val="007D5BD3"/>
    <w:rsid w:val="007E0F93"/>
    <w:rsid w:val="007E1C05"/>
    <w:rsid w:val="007E5CE1"/>
    <w:rsid w:val="007F0455"/>
    <w:rsid w:val="007F514D"/>
    <w:rsid w:val="007F5A57"/>
    <w:rsid w:val="007F5CCF"/>
    <w:rsid w:val="008058FC"/>
    <w:rsid w:val="008158B3"/>
    <w:rsid w:val="008225F3"/>
    <w:rsid w:val="008273A4"/>
    <w:rsid w:val="00831F55"/>
    <w:rsid w:val="0083731B"/>
    <w:rsid w:val="00841007"/>
    <w:rsid w:val="00841B81"/>
    <w:rsid w:val="008446FE"/>
    <w:rsid w:val="00852047"/>
    <w:rsid w:val="00852F7D"/>
    <w:rsid w:val="00857567"/>
    <w:rsid w:val="00863C4C"/>
    <w:rsid w:val="00864EE7"/>
    <w:rsid w:val="00866C4F"/>
    <w:rsid w:val="00871CA6"/>
    <w:rsid w:val="00872800"/>
    <w:rsid w:val="008759C6"/>
    <w:rsid w:val="00892DF3"/>
    <w:rsid w:val="00893F2F"/>
    <w:rsid w:val="00897333"/>
    <w:rsid w:val="008973BE"/>
    <w:rsid w:val="008A0CD4"/>
    <w:rsid w:val="008A5429"/>
    <w:rsid w:val="008A6CEA"/>
    <w:rsid w:val="008A7526"/>
    <w:rsid w:val="008B52A1"/>
    <w:rsid w:val="008C58BD"/>
    <w:rsid w:val="008D0434"/>
    <w:rsid w:val="008D0953"/>
    <w:rsid w:val="008E08B9"/>
    <w:rsid w:val="008E0D6C"/>
    <w:rsid w:val="008E2920"/>
    <w:rsid w:val="008E51E8"/>
    <w:rsid w:val="008E7D4B"/>
    <w:rsid w:val="008F6C44"/>
    <w:rsid w:val="00903E7A"/>
    <w:rsid w:val="009207ED"/>
    <w:rsid w:val="00920CC3"/>
    <w:rsid w:val="00921C49"/>
    <w:rsid w:val="00931FBA"/>
    <w:rsid w:val="00932F66"/>
    <w:rsid w:val="00933AB8"/>
    <w:rsid w:val="00941F2F"/>
    <w:rsid w:val="0094456F"/>
    <w:rsid w:val="00944D1F"/>
    <w:rsid w:val="009456AC"/>
    <w:rsid w:val="00954A16"/>
    <w:rsid w:val="00957C9D"/>
    <w:rsid w:val="00963BDF"/>
    <w:rsid w:val="009656E1"/>
    <w:rsid w:val="0096604E"/>
    <w:rsid w:val="0096713C"/>
    <w:rsid w:val="009672D1"/>
    <w:rsid w:val="0096762F"/>
    <w:rsid w:val="00976838"/>
    <w:rsid w:val="00982A1E"/>
    <w:rsid w:val="0098374B"/>
    <w:rsid w:val="009866C2"/>
    <w:rsid w:val="00995DCB"/>
    <w:rsid w:val="009979EC"/>
    <w:rsid w:val="009A038A"/>
    <w:rsid w:val="009A2BCF"/>
    <w:rsid w:val="009B2642"/>
    <w:rsid w:val="009C1606"/>
    <w:rsid w:val="009E0BA8"/>
    <w:rsid w:val="009E2788"/>
    <w:rsid w:val="009F2D21"/>
    <w:rsid w:val="009F331E"/>
    <w:rsid w:val="009F490E"/>
    <w:rsid w:val="009F644B"/>
    <w:rsid w:val="009F6BFC"/>
    <w:rsid w:val="009F6DF3"/>
    <w:rsid w:val="00A00C5B"/>
    <w:rsid w:val="00A02703"/>
    <w:rsid w:val="00A02EB9"/>
    <w:rsid w:val="00A0622E"/>
    <w:rsid w:val="00A10110"/>
    <w:rsid w:val="00A10B7B"/>
    <w:rsid w:val="00A22AB0"/>
    <w:rsid w:val="00A272C5"/>
    <w:rsid w:val="00A273C5"/>
    <w:rsid w:val="00A31537"/>
    <w:rsid w:val="00A33BFC"/>
    <w:rsid w:val="00A33EB1"/>
    <w:rsid w:val="00A40BCA"/>
    <w:rsid w:val="00A42350"/>
    <w:rsid w:val="00A4659F"/>
    <w:rsid w:val="00A51E05"/>
    <w:rsid w:val="00A527C6"/>
    <w:rsid w:val="00A5422D"/>
    <w:rsid w:val="00A6020C"/>
    <w:rsid w:val="00A6106C"/>
    <w:rsid w:val="00A634B3"/>
    <w:rsid w:val="00A63CE8"/>
    <w:rsid w:val="00A651BA"/>
    <w:rsid w:val="00A7219A"/>
    <w:rsid w:val="00A75DA1"/>
    <w:rsid w:val="00A862C3"/>
    <w:rsid w:val="00A876C1"/>
    <w:rsid w:val="00A93568"/>
    <w:rsid w:val="00AA66F8"/>
    <w:rsid w:val="00AB1129"/>
    <w:rsid w:val="00AD7E55"/>
    <w:rsid w:val="00AF1DA3"/>
    <w:rsid w:val="00AF4C63"/>
    <w:rsid w:val="00B05323"/>
    <w:rsid w:val="00B07BD9"/>
    <w:rsid w:val="00B12BD4"/>
    <w:rsid w:val="00B2126A"/>
    <w:rsid w:val="00B228F2"/>
    <w:rsid w:val="00B2342F"/>
    <w:rsid w:val="00B32F19"/>
    <w:rsid w:val="00B35566"/>
    <w:rsid w:val="00B356DE"/>
    <w:rsid w:val="00B45DA9"/>
    <w:rsid w:val="00B46183"/>
    <w:rsid w:val="00B50C27"/>
    <w:rsid w:val="00B51BED"/>
    <w:rsid w:val="00B554E9"/>
    <w:rsid w:val="00B6449E"/>
    <w:rsid w:val="00B67C7B"/>
    <w:rsid w:val="00B71976"/>
    <w:rsid w:val="00B80A16"/>
    <w:rsid w:val="00B845C0"/>
    <w:rsid w:val="00B866B4"/>
    <w:rsid w:val="00B916B7"/>
    <w:rsid w:val="00B9232C"/>
    <w:rsid w:val="00B9248E"/>
    <w:rsid w:val="00B95BF9"/>
    <w:rsid w:val="00BA3671"/>
    <w:rsid w:val="00BB0D22"/>
    <w:rsid w:val="00BB1A75"/>
    <w:rsid w:val="00BB43F5"/>
    <w:rsid w:val="00BB5472"/>
    <w:rsid w:val="00BC299B"/>
    <w:rsid w:val="00BD00D5"/>
    <w:rsid w:val="00BD3822"/>
    <w:rsid w:val="00BE6558"/>
    <w:rsid w:val="00BE7234"/>
    <w:rsid w:val="00BE7981"/>
    <w:rsid w:val="00C021DE"/>
    <w:rsid w:val="00C06913"/>
    <w:rsid w:val="00C13449"/>
    <w:rsid w:val="00C13EA3"/>
    <w:rsid w:val="00C14FC6"/>
    <w:rsid w:val="00C21071"/>
    <w:rsid w:val="00C21A06"/>
    <w:rsid w:val="00C23180"/>
    <w:rsid w:val="00C2732A"/>
    <w:rsid w:val="00C307D1"/>
    <w:rsid w:val="00C30B38"/>
    <w:rsid w:val="00C424CA"/>
    <w:rsid w:val="00C43F2E"/>
    <w:rsid w:val="00C44147"/>
    <w:rsid w:val="00C5311C"/>
    <w:rsid w:val="00C61743"/>
    <w:rsid w:val="00C62478"/>
    <w:rsid w:val="00C628D3"/>
    <w:rsid w:val="00C662AF"/>
    <w:rsid w:val="00C7094A"/>
    <w:rsid w:val="00C7104B"/>
    <w:rsid w:val="00C80733"/>
    <w:rsid w:val="00C817E3"/>
    <w:rsid w:val="00C82C70"/>
    <w:rsid w:val="00C87049"/>
    <w:rsid w:val="00C93454"/>
    <w:rsid w:val="00CA78E1"/>
    <w:rsid w:val="00CC31B5"/>
    <w:rsid w:val="00CC40DC"/>
    <w:rsid w:val="00CD39E6"/>
    <w:rsid w:val="00CD4377"/>
    <w:rsid w:val="00CE0673"/>
    <w:rsid w:val="00CE12A8"/>
    <w:rsid w:val="00CF5E39"/>
    <w:rsid w:val="00CF7EA9"/>
    <w:rsid w:val="00D0071A"/>
    <w:rsid w:val="00D010F5"/>
    <w:rsid w:val="00D063EF"/>
    <w:rsid w:val="00D10456"/>
    <w:rsid w:val="00D2540E"/>
    <w:rsid w:val="00D27957"/>
    <w:rsid w:val="00D377AA"/>
    <w:rsid w:val="00D41911"/>
    <w:rsid w:val="00D43427"/>
    <w:rsid w:val="00D46882"/>
    <w:rsid w:val="00D46B7C"/>
    <w:rsid w:val="00D554B9"/>
    <w:rsid w:val="00D56645"/>
    <w:rsid w:val="00D6750F"/>
    <w:rsid w:val="00D770C9"/>
    <w:rsid w:val="00D84E3A"/>
    <w:rsid w:val="00D9440B"/>
    <w:rsid w:val="00D9446B"/>
    <w:rsid w:val="00DC5F44"/>
    <w:rsid w:val="00DD2EDD"/>
    <w:rsid w:val="00DD508A"/>
    <w:rsid w:val="00DE592E"/>
    <w:rsid w:val="00DF11F4"/>
    <w:rsid w:val="00E03475"/>
    <w:rsid w:val="00E06785"/>
    <w:rsid w:val="00E10B81"/>
    <w:rsid w:val="00E12F6E"/>
    <w:rsid w:val="00E140E2"/>
    <w:rsid w:val="00E1764D"/>
    <w:rsid w:val="00E228AB"/>
    <w:rsid w:val="00E229C8"/>
    <w:rsid w:val="00E3070B"/>
    <w:rsid w:val="00E30C4B"/>
    <w:rsid w:val="00E35DA3"/>
    <w:rsid w:val="00E41816"/>
    <w:rsid w:val="00E418B5"/>
    <w:rsid w:val="00E4203F"/>
    <w:rsid w:val="00E51CFB"/>
    <w:rsid w:val="00E523F1"/>
    <w:rsid w:val="00E535C9"/>
    <w:rsid w:val="00E61AA1"/>
    <w:rsid w:val="00E63F4A"/>
    <w:rsid w:val="00E65B5A"/>
    <w:rsid w:val="00E66867"/>
    <w:rsid w:val="00E74E5D"/>
    <w:rsid w:val="00E860DD"/>
    <w:rsid w:val="00E86A88"/>
    <w:rsid w:val="00E9328F"/>
    <w:rsid w:val="00E951BE"/>
    <w:rsid w:val="00E960B6"/>
    <w:rsid w:val="00EA1E21"/>
    <w:rsid w:val="00EA398E"/>
    <w:rsid w:val="00EA6A5D"/>
    <w:rsid w:val="00EB041E"/>
    <w:rsid w:val="00EB13F4"/>
    <w:rsid w:val="00EB2AD9"/>
    <w:rsid w:val="00EB6DE4"/>
    <w:rsid w:val="00EB732B"/>
    <w:rsid w:val="00EC03EC"/>
    <w:rsid w:val="00EC3CF6"/>
    <w:rsid w:val="00EC5552"/>
    <w:rsid w:val="00EC60D3"/>
    <w:rsid w:val="00ED443D"/>
    <w:rsid w:val="00EE004A"/>
    <w:rsid w:val="00EF0A4D"/>
    <w:rsid w:val="00EF5AC4"/>
    <w:rsid w:val="00F00D2A"/>
    <w:rsid w:val="00F05DD0"/>
    <w:rsid w:val="00F13EF1"/>
    <w:rsid w:val="00F17C92"/>
    <w:rsid w:val="00F23536"/>
    <w:rsid w:val="00F25156"/>
    <w:rsid w:val="00F2653C"/>
    <w:rsid w:val="00F27241"/>
    <w:rsid w:val="00F3044F"/>
    <w:rsid w:val="00F309CE"/>
    <w:rsid w:val="00F32F39"/>
    <w:rsid w:val="00F50A48"/>
    <w:rsid w:val="00F52291"/>
    <w:rsid w:val="00F5380B"/>
    <w:rsid w:val="00F7002E"/>
    <w:rsid w:val="00F70555"/>
    <w:rsid w:val="00F717B4"/>
    <w:rsid w:val="00F755A8"/>
    <w:rsid w:val="00F762E3"/>
    <w:rsid w:val="00F86934"/>
    <w:rsid w:val="00F874AA"/>
    <w:rsid w:val="00F91683"/>
    <w:rsid w:val="00F926FB"/>
    <w:rsid w:val="00F92CE6"/>
    <w:rsid w:val="00F97A0D"/>
    <w:rsid w:val="00FB13EC"/>
    <w:rsid w:val="00FB299C"/>
    <w:rsid w:val="00FC6890"/>
    <w:rsid w:val="00FD0768"/>
    <w:rsid w:val="00FD1651"/>
    <w:rsid w:val="00FD5F45"/>
    <w:rsid w:val="00FD6EFF"/>
    <w:rsid w:val="00FD73E8"/>
    <w:rsid w:val="00FE341B"/>
    <w:rsid w:val="00FF11AD"/>
    <w:rsid w:val="00FF29EF"/>
    <w:rsid w:val="00FF5622"/>
    <w:rsid w:val="03FBE551"/>
    <w:rsid w:val="04610039"/>
    <w:rsid w:val="07FF7B70"/>
    <w:rsid w:val="08DF019F"/>
    <w:rsid w:val="09E37496"/>
    <w:rsid w:val="09F36431"/>
    <w:rsid w:val="0DB6975E"/>
    <w:rsid w:val="0DF29582"/>
    <w:rsid w:val="0FD7583E"/>
    <w:rsid w:val="11DF8FAC"/>
    <w:rsid w:val="133F1EA1"/>
    <w:rsid w:val="13FB7869"/>
    <w:rsid w:val="16FEF3D4"/>
    <w:rsid w:val="177B0FB9"/>
    <w:rsid w:val="179FBA4C"/>
    <w:rsid w:val="199F21F0"/>
    <w:rsid w:val="19FED746"/>
    <w:rsid w:val="1BD72C87"/>
    <w:rsid w:val="1C007FC2"/>
    <w:rsid w:val="1EFD05CD"/>
    <w:rsid w:val="1F289616"/>
    <w:rsid w:val="1FBB1D5A"/>
    <w:rsid w:val="1FBDF660"/>
    <w:rsid w:val="1FBF8E2C"/>
    <w:rsid w:val="1FCF4B82"/>
    <w:rsid w:val="1FF55B50"/>
    <w:rsid w:val="20852C17"/>
    <w:rsid w:val="213170F3"/>
    <w:rsid w:val="215F5816"/>
    <w:rsid w:val="27562E04"/>
    <w:rsid w:val="27C25DAA"/>
    <w:rsid w:val="27DFD405"/>
    <w:rsid w:val="27EB1E00"/>
    <w:rsid w:val="2B3E198F"/>
    <w:rsid w:val="2B677818"/>
    <w:rsid w:val="2C7F8FE5"/>
    <w:rsid w:val="2DB50E3B"/>
    <w:rsid w:val="2F2707B9"/>
    <w:rsid w:val="2F77B02F"/>
    <w:rsid w:val="2FBF79F3"/>
    <w:rsid w:val="2FE57A3A"/>
    <w:rsid w:val="2FE75C0D"/>
    <w:rsid w:val="2FF28929"/>
    <w:rsid w:val="31DB6CD8"/>
    <w:rsid w:val="337F9CB5"/>
    <w:rsid w:val="33FF64D6"/>
    <w:rsid w:val="34EE0E99"/>
    <w:rsid w:val="35D42621"/>
    <w:rsid w:val="35F40501"/>
    <w:rsid w:val="35FFE8A3"/>
    <w:rsid w:val="371C0F60"/>
    <w:rsid w:val="377EB7C8"/>
    <w:rsid w:val="37E37263"/>
    <w:rsid w:val="37FD1AE6"/>
    <w:rsid w:val="39DD26CA"/>
    <w:rsid w:val="3B7FA9C9"/>
    <w:rsid w:val="3D7754DA"/>
    <w:rsid w:val="3DD7E23B"/>
    <w:rsid w:val="3DFBF1AB"/>
    <w:rsid w:val="3E2E7840"/>
    <w:rsid w:val="3F7B1462"/>
    <w:rsid w:val="3FBF4F2A"/>
    <w:rsid w:val="3FCE835F"/>
    <w:rsid w:val="3FDD7D4B"/>
    <w:rsid w:val="3FDEF910"/>
    <w:rsid w:val="3FDFB4DB"/>
    <w:rsid w:val="3FEACEDE"/>
    <w:rsid w:val="3FFBCA34"/>
    <w:rsid w:val="3FFEE59E"/>
    <w:rsid w:val="454C45D3"/>
    <w:rsid w:val="47BFC56B"/>
    <w:rsid w:val="47EFE68D"/>
    <w:rsid w:val="47F5668A"/>
    <w:rsid w:val="4AC63CC7"/>
    <w:rsid w:val="4BCD0BCE"/>
    <w:rsid w:val="4C994800"/>
    <w:rsid w:val="4C9A3635"/>
    <w:rsid w:val="4DF73EE6"/>
    <w:rsid w:val="4E2FDBDF"/>
    <w:rsid w:val="4E952E79"/>
    <w:rsid w:val="4F3BA4B7"/>
    <w:rsid w:val="4F733840"/>
    <w:rsid w:val="4F835E6A"/>
    <w:rsid w:val="4FB91BD3"/>
    <w:rsid w:val="4FBC2858"/>
    <w:rsid w:val="4FDBB873"/>
    <w:rsid w:val="4FDBF27A"/>
    <w:rsid w:val="50A51317"/>
    <w:rsid w:val="51FED7AB"/>
    <w:rsid w:val="52557FF8"/>
    <w:rsid w:val="5379D2C6"/>
    <w:rsid w:val="53EF44F6"/>
    <w:rsid w:val="54ED50CA"/>
    <w:rsid w:val="55FAE0F3"/>
    <w:rsid w:val="5616324B"/>
    <w:rsid w:val="56395122"/>
    <w:rsid w:val="56FF9394"/>
    <w:rsid w:val="577E1662"/>
    <w:rsid w:val="57976910"/>
    <w:rsid w:val="57D39225"/>
    <w:rsid w:val="57FF728B"/>
    <w:rsid w:val="57FFBD3C"/>
    <w:rsid w:val="58EDE413"/>
    <w:rsid w:val="59BF41B8"/>
    <w:rsid w:val="59E7D015"/>
    <w:rsid w:val="5B3FC2B1"/>
    <w:rsid w:val="5B831A2F"/>
    <w:rsid w:val="5B9FBC69"/>
    <w:rsid w:val="5BC46449"/>
    <w:rsid w:val="5BFEC01F"/>
    <w:rsid w:val="5C57A339"/>
    <w:rsid w:val="5D739365"/>
    <w:rsid w:val="5D9C3183"/>
    <w:rsid w:val="5DBC5637"/>
    <w:rsid w:val="5DEFA0C2"/>
    <w:rsid w:val="5DFF365F"/>
    <w:rsid w:val="5E7E643A"/>
    <w:rsid w:val="5EEFD7E0"/>
    <w:rsid w:val="5EFA7CCD"/>
    <w:rsid w:val="5F3F4114"/>
    <w:rsid w:val="5F7450B5"/>
    <w:rsid w:val="5F9EBB26"/>
    <w:rsid w:val="5FA3A4F7"/>
    <w:rsid w:val="5FB13D0C"/>
    <w:rsid w:val="5FBFD809"/>
    <w:rsid w:val="5FDEE16E"/>
    <w:rsid w:val="5FFF11C5"/>
    <w:rsid w:val="5FFFD29F"/>
    <w:rsid w:val="63DD6188"/>
    <w:rsid w:val="63F7F31A"/>
    <w:rsid w:val="66A901A9"/>
    <w:rsid w:val="67AF4F7F"/>
    <w:rsid w:val="67DC07CF"/>
    <w:rsid w:val="67FF30F6"/>
    <w:rsid w:val="69FFDF07"/>
    <w:rsid w:val="6A7E4845"/>
    <w:rsid w:val="6B2762A4"/>
    <w:rsid w:val="6B7715A8"/>
    <w:rsid w:val="6B7F1190"/>
    <w:rsid w:val="6B7FBE26"/>
    <w:rsid w:val="6BBB8783"/>
    <w:rsid w:val="6BEB11D6"/>
    <w:rsid w:val="6BEE5ACD"/>
    <w:rsid w:val="6CEEEEB4"/>
    <w:rsid w:val="6D7B0B95"/>
    <w:rsid w:val="6D9DE194"/>
    <w:rsid w:val="6DCF2F0E"/>
    <w:rsid w:val="6DFCD847"/>
    <w:rsid w:val="6EEF7D6E"/>
    <w:rsid w:val="6EFB2A0A"/>
    <w:rsid w:val="6F26FFBA"/>
    <w:rsid w:val="6F3FAF09"/>
    <w:rsid w:val="6F7F950F"/>
    <w:rsid w:val="6F89C6F0"/>
    <w:rsid w:val="6F9E7021"/>
    <w:rsid w:val="6FAA2D18"/>
    <w:rsid w:val="6FB7AE2F"/>
    <w:rsid w:val="6FBF8AC1"/>
    <w:rsid w:val="6FD50F08"/>
    <w:rsid w:val="6FDFEC6E"/>
    <w:rsid w:val="6FF74624"/>
    <w:rsid w:val="6FF7E164"/>
    <w:rsid w:val="6FFE49B2"/>
    <w:rsid w:val="6FFF672F"/>
    <w:rsid w:val="70EF5E53"/>
    <w:rsid w:val="71BF944F"/>
    <w:rsid w:val="71FFD27C"/>
    <w:rsid w:val="727FBDF3"/>
    <w:rsid w:val="72FFFF64"/>
    <w:rsid w:val="739D88D9"/>
    <w:rsid w:val="73CF5327"/>
    <w:rsid w:val="73DFF9F3"/>
    <w:rsid w:val="73FBF611"/>
    <w:rsid w:val="74B351B1"/>
    <w:rsid w:val="74EF8B57"/>
    <w:rsid w:val="757DE146"/>
    <w:rsid w:val="75A78915"/>
    <w:rsid w:val="75B78329"/>
    <w:rsid w:val="75FCF043"/>
    <w:rsid w:val="767F9672"/>
    <w:rsid w:val="76D33ECE"/>
    <w:rsid w:val="76DC7AB3"/>
    <w:rsid w:val="7724E7B9"/>
    <w:rsid w:val="772D6EEA"/>
    <w:rsid w:val="777D3C75"/>
    <w:rsid w:val="777F662B"/>
    <w:rsid w:val="77D78C8C"/>
    <w:rsid w:val="77E3B7A2"/>
    <w:rsid w:val="77EF7E46"/>
    <w:rsid w:val="77F56A21"/>
    <w:rsid w:val="77FB3EE1"/>
    <w:rsid w:val="77FFB81B"/>
    <w:rsid w:val="782B1A66"/>
    <w:rsid w:val="78AB26B4"/>
    <w:rsid w:val="791FFCFF"/>
    <w:rsid w:val="79DBBCD4"/>
    <w:rsid w:val="79ED285A"/>
    <w:rsid w:val="7AF7C252"/>
    <w:rsid w:val="7AF9C64A"/>
    <w:rsid w:val="7B1FC220"/>
    <w:rsid w:val="7B2FA64C"/>
    <w:rsid w:val="7B3A4CE9"/>
    <w:rsid w:val="7B47CA73"/>
    <w:rsid w:val="7B4D11F7"/>
    <w:rsid w:val="7BB7C2A7"/>
    <w:rsid w:val="7BBF773A"/>
    <w:rsid w:val="7BF3F0C7"/>
    <w:rsid w:val="7BFB6D85"/>
    <w:rsid w:val="7BFFF96B"/>
    <w:rsid w:val="7C5EFE48"/>
    <w:rsid w:val="7CEACEA4"/>
    <w:rsid w:val="7CF5DE3A"/>
    <w:rsid w:val="7D2AE55F"/>
    <w:rsid w:val="7D7E4058"/>
    <w:rsid w:val="7D7FA2E6"/>
    <w:rsid w:val="7DBB29F0"/>
    <w:rsid w:val="7DBDBF66"/>
    <w:rsid w:val="7DDBC341"/>
    <w:rsid w:val="7DDF264F"/>
    <w:rsid w:val="7DDF84E5"/>
    <w:rsid w:val="7DEEC412"/>
    <w:rsid w:val="7DFE95CA"/>
    <w:rsid w:val="7DFFBD7E"/>
    <w:rsid w:val="7DFFF608"/>
    <w:rsid w:val="7E75E241"/>
    <w:rsid w:val="7EC58FDE"/>
    <w:rsid w:val="7EC5EBE2"/>
    <w:rsid w:val="7EDBE313"/>
    <w:rsid w:val="7EFB1749"/>
    <w:rsid w:val="7EFB2BB4"/>
    <w:rsid w:val="7EFC3B10"/>
    <w:rsid w:val="7EFF327C"/>
    <w:rsid w:val="7EFFB77A"/>
    <w:rsid w:val="7EFFFF52"/>
    <w:rsid w:val="7F117D69"/>
    <w:rsid w:val="7F1FE6B9"/>
    <w:rsid w:val="7F3FB053"/>
    <w:rsid w:val="7F5607B6"/>
    <w:rsid w:val="7F5F42F5"/>
    <w:rsid w:val="7F6F54A4"/>
    <w:rsid w:val="7F715964"/>
    <w:rsid w:val="7F73E24A"/>
    <w:rsid w:val="7F772061"/>
    <w:rsid w:val="7F7D03BD"/>
    <w:rsid w:val="7F7D58EC"/>
    <w:rsid w:val="7F7EC347"/>
    <w:rsid w:val="7F7FCF5A"/>
    <w:rsid w:val="7F83BCB7"/>
    <w:rsid w:val="7F97DD4F"/>
    <w:rsid w:val="7F97E020"/>
    <w:rsid w:val="7FAE636C"/>
    <w:rsid w:val="7FBBC0A0"/>
    <w:rsid w:val="7FD3A5F6"/>
    <w:rsid w:val="7FDAAD21"/>
    <w:rsid w:val="7FDE3489"/>
    <w:rsid w:val="7FDF9A62"/>
    <w:rsid w:val="7FE3BD5D"/>
    <w:rsid w:val="7FE945B6"/>
    <w:rsid w:val="7FEAE125"/>
    <w:rsid w:val="7FEEE2F4"/>
    <w:rsid w:val="7FF30D99"/>
    <w:rsid w:val="7FF31C58"/>
    <w:rsid w:val="7FF3F0FD"/>
    <w:rsid w:val="7FF50F87"/>
    <w:rsid w:val="7FF63439"/>
    <w:rsid w:val="7FF7E102"/>
    <w:rsid w:val="7FF92348"/>
    <w:rsid w:val="7FFAE2FA"/>
    <w:rsid w:val="7FFBCC47"/>
    <w:rsid w:val="7FFF449C"/>
    <w:rsid w:val="7FFFB728"/>
    <w:rsid w:val="7FFFEF8F"/>
    <w:rsid w:val="8CFFA8AD"/>
    <w:rsid w:val="8F23B355"/>
    <w:rsid w:val="915F1C5B"/>
    <w:rsid w:val="93F9373F"/>
    <w:rsid w:val="94BB3423"/>
    <w:rsid w:val="94FE19BC"/>
    <w:rsid w:val="97ED350A"/>
    <w:rsid w:val="97F7C2B4"/>
    <w:rsid w:val="97FB3715"/>
    <w:rsid w:val="9ABBF20E"/>
    <w:rsid w:val="9BAFFF38"/>
    <w:rsid w:val="9D3F00AC"/>
    <w:rsid w:val="9D4B5CFF"/>
    <w:rsid w:val="9DF5DFA5"/>
    <w:rsid w:val="9ECD765D"/>
    <w:rsid w:val="9FBF1AEB"/>
    <w:rsid w:val="9FDFC151"/>
    <w:rsid w:val="9FF3B901"/>
    <w:rsid w:val="A3DB5645"/>
    <w:rsid w:val="ACFE8ED4"/>
    <w:rsid w:val="ADA61B07"/>
    <w:rsid w:val="ADFEB3D4"/>
    <w:rsid w:val="AEFB0EF8"/>
    <w:rsid w:val="AF37AE32"/>
    <w:rsid w:val="AFF53A75"/>
    <w:rsid w:val="AFFC2779"/>
    <w:rsid w:val="B3EAB32E"/>
    <w:rsid w:val="B3FEBA1A"/>
    <w:rsid w:val="B7FF6593"/>
    <w:rsid w:val="B7FF94E6"/>
    <w:rsid w:val="B9DBFA37"/>
    <w:rsid w:val="BA7B23C6"/>
    <w:rsid w:val="BB7FEDF3"/>
    <w:rsid w:val="BBAFA98B"/>
    <w:rsid w:val="BBBA7786"/>
    <w:rsid w:val="BBC36ADA"/>
    <w:rsid w:val="BBED283E"/>
    <w:rsid w:val="BBEE8F62"/>
    <w:rsid w:val="BBF89846"/>
    <w:rsid w:val="BC5DFEF4"/>
    <w:rsid w:val="BC66439A"/>
    <w:rsid w:val="BDFA5699"/>
    <w:rsid w:val="BDFB83A6"/>
    <w:rsid w:val="BE7B1FA4"/>
    <w:rsid w:val="BEDBA50A"/>
    <w:rsid w:val="BEF76958"/>
    <w:rsid w:val="BEFB03E1"/>
    <w:rsid w:val="BF1DFFC2"/>
    <w:rsid w:val="BF3AD1A9"/>
    <w:rsid w:val="BF975997"/>
    <w:rsid w:val="BFAFCFBF"/>
    <w:rsid w:val="BFDFD10B"/>
    <w:rsid w:val="BFE3DD55"/>
    <w:rsid w:val="BFF69F97"/>
    <w:rsid w:val="BFFC833C"/>
    <w:rsid w:val="BFFE087F"/>
    <w:rsid w:val="BFFFEBCC"/>
    <w:rsid w:val="C79F5C43"/>
    <w:rsid w:val="CAFAFE2B"/>
    <w:rsid w:val="CAFFD523"/>
    <w:rsid w:val="CB3DCD35"/>
    <w:rsid w:val="CBF77494"/>
    <w:rsid w:val="CCDCC923"/>
    <w:rsid w:val="CF7D8C8E"/>
    <w:rsid w:val="CF7E177E"/>
    <w:rsid w:val="CF97E623"/>
    <w:rsid w:val="CFE7A2F7"/>
    <w:rsid w:val="CFEEB56D"/>
    <w:rsid w:val="CFF5F45B"/>
    <w:rsid w:val="CFFEC8BD"/>
    <w:rsid w:val="D46E0CBB"/>
    <w:rsid w:val="D6778435"/>
    <w:rsid w:val="D6DD15B8"/>
    <w:rsid w:val="D6DE643A"/>
    <w:rsid w:val="D7E70442"/>
    <w:rsid w:val="D97E820A"/>
    <w:rsid w:val="DABE8F39"/>
    <w:rsid w:val="DB5DCFB0"/>
    <w:rsid w:val="DBEDD0E2"/>
    <w:rsid w:val="DBEF6272"/>
    <w:rsid w:val="DBFD6507"/>
    <w:rsid w:val="DCF7A0D7"/>
    <w:rsid w:val="DD3FEE81"/>
    <w:rsid w:val="DE8EAFFB"/>
    <w:rsid w:val="DE97A8C5"/>
    <w:rsid w:val="DEAE47A5"/>
    <w:rsid w:val="DEBCCA3C"/>
    <w:rsid w:val="DEF7C9DB"/>
    <w:rsid w:val="DF73DDEE"/>
    <w:rsid w:val="DF7DB239"/>
    <w:rsid w:val="DF7F0EA7"/>
    <w:rsid w:val="DF9776AD"/>
    <w:rsid w:val="DF9F846C"/>
    <w:rsid w:val="DFB8F065"/>
    <w:rsid w:val="DFBFB288"/>
    <w:rsid w:val="DFDD8BCF"/>
    <w:rsid w:val="DFDD99EC"/>
    <w:rsid w:val="DFDF819F"/>
    <w:rsid w:val="DFDFA53B"/>
    <w:rsid w:val="DFF7486E"/>
    <w:rsid w:val="DFF7D600"/>
    <w:rsid w:val="DFFB5A49"/>
    <w:rsid w:val="DFFBB14E"/>
    <w:rsid w:val="DFFEAC2D"/>
    <w:rsid w:val="DFFF7279"/>
    <w:rsid w:val="DFFF86D1"/>
    <w:rsid w:val="DFFF9306"/>
    <w:rsid w:val="E0DF2754"/>
    <w:rsid w:val="E6BCEA2C"/>
    <w:rsid w:val="E6FD971F"/>
    <w:rsid w:val="E73B799F"/>
    <w:rsid w:val="E76FDE07"/>
    <w:rsid w:val="E7CE5735"/>
    <w:rsid w:val="E7EF611F"/>
    <w:rsid w:val="E7FFAADD"/>
    <w:rsid w:val="E9EF2BF0"/>
    <w:rsid w:val="E9F71EFB"/>
    <w:rsid w:val="EA772B2B"/>
    <w:rsid w:val="EAFEBDFB"/>
    <w:rsid w:val="EB4FB176"/>
    <w:rsid w:val="EBBF91DC"/>
    <w:rsid w:val="EBD0E898"/>
    <w:rsid w:val="EBDF7058"/>
    <w:rsid w:val="EBEC74D7"/>
    <w:rsid w:val="EBF10408"/>
    <w:rsid w:val="EBFF6D4A"/>
    <w:rsid w:val="EC79DFB3"/>
    <w:rsid w:val="ED642E32"/>
    <w:rsid w:val="ED7B91D8"/>
    <w:rsid w:val="EDFF9A0A"/>
    <w:rsid w:val="EE7B77D5"/>
    <w:rsid w:val="EEDA4E52"/>
    <w:rsid w:val="EEF91419"/>
    <w:rsid w:val="EEFDFD44"/>
    <w:rsid w:val="EF6F3C29"/>
    <w:rsid w:val="EF7325AD"/>
    <w:rsid w:val="EFBA8D81"/>
    <w:rsid w:val="EFBF9851"/>
    <w:rsid w:val="EFF67976"/>
    <w:rsid w:val="EFF728FF"/>
    <w:rsid w:val="EFFE07BB"/>
    <w:rsid w:val="F2DFE3E5"/>
    <w:rsid w:val="F377A1C3"/>
    <w:rsid w:val="F39F8C5F"/>
    <w:rsid w:val="F3A1911B"/>
    <w:rsid w:val="F3BD5C89"/>
    <w:rsid w:val="F3DA2327"/>
    <w:rsid w:val="F3EE839E"/>
    <w:rsid w:val="F3FA2A02"/>
    <w:rsid w:val="F5EF9E73"/>
    <w:rsid w:val="F6AF5234"/>
    <w:rsid w:val="F6F53B97"/>
    <w:rsid w:val="F73B3E8C"/>
    <w:rsid w:val="F77B5437"/>
    <w:rsid w:val="F77E2A3F"/>
    <w:rsid w:val="F77F3A80"/>
    <w:rsid w:val="F7B54212"/>
    <w:rsid w:val="F7FD1B48"/>
    <w:rsid w:val="F7FF238A"/>
    <w:rsid w:val="F7FFA853"/>
    <w:rsid w:val="F7FFAD49"/>
    <w:rsid w:val="F7FFBF08"/>
    <w:rsid w:val="F7FFC086"/>
    <w:rsid w:val="F9638DB0"/>
    <w:rsid w:val="F9DF84BD"/>
    <w:rsid w:val="F9FD6885"/>
    <w:rsid w:val="F9FD8570"/>
    <w:rsid w:val="F9FF0A00"/>
    <w:rsid w:val="FABFD6EB"/>
    <w:rsid w:val="FADB35FA"/>
    <w:rsid w:val="FB178776"/>
    <w:rsid w:val="FB334109"/>
    <w:rsid w:val="FB74ABB9"/>
    <w:rsid w:val="FBADF71D"/>
    <w:rsid w:val="FBB76C3E"/>
    <w:rsid w:val="FBD52D12"/>
    <w:rsid w:val="FBD9510D"/>
    <w:rsid w:val="FBEF7F4C"/>
    <w:rsid w:val="FBF56D83"/>
    <w:rsid w:val="FBFF181F"/>
    <w:rsid w:val="FCCF1B10"/>
    <w:rsid w:val="FCF69257"/>
    <w:rsid w:val="FCFFF079"/>
    <w:rsid w:val="FD321EDF"/>
    <w:rsid w:val="FD3CD5D2"/>
    <w:rsid w:val="FD3E032F"/>
    <w:rsid w:val="FD72A58D"/>
    <w:rsid w:val="FD7D889A"/>
    <w:rsid w:val="FD7EF862"/>
    <w:rsid w:val="FDAB8944"/>
    <w:rsid w:val="FDD3DF49"/>
    <w:rsid w:val="FDDFF490"/>
    <w:rsid w:val="FDF62112"/>
    <w:rsid w:val="FDF7BE88"/>
    <w:rsid w:val="FDFA2133"/>
    <w:rsid w:val="FDFAE21B"/>
    <w:rsid w:val="FDFD5E7F"/>
    <w:rsid w:val="FE6F2933"/>
    <w:rsid w:val="FE734873"/>
    <w:rsid w:val="FEB72AC9"/>
    <w:rsid w:val="FEBB3390"/>
    <w:rsid w:val="FEBF41C6"/>
    <w:rsid w:val="FED928F2"/>
    <w:rsid w:val="FEF7E71F"/>
    <w:rsid w:val="FEFD4B2A"/>
    <w:rsid w:val="FEFF05B7"/>
    <w:rsid w:val="FEFF52FE"/>
    <w:rsid w:val="FF394CDA"/>
    <w:rsid w:val="FF3AB86E"/>
    <w:rsid w:val="FF3F76C0"/>
    <w:rsid w:val="FF673BBE"/>
    <w:rsid w:val="FF6F33AE"/>
    <w:rsid w:val="FF6F5B33"/>
    <w:rsid w:val="FF76071F"/>
    <w:rsid w:val="FF7BDA26"/>
    <w:rsid w:val="FF7FBF1F"/>
    <w:rsid w:val="FF9FA2E9"/>
    <w:rsid w:val="FFBD37A0"/>
    <w:rsid w:val="FFBF19FB"/>
    <w:rsid w:val="FFCFBD26"/>
    <w:rsid w:val="FFD694DD"/>
    <w:rsid w:val="FFDBF4E6"/>
    <w:rsid w:val="FFE601D8"/>
    <w:rsid w:val="FFEF5CF0"/>
    <w:rsid w:val="FFF281F3"/>
    <w:rsid w:val="FFF638FD"/>
    <w:rsid w:val="FFF7298B"/>
    <w:rsid w:val="FFF81DFF"/>
    <w:rsid w:val="FFFC661F"/>
    <w:rsid w:val="FFFDAB28"/>
    <w:rsid w:val="FFFDB684"/>
    <w:rsid w:val="FFFDD7D8"/>
    <w:rsid w:val="FFFED4A2"/>
    <w:rsid w:val="FFFF3232"/>
    <w:rsid w:val="FFFF66F3"/>
    <w:rsid w:val="FFFF6825"/>
    <w:rsid w:val="FFFFE2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32"/>
      <w:lang w:val="en-US" w:eastAsia="zh-CN" w:bidi="ar-SA"/>
    </w:rPr>
  </w:style>
  <w:style w:type="character" w:default="1" w:styleId="13">
    <w:name w:val="Default Paragraph Font"/>
    <w:unhideWhenUsed/>
    <w:uiPriority w:val="1"/>
    <w:rPr>
      <w:rFonts w:ascii="Verdana" w:hAnsi="Verdana" w:eastAsia="仿宋_GB2312"/>
      <w:kern w:val="0"/>
      <w:sz w:val="24"/>
      <w:szCs w:val="20"/>
      <w:lang w:eastAsia="en-US"/>
    </w:rPr>
  </w:style>
  <w:style w:type="table" w:default="1" w:styleId="11">
    <w:name w:val="Normal Table"/>
    <w:unhideWhenUsed/>
    <w:uiPriority w:val="99"/>
    <w:tblPr>
      <w:tblStyle w:val="11"/>
      <w:tblCellMar>
        <w:top w:w="0" w:type="dxa"/>
        <w:left w:w="108" w:type="dxa"/>
        <w:bottom w:w="0" w:type="dxa"/>
        <w:right w:w="108" w:type="dxa"/>
      </w:tblCellMar>
    </w:tblPr>
  </w:style>
  <w:style w:type="paragraph" w:styleId="2">
    <w:name w:val="Body Text First Indent"/>
    <w:basedOn w:val="3"/>
    <w:qFormat/>
    <w:uiPriority w:val="99"/>
    <w:pPr>
      <w:ind w:firstLine="100" w:firstLineChars="100"/>
    </w:pPr>
  </w:style>
  <w:style w:type="paragraph" w:styleId="3">
    <w:name w:val="Body Text"/>
    <w:basedOn w:val="1"/>
    <w:next w:val="4"/>
    <w:uiPriority w:val="0"/>
    <w:pPr>
      <w:autoSpaceDE w:val="0"/>
      <w:autoSpaceDN w:val="0"/>
      <w:adjustRightInd w:val="0"/>
      <w:snapToGrid w:val="0"/>
      <w:spacing w:line="600" w:lineRule="atLeast"/>
    </w:pPr>
    <w:rPr>
      <w:rFonts w:ascii="宋体"/>
      <w:spacing w:val="5"/>
      <w:kern w:val="0"/>
      <w:sz w:val="32"/>
      <w:szCs w:val="20"/>
    </w:rPr>
  </w:style>
  <w:style w:type="paragraph" w:styleId="4">
    <w:name w:val="Title"/>
    <w:basedOn w:val="1"/>
    <w:next w:val="1"/>
    <w:qFormat/>
    <w:uiPriority w:val="99"/>
    <w:pPr>
      <w:spacing w:before="240" w:after="60"/>
      <w:jc w:val="center"/>
      <w:outlineLvl w:val="0"/>
    </w:pPr>
    <w:rPr>
      <w:rFonts w:ascii="Cambria" w:hAnsi="Cambria"/>
      <w:b/>
      <w:bCs/>
      <w:sz w:val="32"/>
      <w:szCs w:val="32"/>
    </w:rPr>
  </w:style>
  <w:style w:type="paragraph" w:styleId="5">
    <w:name w:val="Plain Text"/>
    <w:basedOn w:val="1"/>
    <w:uiPriority w:val="0"/>
    <w:rPr>
      <w:rFonts w:ascii="宋体" w:hAnsi="Courier New"/>
      <w:szCs w:val="20"/>
    </w:rPr>
  </w:style>
  <w:style w:type="paragraph" w:styleId="6">
    <w:name w:val="Date"/>
    <w:basedOn w:val="1"/>
    <w:next w:val="1"/>
    <w:uiPriority w:val="0"/>
    <w:rPr>
      <w:rFonts w:eastAsia="仿宋_GB2312"/>
      <w:spacing w:val="2"/>
      <w:sz w:val="32"/>
      <w:szCs w:val="20"/>
    </w:rPr>
  </w:style>
  <w:style w:type="paragraph" w:styleId="7">
    <w:name w:val="Balloon Text"/>
    <w:basedOn w:val="1"/>
    <w:semiHidden/>
    <w:uiPriority w:val="0"/>
    <w:rPr>
      <w:sz w:val="18"/>
      <w:szCs w:val="18"/>
    </w:rPr>
  </w:style>
  <w:style w:type="paragraph" w:styleId="8">
    <w:name w:val="footer"/>
    <w:basedOn w:val="1"/>
    <w:link w:val="16"/>
    <w:uiPriority w:val="99"/>
    <w:pPr>
      <w:tabs>
        <w:tab w:val="center" w:pos="4153"/>
        <w:tab w:val="right" w:pos="8306"/>
      </w:tabs>
      <w:snapToGrid w:val="0"/>
      <w:jc w:val="left"/>
    </w:pPr>
    <w:rPr>
      <w:rFonts w:eastAsia="宋体"/>
      <w:sz w:val="18"/>
      <w:szCs w:val="18"/>
    </w:rPr>
  </w:style>
  <w:style w:type="paragraph" w:styleId="9">
    <w:name w:val="header"/>
    <w:basedOn w:val="1"/>
    <w:link w:val="17"/>
    <w:uiPriority w:val="0"/>
    <w:pPr>
      <w:tabs>
        <w:tab w:val="center" w:pos="4153"/>
        <w:tab w:val="right" w:pos="8306"/>
      </w:tabs>
      <w:snapToGrid w:val="0"/>
      <w:jc w:val="center"/>
    </w:pPr>
    <w:rPr>
      <w:rFonts w:eastAsia="宋体"/>
      <w:sz w:val="18"/>
      <w:szCs w:val="18"/>
    </w:rPr>
  </w:style>
  <w:style w:type="paragraph" w:styleId="10">
    <w:name w:val="Normal (Web)"/>
    <w:basedOn w:val="1"/>
    <w:uiPriority w:val="0"/>
    <w:rPr>
      <w:sz w:val="24"/>
      <w:szCs w:val="24"/>
    </w:rPr>
  </w:style>
  <w:style w:type="table" w:styleId="12">
    <w:name w:val="Table Grid"/>
    <w:basedOn w:val="11"/>
    <w:qFormat/>
    <w:uiPriority w:val="99"/>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uiPriority w:val="0"/>
    <w:rPr>
      <w:rFonts w:ascii="Verdana" w:hAnsi="Verdana" w:eastAsia="仿宋_GB2312" w:cs="Times New Roman"/>
      <w:kern w:val="0"/>
      <w:sz w:val="24"/>
      <w:szCs w:val="20"/>
      <w:lang w:eastAsia="en-US"/>
    </w:rPr>
  </w:style>
  <w:style w:type="character" w:styleId="15">
    <w:name w:val="Hyperlink"/>
    <w:unhideWhenUsed/>
    <w:qFormat/>
    <w:uiPriority w:val="99"/>
    <w:rPr>
      <w:color w:val="0563C1"/>
      <w:u w:val="single"/>
    </w:rPr>
  </w:style>
  <w:style w:type="character" w:customStyle="1" w:styleId="16">
    <w:name w:val="页脚 Char"/>
    <w:link w:val="8"/>
    <w:uiPriority w:val="99"/>
    <w:rPr>
      <w:kern w:val="2"/>
      <w:sz w:val="18"/>
      <w:szCs w:val="18"/>
    </w:rPr>
  </w:style>
  <w:style w:type="character" w:customStyle="1" w:styleId="17">
    <w:name w:val="页眉 Char"/>
    <w:link w:val="9"/>
    <w:uiPriority w:val="0"/>
    <w:rPr>
      <w:kern w:val="2"/>
      <w:sz w:val="18"/>
      <w:szCs w:val="18"/>
    </w:rPr>
  </w:style>
  <w:style w:type="character" w:customStyle="1" w:styleId="18">
    <w:name w:val="font31"/>
    <w:uiPriority w:val="0"/>
    <w:rPr>
      <w:rFonts w:hint="eastAsia" w:ascii="宋体" w:hAnsi="宋体" w:eastAsia="宋体" w:cs="宋体"/>
      <w:color w:val="000000"/>
      <w:sz w:val="20"/>
      <w:szCs w:val="20"/>
      <w:u w:val="none"/>
      <w:lang w:eastAsia="en-US"/>
    </w:rPr>
  </w:style>
  <w:style w:type="character" w:customStyle="1" w:styleId="19">
    <w:name w:val="font61"/>
    <w:uiPriority w:val="0"/>
    <w:rPr>
      <w:rFonts w:hint="eastAsia" w:ascii="宋体" w:hAnsi="宋体" w:eastAsia="宋体" w:cs="宋体"/>
      <w:color w:val="000000"/>
      <w:sz w:val="20"/>
      <w:szCs w:val="20"/>
      <w:u w:val="none"/>
      <w:lang w:eastAsia="en-US"/>
    </w:rPr>
  </w:style>
  <w:style w:type="character" w:customStyle="1" w:styleId="20">
    <w:name w:val="font41"/>
    <w:uiPriority w:val="0"/>
    <w:rPr>
      <w:rFonts w:hint="eastAsia" w:ascii="宋体" w:hAnsi="宋体" w:eastAsia="宋体" w:cs="宋体"/>
      <w:color w:val="333333"/>
      <w:sz w:val="20"/>
      <w:szCs w:val="20"/>
      <w:u w:val="none"/>
      <w:lang w:eastAsia="en-US"/>
    </w:rPr>
  </w:style>
  <w:style w:type="character" w:customStyle="1" w:styleId="21">
    <w:name w:val="font71"/>
    <w:uiPriority w:val="0"/>
    <w:rPr>
      <w:rFonts w:hint="eastAsia" w:ascii="宋体" w:hAnsi="宋体" w:eastAsia="宋体" w:cs="宋体"/>
      <w:color w:val="000000"/>
      <w:sz w:val="20"/>
      <w:szCs w:val="20"/>
      <w:u w:val="none"/>
      <w:lang w:eastAsia="en-US"/>
    </w:rPr>
  </w:style>
  <w:style w:type="character" w:customStyle="1" w:styleId="22">
    <w:name w:val="font01"/>
    <w:uiPriority w:val="0"/>
    <w:rPr>
      <w:rFonts w:ascii="Arial" w:hAnsi="Arial" w:cs="Arial"/>
      <w:color w:val="000000"/>
      <w:sz w:val="20"/>
      <w:szCs w:val="20"/>
      <w:u w:val="none"/>
      <w:lang w:eastAsia="en-US"/>
    </w:rPr>
  </w:style>
  <w:style w:type="character" w:customStyle="1" w:styleId="23">
    <w:name w:val="font11"/>
    <w:uiPriority w:val="0"/>
    <w:rPr>
      <w:rFonts w:hint="eastAsia" w:ascii="宋体" w:hAnsi="宋体" w:eastAsia="宋体" w:cs="宋体"/>
      <w:color w:val="000000"/>
      <w:sz w:val="20"/>
      <w:szCs w:val="20"/>
      <w:u w:val="none"/>
      <w:lang w:eastAsia="en-US"/>
    </w:rPr>
  </w:style>
  <w:style w:type="paragraph" w:customStyle="1" w:styleId="24">
    <w:name w:val="正文 A"/>
    <w:basedOn w:val="1"/>
    <w:qFormat/>
    <w:uiPriority w:val="99"/>
    <w:rPr>
      <w:rFonts w:ascii="Arial Unicode MS" w:hAnsi="Arial Unicode MS" w:eastAsia="宋体" w:cs="Arial Unicode MS"/>
      <w:color w:val="000000"/>
      <w:sz w:val="21"/>
      <w:szCs w:val="21"/>
    </w:rPr>
  </w:style>
  <w:style w:type="paragraph" w:customStyle="1" w:styleId="25">
    <w:name w:val=" Char Char Char Char Char Char Char Char Char Char Char Char Char Char Char Char"/>
    <w:basedOn w:val="1"/>
    <w:uiPriority w:val="0"/>
    <w:rPr>
      <w:rFonts w:ascii="仿宋_GB2312"/>
      <w:b/>
    </w:rPr>
  </w:style>
  <w:style w:type="paragraph" w:styleId="26">
    <w:name w:val="List Paragraph"/>
    <w:basedOn w:val="1"/>
    <w:qFormat/>
    <w:uiPriority w:val="99"/>
    <w:pPr>
      <w:ind w:firstLine="420" w:firstLineChars="200"/>
    </w:pPr>
    <w:rPr>
      <w:rFonts w:eastAsia="宋体"/>
      <w:szCs w:val="24"/>
    </w:rPr>
  </w:style>
  <w:style w:type="paragraph" w:customStyle="1" w:styleId="27">
    <w:name w:val=" Char Char Char Char"/>
    <w:basedOn w:val="1"/>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18</Pages>
  <Words>1390</Words>
  <Characters>7928</Characters>
  <Lines>66</Lines>
  <Paragraphs>18</Paragraphs>
  <TotalTime>8.66666666666667</TotalTime>
  <ScaleCrop>false</ScaleCrop>
  <LinksUpToDate>false</LinksUpToDate>
  <CharactersWithSpaces>9300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2024-04-24T07:37:00Z</dcterms:created>
  <dc:creator>User</dc:creator>
  <cp:lastModifiedBy>uos</cp:lastModifiedBy>
  <cp:lastPrinted>2025-01-18T16:24:00Z</cp:lastPrinted>
  <dcterms:modified xsi:type="dcterms:W3CDTF">2026-04-14T10:32:48Z</dcterms:modified>
  <dc:title>关于召开城投集团污水处理企业交接会议的通知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DB6B9D5A37644CCF91D886FD006362B4</vt:lpwstr>
  </property>
</Properties>
</file>