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E7" w:rsidRDefault="000C3BE7">
      <w:pPr>
        <w:jc w:val="center"/>
        <w:rPr>
          <w:rFonts w:ascii="文星简大标宋"/>
          <w:sz w:val="84"/>
          <w:szCs w:val="84"/>
        </w:rPr>
      </w:pPr>
    </w:p>
    <w:p w:rsidR="00062C48" w:rsidRDefault="00062C48">
      <w:pPr>
        <w:jc w:val="center"/>
        <w:rPr>
          <w:rFonts w:ascii="文星简大标宋"/>
          <w:sz w:val="84"/>
          <w:szCs w:val="84"/>
        </w:rPr>
      </w:pPr>
    </w:p>
    <w:p w:rsidR="000C3BE7" w:rsidRDefault="000C3BE7">
      <w:pPr>
        <w:spacing w:line="2200" w:lineRule="exact"/>
        <w:jc w:val="center"/>
        <w:rPr>
          <w:rFonts w:ascii="文星简大标宋" w:eastAsia="文星简大标宋"/>
          <w:sz w:val="84"/>
          <w:szCs w:val="84"/>
        </w:rPr>
      </w:pPr>
    </w:p>
    <w:p w:rsidR="000C3BE7" w:rsidRDefault="000C3BE7">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2023年青岛市行政审批服务局单位预算</w:t>
      </w:r>
    </w:p>
    <w:p w:rsidR="000C3BE7" w:rsidRDefault="000C3BE7">
      <w:pPr>
        <w:rPr>
          <w:sz w:val="52"/>
          <w:szCs w:val="52"/>
        </w:rPr>
      </w:pPr>
    </w:p>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 w:rsidR="000C3BE7" w:rsidRDefault="000C3BE7">
      <w:pPr>
        <w:spacing w:line="580" w:lineRule="exact"/>
      </w:pPr>
      <w:r>
        <w:br w:type="page"/>
      </w:r>
    </w:p>
    <w:p w:rsidR="000C3BE7" w:rsidRDefault="000C3BE7">
      <w:pPr>
        <w:spacing w:line="580" w:lineRule="exact"/>
        <w:jc w:val="center"/>
        <w:rPr>
          <w:rFonts w:ascii="黑体" w:eastAsia="黑体"/>
          <w:sz w:val="44"/>
          <w:szCs w:val="44"/>
        </w:rPr>
      </w:pPr>
      <w:r>
        <w:rPr>
          <w:rFonts w:ascii="黑体" w:eastAsia="黑体" w:hint="eastAsia"/>
          <w:sz w:val="44"/>
          <w:szCs w:val="44"/>
        </w:rPr>
        <w:lastRenderedPageBreak/>
        <w:t>目  录</w:t>
      </w:r>
    </w:p>
    <w:p w:rsidR="000C3BE7" w:rsidRDefault="000C3BE7">
      <w:pPr>
        <w:spacing w:line="580" w:lineRule="exact"/>
        <w:jc w:val="center"/>
        <w:rPr>
          <w:rFonts w:ascii="黑体" w:eastAsia="黑体"/>
          <w:sz w:val="44"/>
          <w:szCs w:val="44"/>
        </w:rPr>
      </w:pPr>
    </w:p>
    <w:p w:rsidR="000C3BE7" w:rsidRDefault="000C3BE7">
      <w:pPr>
        <w:spacing w:line="560" w:lineRule="exact"/>
        <w:jc w:val="center"/>
        <w:rPr>
          <w:rFonts w:ascii="黑体" w:eastAsia="黑体"/>
          <w:sz w:val="44"/>
          <w:szCs w:val="44"/>
        </w:rPr>
      </w:pPr>
    </w:p>
    <w:p w:rsidR="000C3BE7" w:rsidRDefault="000C3BE7">
      <w:pPr>
        <w:spacing w:line="560" w:lineRule="exact"/>
        <w:rPr>
          <w:rFonts w:ascii="黑体" w:eastAsia="黑体"/>
          <w:sz w:val="36"/>
          <w:szCs w:val="36"/>
        </w:rPr>
      </w:pPr>
      <w:r>
        <w:rPr>
          <w:rFonts w:ascii="黑体" w:eastAsia="黑体" w:hint="eastAsia"/>
          <w:sz w:val="36"/>
          <w:szCs w:val="36"/>
        </w:rPr>
        <w:t>第一部分 青岛市行政审批服务局单位概况</w:t>
      </w:r>
    </w:p>
    <w:p w:rsidR="000C3BE7" w:rsidRDefault="000C3BE7">
      <w:pPr>
        <w:spacing w:line="560" w:lineRule="exact"/>
        <w:ind w:left="640"/>
        <w:rPr>
          <w:rFonts w:ascii="仿宋_GB2312" w:eastAsia="仿宋_GB2312"/>
          <w:sz w:val="32"/>
          <w:szCs w:val="32"/>
        </w:rPr>
      </w:pPr>
      <w:r>
        <w:rPr>
          <w:rFonts w:ascii="仿宋_GB2312" w:eastAsia="仿宋_GB2312" w:hint="eastAsia"/>
          <w:sz w:val="32"/>
          <w:szCs w:val="32"/>
        </w:rPr>
        <w:t>一、主要职能</w:t>
      </w:r>
    </w:p>
    <w:p w:rsidR="000C3BE7" w:rsidRDefault="000C3BE7">
      <w:pPr>
        <w:spacing w:line="560" w:lineRule="exact"/>
        <w:ind w:left="640"/>
        <w:rPr>
          <w:rFonts w:ascii="仿宋_GB2312" w:eastAsia="仿宋_GB2312"/>
          <w:sz w:val="32"/>
          <w:szCs w:val="32"/>
        </w:rPr>
      </w:pPr>
      <w:r>
        <w:rPr>
          <w:rFonts w:ascii="仿宋_GB2312" w:eastAsia="仿宋_GB2312" w:hint="eastAsia"/>
          <w:sz w:val="32"/>
          <w:szCs w:val="32"/>
        </w:rPr>
        <w:t>二、机构设置</w:t>
      </w:r>
    </w:p>
    <w:p w:rsidR="000C3BE7" w:rsidRDefault="000C3BE7">
      <w:pPr>
        <w:spacing w:line="560" w:lineRule="exact"/>
        <w:rPr>
          <w:rFonts w:ascii="黑体" w:eastAsia="黑体"/>
          <w:sz w:val="36"/>
          <w:szCs w:val="36"/>
        </w:rPr>
      </w:pPr>
      <w:r>
        <w:rPr>
          <w:rFonts w:ascii="黑体" w:eastAsia="黑体" w:hint="eastAsia"/>
          <w:sz w:val="36"/>
          <w:szCs w:val="36"/>
        </w:rPr>
        <w:t>第二部分 青岛市行政审批服务局2023年单位预算表</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一、2023年单位预算收支总表</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二、2023年单位预算收入总表</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三、2023年单位预算支出总表</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四、2023年单位预算财政拨款收支总表</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五、2023年一般公共预算财政拨款支出表</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六、2023年一般公共预算基本支出表（部门经济分类）</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七、2023年一般公共预算基本支出表（政府经济分类）</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八、2023年政府性基金预算财政拨款支出表</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九、2023年单位预算财政拨款“三公”经费预算表</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十、2023年政府采购预算表</w:t>
      </w:r>
    </w:p>
    <w:p w:rsidR="000C3BE7" w:rsidRDefault="000C3BE7">
      <w:pPr>
        <w:spacing w:line="560" w:lineRule="exact"/>
        <w:ind w:left="1602" w:hangingChars="445" w:hanging="1602"/>
        <w:rPr>
          <w:rFonts w:ascii="黑体" w:eastAsia="黑体"/>
          <w:sz w:val="36"/>
          <w:szCs w:val="36"/>
        </w:rPr>
      </w:pPr>
      <w:r>
        <w:rPr>
          <w:rFonts w:ascii="黑体" w:eastAsia="黑体" w:hint="eastAsia"/>
          <w:sz w:val="36"/>
          <w:szCs w:val="36"/>
        </w:rPr>
        <w:t>第三部分 青岛市行政审批服务局2023年单位预算情况和重要事项说明</w:t>
      </w:r>
    </w:p>
    <w:p w:rsidR="000C3BE7" w:rsidRDefault="000C3BE7">
      <w:pPr>
        <w:spacing w:line="560" w:lineRule="exact"/>
        <w:ind w:left="1602" w:hangingChars="445" w:hanging="1602"/>
        <w:rPr>
          <w:rFonts w:ascii="黑体" w:eastAsia="黑体"/>
          <w:sz w:val="36"/>
          <w:szCs w:val="36"/>
        </w:rPr>
      </w:pPr>
      <w:r>
        <w:rPr>
          <w:rFonts w:ascii="黑体" w:eastAsia="黑体" w:hint="eastAsia"/>
          <w:sz w:val="36"/>
          <w:szCs w:val="36"/>
        </w:rPr>
        <w:t>第四部分 名词解释</w:t>
      </w:r>
    </w:p>
    <w:p w:rsidR="000C3BE7" w:rsidRDefault="000C3BE7">
      <w:pPr>
        <w:spacing w:line="580" w:lineRule="exact"/>
        <w:ind w:left="1602" w:hangingChars="445" w:hanging="1602"/>
        <w:rPr>
          <w:rFonts w:ascii="黑体" w:eastAsia="黑体"/>
          <w:sz w:val="36"/>
          <w:szCs w:val="36"/>
        </w:rPr>
      </w:pPr>
      <w:r>
        <w:rPr>
          <w:rFonts w:ascii="黑体" w:eastAsia="黑体" w:hint="eastAsia"/>
          <w:sz w:val="36"/>
          <w:szCs w:val="36"/>
        </w:rPr>
        <w:t xml:space="preserve"> </w:t>
      </w:r>
    </w:p>
    <w:p w:rsidR="000C3BE7" w:rsidRDefault="000C3BE7">
      <w:pPr>
        <w:rPr>
          <w:rFonts w:ascii="黑体" w:eastAsia="黑体"/>
          <w:b/>
          <w:sz w:val="48"/>
          <w:szCs w:val="48"/>
        </w:rPr>
      </w:pPr>
    </w:p>
    <w:p w:rsidR="000C3BE7" w:rsidRDefault="000C3BE7">
      <w:pPr>
        <w:rPr>
          <w:rFonts w:ascii="黑体" w:eastAsia="黑体"/>
          <w:b/>
          <w:sz w:val="48"/>
          <w:szCs w:val="48"/>
        </w:rPr>
      </w:pPr>
    </w:p>
    <w:p w:rsidR="000C3BE7" w:rsidRDefault="000C3BE7">
      <w:pPr>
        <w:rPr>
          <w:rFonts w:ascii="黑体" w:eastAsia="黑体"/>
          <w:b/>
          <w:sz w:val="48"/>
          <w:szCs w:val="48"/>
        </w:rPr>
      </w:pPr>
    </w:p>
    <w:p w:rsidR="000C3BE7" w:rsidRDefault="000C3BE7">
      <w:pPr>
        <w:rPr>
          <w:rFonts w:ascii="黑体" w:eastAsia="黑体"/>
          <w:b/>
          <w:sz w:val="48"/>
          <w:szCs w:val="48"/>
        </w:rPr>
      </w:pPr>
    </w:p>
    <w:p w:rsidR="000C3BE7" w:rsidRDefault="000C3BE7">
      <w:pPr>
        <w:spacing w:line="580" w:lineRule="exact"/>
        <w:ind w:left="1602" w:hangingChars="445" w:hanging="1602"/>
        <w:rPr>
          <w:rFonts w:ascii="黑体" w:eastAsia="黑体"/>
          <w:sz w:val="36"/>
          <w:szCs w:val="36"/>
        </w:rPr>
      </w:pPr>
    </w:p>
    <w:p w:rsidR="000C3BE7" w:rsidRDefault="000C3BE7">
      <w:pPr>
        <w:rPr>
          <w:rFonts w:ascii="黑体" w:eastAsia="黑体"/>
          <w:sz w:val="52"/>
          <w:szCs w:val="52"/>
        </w:rPr>
      </w:pPr>
      <w:r>
        <w:rPr>
          <w:rFonts w:ascii="黑体" w:eastAsia="黑体" w:hint="eastAsia"/>
          <w:sz w:val="52"/>
          <w:szCs w:val="52"/>
        </w:rPr>
        <w:t>第一部分</w:t>
      </w:r>
    </w:p>
    <w:p w:rsidR="000C3BE7" w:rsidRDefault="000C3BE7">
      <w:pPr>
        <w:ind w:firstLineChars="200" w:firstLine="1040"/>
        <w:rPr>
          <w:rFonts w:ascii="黑体" w:eastAsia="黑体"/>
          <w:sz w:val="52"/>
          <w:szCs w:val="52"/>
        </w:rPr>
      </w:pPr>
    </w:p>
    <w:p w:rsidR="000C3BE7" w:rsidRDefault="000C3BE7">
      <w:pPr>
        <w:ind w:firstLineChars="200" w:firstLine="1040"/>
        <w:rPr>
          <w:rFonts w:ascii="黑体" w:eastAsia="黑体"/>
          <w:sz w:val="52"/>
          <w:szCs w:val="52"/>
        </w:rPr>
      </w:pPr>
    </w:p>
    <w:p w:rsidR="000C3BE7" w:rsidRDefault="000C3BE7">
      <w:pPr>
        <w:ind w:firstLineChars="200" w:firstLine="1040"/>
        <w:rPr>
          <w:rFonts w:ascii="黑体" w:eastAsia="黑体"/>
          <w:sz w:val="52"/>
          <w:szCs w:val="52"/>
        </w:rPr>
      </w:pPr>
    </w:p>
    <w:p w:rsidR="000C3BE7" w:rsidRDefault="000C3BE7">
      <w:pPr>
        <w:jc w:val="center"/>
        <w:rPr>
          <w:rFonts w:ascii="黑体" w:eastAsia="黑体"/>
          <w:sz w:val="52"/>
          <w:szCs w:val="52"/>
        </w:rPr>
      </w:pPr>
    </w:p>
    <w:p w:rsidR="000C3BE7" w:rsidRDefault="000C3BE7">
      <w:pPr>
        <w:jc w:val="center"/>
        <w:rPr>
          <w:rFonts w:ascii="黑体" w:eastAsia="黑体"/>
          <w:sz w:val="52"/>
          <w:szCs w:val="52"/>
        </w:rPr>
      </w:pPr>
      <w:r>
        <w:rPr>
          <w:rFonts w:ascii="黑体" w:eastAsia="黑体" w:hint="eastAsia"/>
          <w:sz w:val="52"/>
          <w:szCs w:val="52"/>
        </w:rPr>
        <w:t>青岛市行政审批服务局单位概况</w:t>
      </w:r>
    </w:p>
    <w:p w:rsidR="000C3BE7" w:rsidRDefault="000C3BE7">
      <w:pPr>
        <w:rPr>
          <w:rFonts w:ascii="黑体" w:eastAsia="黑体"/>
          <w:b/>
          <w:sz w:val="36"/>
          <w:szCs w:val="36"/>
        </w:rPr>
      </w:pPr>
    </w:p>
    <w:p w:rsidR="000C3BE7" w:rsidRDefault="000C3BE7">
      <w:pPr>
        <w:rPr>
          <w:rFonts w:ascii="黑体" w:eastAsia="黑体"/>
          <w:b/>
          <w:sz w:val="36"/>
          <w:szCs w:val="36"/>
        </w:rPr>
      </w:pPr>
    </w:p>
    <w:p w:rsidR="000C3BE7" w:rsidRDefault="000C3BE7">
      <w:pPr>
        <w:rPr>
          <w:rFonts w:ascii="黑体" w:eastAsia="黑体"/>
          <w:b/>
          <w:sz w:val="36"/>
          <w:szCs w:val="36"/>
        </w:rPr>
      </w:pPr>
    </w:p>
    <w:p w:rsidR="000C3BE7" w:rsidRDefault="000C3BE7">
      <w:pPr>
        <w:rPr>
          <w:rFonts w:ascii="黑体" w:eastAsia="黑体"/>
          <w:b/>
          <w:sz w:val="36"/>
          <w:szCs w:val="36"/>
        </w:rPr>
      </w:pPr>
    </w:p>
    <w:p w:rsidR="000C3BE7" w:rsidRDefault="000C3BE7">
      <w:pPr>
        <w:rPr>
          <w:rFonts w:ascii="黑体" w:eastAsia="黑体"/>
          <w:b/>
          <w:sz w:val="36"/>
          <w:szCs w:val="36"/>
        </w:rPr>
      </w:pPr>
    </w:p>
    <w:p w:rsidR="000C3BE7" w:rsidRDefault="000C3BE7">
      <w:pPr>
        <w:rPr>
          <w:rFonts w:ascii="黑体" w:eastAsia="黑体"/>
          <w:b/>
          <w:sz w:val="36"/>
          <w:szCs w:val="36"/>
        </w:rPr>
      </w:pPr>
    </w:p>
    <w:p w:rsidR="000C3BE7" w:rsidRDefault="000C3BE7">
      <w:pPr>
        <w:rPr>
          <w:rFonts w:ascii="黑体" w:eastAsia="黑体"/>
          <w:b/>
          <w:sz w:val="36"/>
          <w:szCs w:val="36"/>
        </w:rPr>
      </w:pPr>
    </w:p>
    <w:p w:rsidR="000C3BE7" w:rsidRDefault="000C3BE7">
      <w:pPr>
        <w:rPr>
          <w:rFonts w:ascii="黑体" w:eastAsia="黑体"/>
          <w:b/>
          <w:sz w:val="36"/>
          <w:szCs w:val="36"/>
        </w:rPr>
      </w:pPr>
    </w:p>
    <w:p w:rsidR="00586448" w:rsidRPr="00586448" w:rsidRDefault="00586448">
      <w:pPr>
        <w:rPr>
          <w:rFonts w:ascii="黑体" w:eastAsia="黑体"/>
          <w:b/>
          <w:sz w:val="36"/>
          <w:szCs w:val="36"/>
        </w:rPr>
      </w:pPr>
    </w:p>
    <w:p w:rsidR="000C3BE7" w:rsidRDefault="000C3BE7">
      <w:pPr>
        <w:spacing w:line="580" w:lineRule="exact"/>
        <w:ind w:firstLine="645"/>
        <w:rPr>
          <w:rFonts w:ascii="黑体" w:eastAsia="黑体"/>
          <w:sz w:val="32"/>
          <w:szCs w:val="32"/>
        </w:rPr>
      </w:pPr>
      <w:r>
        <w:rPr>
          <w:rFonts w:ascii="黑体" w:eastAsia="黑体" w:hint="eastAsia"/>
          <w:sz w:val="32"/>
          <w:szCs w:val="32"/>
        </w:rPr>
        <w:lastRenderedPageBreak/>
        <w:t>一、主要职能</w:t>
      </w:r>
    </w:p>
    <w:p w:rsidR="000C3BE7" w:rsidRDefault="000C3BE7">
      <w:pPr>
        <w:spacing w:line="580" w:lineRule="exact"/>
        <w:ind w:firstLineChars="200" w:firstLine="640"/>
        <w:rPr>
          <w:rFonts w:ascii="仿宋_GB2312" w:eastAsia="仿宋_GB2312"/>
          <w:sz w:val="32"/>
          <w:szCs w:val="32"/>
        </w:rPr>
      </w:pPr>
      <w:r>
        <w:rPr>
          <w:rFonts w:ascii="仿宋_GB2312" w:eastAsia="仿宋_GB2312" w:hint="eastAsia"/>
          <w:sz w:val="32"/>
          <w:szCs w:val="32"/>
        </w:rPr>
        <w:t>（1）贯彻执行行政审批以及有关政务服务、公共资源交易工作法律法规和方针政策,起草相关政府规章草案,拟订发展规划和政策措施并组织实施。</w:t>
      </w:r>
    </w:p>
    <w:p w:rsidR="000C3BE7" w:rsidRDefault="000C3BE7">
      <w:pPr>
        <w:spacing w:line="580" w:lineRule="exact"/>
        <w:ind w:firstLineChars="200" w:firstLine="640"/>
        <w:rPr>
          <w:rFonts w:ascii="仿宋_GB2312" w:eastAsia="仿宋_GB2312"/>
          <w:sz w:val="32"/>
          <w:szCs w:val="32"/>
        </w:rPr>
      </w:pPr>
      <w:r>
        <w:rPr>
          <w:rFonts w:ascii="仿宋_GB2312" w:eastAsia="仿宋_GB2312" w:hint="eastAsia"/>
          <w:sz w:val="32"/>
          <w:szCs w:val="32"/>
        </w:rPr>
        <w:t>（2）负责实施权限内行政审批以及有关政务服务。负责审批服务标准化工作,编制审批服务事项目录、办事指南并向社会公开。负责权限内审批服务事项的办理,并承担相应的法律责任。负责承接、取消、下放国务院和省政府、市政府决定取消、下放的有关审批服务事项,建立并实施审批服务事项考核评价机制,对依法需要现场踏勘、审图和验收的事项,会同有关职能部门根据法律法规规章和相关行业标准制定实施办法并组织实施。</w:t>
      </w:r>
    </w:p>
    <w:p w:rsidR="000C3BE7" w:rsidRDefault="000C3BE7">
      <w:pPr>
        <w:spacing w:line="580" w:lineRule="exact"/>
        <w:ind w:firstLineChars="200" w:firstLine="640"/>
        <w:rPr>
          <w:rFonts w:ascii="仿宋_GB2312" w:eastAsia="仿宋_GB2312"/>
          <w:sz w:val="32"/>
          <w:szCs w:val="32"/>
        </w:rPr>
      </w:pPr>
      <w:r>
        <w:rPr>
          <w:rFonts w:ascii="仿宋_GB2312" w:eastAsia="仿宋_GB2312" w:hint="eastAsia"/>
          <w:sz w:val="32"/>
          <w:szCs w:val="32"/>
        </w:rPr>
        <w:t>（3）负责对进驻市政务服务和公共资源交易大厅的行政审批以及有关政务服务事务进行管理。优化审批服务事项流程,规划调整入驻大厅的部门(单位)、审批服务事项和工作布局。对进驻大厅部门的审批服务工作进行业务指导,对进驻人员进行管理考核。协调、督促重大项目和联合审批事项的办理。负责市政务服务和公共资源交易大厅以及分支机构的管理维护和安全运行等工作。指导市直有关部门、区(市)、功能区审批服务工作。</w:t>
      </w:r>
    </w:p>
    <w:p w:rsidR="000C3BE7" w:rsidRDefault="000C3BE7">
      <w:pPr>
        <w:spacing w:line="580" w:lineRule="exact"/>
        <w:ind w:firstLineChars="200" w:firstLine="640"/>
        <w:rPr>
          <w:rFonts w:ascii="仿宋_GB2312" w:eastAsia="仿宋_GB2312"/>
          <w:sz w:val="32"/>
          <w:szCs w:val="32"/>
        </w:rPr>
      </w:pPr>
      <w:r>
        <w:rPr>
          <w:rFonts w:ascii="仿宋_GB2312" w:eastAsia="仿宋_GB2312" w:hint="eastAsia"/>
          <w:sz w:val="32"/>
          <w:szCs w:val="32"/>
        </w:rPr>
        <w:t>（4）建立行政审批以及有关政务服务工作协调机制。承担市行政审批服务工作领导小组日常工作,负责拟订行政审批以及有关政务服务工作规划计划并组织实施,协调与其他审批部门、监管部门、执法机构之间的关系。研究解决工作中的重点难点问题,建立业务协同、审管互动、责任追究等工作机制。研究提出</w:t>
      </w:r>
      <w:r>
        <w:rPr>
          <w:rFonts w:ascii="仿宋_GB2312" w:eastAsia="仿宋_GB2312" w:hint="eastAsia"/>
          <w:sz w:val="32"/>
          <w:szCs w:val="32"/>
        </w:rPr>
        <w:lastRenderedPageBreak/>
        <w:t>规范划转行政许可事项、提高审批服务集中办理质量和效率等政策措施,研究解决现场踏勘、审图和验收等环节的衔接措施。推进落实商事制度改革。</w:t>
      </w:r>
    </w:p>
    <w:p w:rsidR="000C3BE7" w:rsidRDefault="000C3BE7">
      <w:pPr>
        <w:spacing w:line="580" w:lineRule="exact"/>
        <w:ind w:firstLineChars="200" w:firstLine="640"/>
        <w:rPr>
          <w:rFonts w:ascii="仿宋_GB2312" w:eastAsia="仿宋_GB2312"/>
          <w:sz w:val="32"/>
          <w:szCs w:val="32"/>
        </w:rPr>
      </w:pPr>
      <w:r>
        <w:rPr>
          <w:rFonts w:ascii="仿宋_GB2312" w:eastAsia="仿宋_GB2312" w:hint="eastAsia"/>
          <w:sz w:val="32"/>
          <w:szCs w:val="32"/>
        </w:rPr>
        <w:t>（5）负责公共资源交易工作。拟订公共资源交易制度、交易目录、服务流程和标准并组织实施。规划调整入驻市政务服务和公共资源交易大厅的部门(单位)、公共资源交易事项和工作布局。负责进驻大厅部门的公共资源交易工作,对进驻人员进行管理考核。负责全市统一的公共资源交易平台管理维护和安全运行等工作,指导区(市)、功能区公共资源交易相关工作。承担市公共资源交易管理工作联席会议日常工作。</w:t>
      </w:r>
    </w:p>
    <w:p w:rsidR="000C3BE7" w:rsidRDefault="000C3BE7">
      <w:pPr>
        <w:spacing w:line="580" w:lineRule="exact"/>
        <w:ind w:firstLineChars="200" w:firstLine="640"/>
        <w:rPr>
          <w:rFonts w:ascii="仿宋_GB2312" w:eastAsia="仿宋_GB2312"/>
          <w:sz w:val="32"/>
          <w:szCs w:val="32"/>
        </w:rPr>
      </w:pPr>
      <w:r>
        <w:rPr>
          <w:rFonts w:ascii="仿宋_GB2312" w:eastAsia="仿宋_GB2312" w:hint="eastAsia"/>
          <w:sz w:val="32"/>
          <w:szCs w:val="32"/>
        </w:rPr>
        <w:t>（6）加强审批服务和公共资源交易信息化建设。负责推进审批服务和公共资源交易网络便捷办理,会同有关部门推进与国家、省级政务服务系统和电子交易公共服务系统的互联互通工作。推动建立审批服务和公共资源交易工作的信用体系,健全完善信息公开、信息安全、资源共享、社会评价等制度。</w:t>
      </w:r>
    </w:p>
    <w:p w:rsidR="000C3BE7" w:rsidRDefault="000C3BE7">
      <w:pPr>
        <w:spacing w:line="580" w:lineRule="exact"/>
        <w:ind w:firstLineChars="200" w:firstLine="640"/>
        <w:rPr>
          <w:rFonts w:ascii="仿宋_GB2312" w:eastAsia="仿宋_GB2312"/>
          <w:sz w:val="32"/>
          <w:szCs w:val="32"/>
        </w:rPr>
      </w:pPr>
      <w:r>
        <w:rPr>
          <w:rFonts w:ascii="仿宋_GB2312" w:eastAsia="仿宋_GB2312" w:hint="eastAsia"/>
          <w:sz w:val="32"/>
          <w:szCs w:val="32"/>
        </w:rPr>
        <w:t>（7）完成市委、市政府交办的其他任务。</w:t>
      </w:r>
    </w:p>
    <w:p w:rsidR="000C3BE7" w:rsidRDefault="000C3BE7" w:rsidP="004B084C">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8）职能转变。1.按照党中央、国务院关于转变政府职能、深化放管服改革,深入推进审批服务便民化的决策部署,认真落实省委、省政府和市委、市政府深化“一次办好”和推进相对集中行政许可权改革的要求,组织推进本系统转变政府职能。创新审批服务方式,着眼于为企业和群众提供规范、便捷、透明、优质、高效的审批服务,整合优化审批服务机构和职责,实行“一枚印章管审批”;全面推行审批服务“马上办、网上办、就近办、</w:t>
      </w:r>
      <w:r>
        <w:rPr>
          <w:rFonts w:ascii="仿宋_GB2312" w:eastAsia="仿宋_GB2312" w:hAnsi="宋体" w:cs="Courier New" w:hint="eastAsia"/>
          <w:sz w:val="32"/>
          <w:szCs w:val="32"/>
        </w:rPr>
        <w:lastRenderedPageBreak/>
        <w:t>一次办”,提高行政审批效率;深入推进审批服务标准化,编制公开审批服务事项目录指南,增强行政审批透明度,不断优化干事创业和营商环境。2.深化公共资源交易平台整合共享,坚持应尽必进、统一规范、公开透明、高效服务原则,加快推进平台交易全覆盖,完善分类统一的交易制度规则、技术标准、数据规范,推动公共资源阳光交易,着力提高公共资源交易效率和公平性。</w:t>
      </w:r>
    </w:p>
    <w:p w:rsidR="000C3BE7" w:rsidRDefault="000C3BE7" w:rsidP="004B084C">
      <w:pPr>
        <w:spacing w:line="580" w:lineRule="exact"/>
        <w:ind w:firstLineChars="200" w:firstLine="640"/>
        <w:rPr>
          <w:rFonts w:ascii="黑体" w:eastAsia="黑体"/>
          <w:b/>
          <w:sz w:val="30"/>
          <w:szCs w:val="30"/>
        </w:rPr>
      </w:pPr>
      <w:r>
        <w:rPr>
          <w:rFonts w:ascii="仿宋_GB2312" w:eastAsia="仿宋_GB2312" w:hAnsi="宋体" w:cs="Courier New" w:hint="eastAsia"/>
          <w:sz w:val="32"/>
          <w:szCs w:val="32"/>
        </w:rPr>
        <w:t>（9）有关职责分工。市行政审批局和审批服务事项划出部门应当坚持“谁审批谁负责、谁主管谁监管”的原则,按照《中共青岛市委办公厅、青岛市人民政府办公厅印发〈关于推进相对集中行政许可权改革组建青岛市行政审批服务局改革方案〉的通知》文件执行。市行政审批局对划转的行政许可和相关政务服务事项,依法履行职责,并对行政审批行为承担相应的法律责任;履行市行政审批服务工作领导小组办公室职责,牵头建立完善协调与其他审批部门、监管部门、执法机构的关系,研究解决现场踏勘、审图验收等环节的衔接措施。审批服务事项划出部门应当全方位做好监管工作,突出加强事中事后监管,依法对市行政审批局实施的审批行为和行政相对人行使行政许可权利进行监督,依法确定和调整行政审批实施所需的审批条件、技术标准等审批规范,明确行政相对人行使行政许可权利的要求、规则和限制性规定等,及时调整和完善行政权力清单、责任清单,严格落实监管职责。各部门应当加强衔接配合,决不允许推卸责任、决不允许出现监管空白。</w:t>
      </w:r>
    </w:p>
    <w:p w:rsidR="0030454E" w:rsidRDefault="0030454E" w:rsidP="004B084C">
      <w:pPr>
        <w:spacing w:line="580" w:lineRule="exact"/>
        <w:ind w:firstLine="645"/>
        <w:rPr>
          <w:rFonts w:ascii="黑体" w:eastAsia="黑体"/>
          <w:sz w:val="32"/>
          <w:szCs w:val="32"/>
        </w:rPr>
      </w:pPr>
    </w:p>
    <w:p w:rsidR="000C3BE7" w:rsidRDefault="000C3BE7" w:rsidP="004B084C">
      <w:pPr>
        <w:spacing w:line="580" w:lineRule="exact"/>
        <w:ind w:firstLine="645"/>
        <w:rPr>
          <w:rFonts w:ascii="黑体" w:eastAsia="黑体"/>
          <w:sz w:val="32"/>
          <w:szCs w:val="32"/>
        </w:rPr>
      </w:pPr>
      <w:r>
        <w:rPr>
          <w:rFonts w:ascii="黑体" w:eastAsia="黑体" w:hint="eastAsia"/>
          <w:sz w:val="32"/>
          <w:szCs w:val="32"/>
        </w:rPr>
        <w:lastRenderedPageBreak/>
        <w:t>二、机构设置</w:t>
      </w:r>
    </w:p>
    <w:p w:rsidR="000C3BE7" w:rsidRDefault="000C3BE7" w:rsidP="004B084C">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根据中共青岛市委办公厅青岛市人民政府办公厅关于印发《青岛市行政审批服务局职能配置、内设机构和人员编制规定》的通知（青厅字〔2019〕31号），</w:t>
      </w:r>
      <w:r>
        <w:rPr>
          <w:rFonts w:ascii="仿宋_GB2312" w:eastAsia="仿宋_GB2312" w:hint="eastAsia"/>
          <w:color w:val="000000"/>
          <w:sz w:val="32"/>
          <w:szCs w:val="32"/>
        </w:rPr>
        <w:t>青岛市行政审批服务局</w:t>
      </w:r>
      <w:r>
        <w:rPr>
          <w:rFonts w:ascii="仿宋_GB2312" w:eastAsia="仿宋_GB2312" w:hAnsi="仿宋_GB2312" w:hint="eastAsia"/>
          <w:color w:val="000000"/>
          <w:sz w:val="32"/>
          <w:szCs w:val="32"/>
        </w:rPr>
        <w:t>单位规格为正局级，单位性质是行政单位</w:t>
      </w:r>
      <w:r>
        <w:rPr>
          <w:rFonts w:ascii="仿宋_GB2312" w:eastAsia="仿宋_GB2312" w:hint="eastAsia"/>
          <w:color w:val="000000"/>
          <w:sz w:val="32"/>
          <w:szCs w:val="32"/>
        </w:rPr>
        <w:t>，独立编制单位机构数1个，独立核算财政补助事业机构数1个。</w:t>
      </w:r>
    </w:p>
    <w:p w:rsidR="000C3BE7" w:rsidRDefault="000C3BE7" w:rsidP="004B084C">
      <w:pPr>
        <w:spacing w:line="560" w:lineRule="exact"/>
        <w:ind w:firstLineChars="200" w:firstLine="640"/>
        <w:rPr>
          <w:rFonts w:ascii="仿宋_GB2312" w:eastAsia="仿宋_GB2312" w:hAnsi="宋体" w:cs="Courier New"/>
          <w:sz w:val="32"/>
          <w:szCs w:val="32"/>
        </w:rPr>
      </w:pPr>
      <w:r>
        <w:rPr>
          <w:rFonts w:ascii="仿宋_GB2312" w:eastAsia="仿宋_GB2312" w:hint="eastAsia"/>
          <w:color w:val="000000"/>
          <w:sz w:val="32"/>
          <w:szCs w:val="32"/>
        </w:rPr>
        <w:t>根据</w:t>
      </w:r>
      <w:r>
        <w:rPr>
          <w:rFonts w:ascii="仿宋_GB2312" w:eastAsia="仿宋_GB2312" w:hint="eastAsia"/>
          <w:sz w:val="32"/>
          <w:szCs w:val="32"/>
        </w:rPr>
        <w:t>《关于调整市行政审批局内设机构优化流程再造的批复》（青编办字〔2021〕123号）</w:t>
      </w:r>
      <w:r>
        <w:rPr>
          <w:rFonts w:ascii="仿宋_GB2312" w:eastAsia="仿宋_GB2312" w:hAnsi="宋体" w:cs="Courier New" w:hint="eastAsia"/>
          <w:sz w:val="32"/>
          <w:szCs w:val="32"/>
        </w:rPr>
        <w:t>部门内设机构共12个，分别为：</w:t>
      </w:r>
      <w:r>
        <w:rPr>
          <w:rFonts w:ascii="仿宋_GB2312" w:eastAsia="仿宋_GB2312" w:hAnsi="等线" w:hint="eastAsia"/>
          <w:color w:val="000000"/>
          <w:sz w:val="32"/>
          <w:szCs w:val="32"/>
        </w:rPr>
        <w:t>办公室、人事处、政策法规处、改革推进处（挂政务服务体系建设处牌子）、行政审批服务一处至六处、公共资源交易管理处、数字平台建设处。</w:t>
      </w:r>
    </w:p>
    <w:p w:rsidR="000C3BE7" w:rsidRDefault="000C3BE7" w:rsidP="004B084C">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按规定设置机关党委。</w:t>
      </w:r>
    </w:p>
    <w:p w:rsidR="000C3BE7" w:rsidRDefault="000C3BE7" w:rsidP="004B084C">
      <w:pPr>
        <w:spacing w:line="580" w:lineRule="exact"/>
        <w:ind w:firstLine="645"/>
        <w:rPr>
          <w:rFonts w:ascii="黑体" w:eastAsia="黑体"/>
          <w:sz w:val="32"/>
          <w:szCs w:val="32"/>
        </w:rPr>
      </w:pPr>
    </w:p>
    <w:p w:rsidR="000C3BE7" w:rsidRDefault="000C3BE7" w:rsidP="004B084C">
      <w:pPr>
        <w:spacing w:line="580" w:lineRule="exact"/>
        <w:ind w:firstLine="645"/>
        <w:rPr>
          <w:rFonts w:ascii="黑体" w:eastAsia="黑体"/>
          <w:sz w:val="32"/>
          <w:szCs w:val="32"/>
        </w:rPr>
      </w:pPr>
    </w:p>
    <w:p w:rsidR="000C3BE7" w:rsidRDefault="000C3BE7" w:rsidP="004B084C">
      <w:pPr>
        <w:spacing w:line="580" w:lineRule="exact"/>
        <w:ind w:firstLine="645"/>
        <w:rPr>
          <w:rFonts w:ascii="黑体" w:eastAsia="黑体"/>
          <w:sz w:val="32"/>
          <w:szCs w:val="32"/>
        </w:rPr>
      </w:pPr>
    </w:p>
    <w:p w:rsidR="000C3BE7" w:rsidRDefault="000C3BE7" w:rsidP="004B084C">
      <w:pPr>
        <w:spacing w:line="580" w:lineRule="exact"/>
        <w:ind w:firstLine="645"/>
        <w:rPr>
          <w:rFonts w:ascii="黑体" w:eastAsia="黑体"/>
          <w:sz w:val="32"/>
          <w:szCs w:val="32"/>
        </w:rPr>
      </w:pPr>
    </w:p>
    <w:p w:rsidR="000C3BE7" w:rsidRDefault="000C3BE7" w:rsidP="004B084C">
      <w:pPr>
        <w:spacing w:line="580" w:lineRule="exact"/>
        <w:ind w:firstLine="645"/>
        <w:rPr>
          <w:rFonts w:ascii="黑体" w:eastAsia="黑体"/>
          <w:sz w:val="32"/>
          <w:szCs w:val="32"/>
        </w:rPr>
      </w:pPr>
    </w:p>
    <w:p w:rsidR="000C3BE7" w:rsidRDefault="000C3BE7" w:rsidP="004B084C">
      <w:pPr>
        <w:spacing w:line="580" w:lineRule="exact"/>
        <w:ind w:firstLine="645"/>
        <w:rPr>
          <w:rFonts w:ascii="黑体" w:eastAsia="黑体"/>
          <w:sz w:val="32"/>
          <w:szCs w:val="32"/>
        </w:rPr>
      </w:pPr>
    </w:p>
    <w:p w:rsidR="000C3BE7" w:rsidRDefault="000C3BE7" w:rsidP="004B084C">
      <w:pPr>
        <w:spacing w:line="580" w:lineRule="exact"/>
        <w:ind w:firstLine="645"/>
        <w:rPr>
          <w:rFonts w:ascii="黑体" w:eastAsia="黑体"/>
          <w:sz w:val="32"/>
          <w:szCs w:val="32"/>
        </w:rPr>
      </w:pPr>
    </w:p>
    <w:p w:rsidR="000C3BE7" w:rsidRDefault="000C3BE7" w:rsidP="004B084C">
      <w:pPr>
        <w:rPr>
          <w:rFonts w:ascii="黑体" w:eastAsia="黑体"/>
          <w:b/>
          <w:sz w:val="48"/>
          <w:szCs w:val="48"/>
        </w:rPr>
      </w:pPr>
      <w:r>
        <w:rPr>
          <w:rFonts w:ascii="黑体" w:eastAsia="黑体" w:hint="eastAsia"/>
          <w:b/>
          <w:sz w:val="48"/>
          <w:szCs w:val="48"/>
        </w:rPr>
        <w:br w:type="page"/>
      </w:r>
    </w:p>
    <w:p w:rsidR="000C3BE7" w:rsidRDefault="000C3BE7">
      <w:pPr>
        <w:rPr>
          <w:rFonts w:ascii="黑体" w:eastAsia="黑体"/>
          <w:b/>
          <w:sz w:val="48"/>
          <w:szCs w:val="48"/>
        </w:rPr>
      </w:pPr>
    </w:p>
    <w:p w:rsidR="000C3BE7" w:rsidRDefault="000C3BE7">
      <w:pPr>
        <w:rPr>
          <w:rFonts w:ascii="黑体" w:eastAsia="黑体"/>
          <w:b/>
          <w:sz w:val="48"/>
          <w:szCs w:val="48"/>
        </w:rPr>
      </w:pPr>
    </w:p>
    <w:p w:rsidR="00E34C1E" w:rsidRDefault="00E34C1E">
      <w:pPr>
        <w:rPr>
          <w:rFonts w:ascii="黑体" w:eastAsia="黑体"/>
          <w:b/>
          <w:sz w:val="48"/>
          <w:szCs w:val="48"/>
        </w:rPr>
      </w:pPr>
    </w:p>
    <w:p w:rsidR="000C3BE7" w:rsidRDefault="000C3BE7">
      <w:pPr>
        <w:rPr>
          <w:rFonts w:ascii="黑体" w:eastAsia="黑体"/>
          <w:sz w:val="52"/>
          <w:szCs w:val="52"/>
        </w:rPr>
      </w:pPr>
      <w:r>
        <w:rPr>
          <w:rFonts w:ascii="黑体" w:eastAsia="黑体" w:hint="eastAsia"/>
          <w:sz w:val="52"/>
          <w:szCs w:val="52"/>
        </w:rPr>
        <w:t>第二部分</w:t>
      </w:r>
    </w:p>
    <w:p w:rsidR="000C3BE7" w:rsidRDefault="000C3BE7">
      <w:pPr>
        <w:rPr>
          <w:rFonts w:ascii="黑体" w:eastAsia="黑体"/>
          <w:sz w:val="52"/>
          <w:szCs w:val="52"/>
        </w:rPr>
      </w:pPr>
    </w:p>
    <w:p w:rsidR="000C3BE7" w:rsidRDefault="000C3BE7">
      <w:pPr>
        <w:rPr>
          <w:rFonts w:ascii="黑体" w:eastAsia="黑体"/>
          <w:sz w:val="52"/>
          <w:szCs w:val="52"/>
        </w:rPr>
      </w:pPr>
    </w:p>
    <w:p w:rsidR="000C3BE7" w:rsidRDefault="000C3BE7">
      <w:pPr>
        <w:rPr>
          <w:rFonts w:ascii="黑体" w:eastAsia="黑体"/>
          <w:sz w:val="52"/>
          <w:szCs w:val="52"/>
        </w:rPr>
      </w:pPr>
    </w:p>
    <w:p w:rsidR="000C3BE7" w:rsidRDefault="000C3BE7">
      <w:pPr>
        <w:jc w:val="center"/>
        <w:rPr>
          <w:rFonts w:ascii="黑体" w:eastAsia="黑体"/>
          <w:sz w:val="52"/>
          <w:szCs w:val="52"/>
        </w:rPr>
      </w:pPr>
      <w:r>
        <w:rPr>
          <w:rFonts w:ascii="黑体" w:eastAsia="黑体" w:hint="eastAsia"/>
          <w:sz w:val="52"/>
          <w:szCs w:val="52"/>
        </w:rPr>
        <w:t>2023年单位预算表</w:t>
      </w:r>
    </w:p>
    <w:p w:rsidR="000C3BE7" w:rsidRDefault="000C3BE7">
      <w:pPr>
        <w:jc w:val="center"/>
        <w:rPr>
          <w:rFonts w:ascii="黑体" w:eastAsia="黑体"/>
          <w:sz w:val="52"/>
          <w:szCs w:val="52"/>
        </w:rPr>
      </w:pPr>
      <w:r>
        <w:rPr>
          <w:rFonts w:ascii="楷体_GB2312" w:eastAsia="楷体_GB2312" w:hAnsi="楷体_GB2312" w:cs="楷体_GB2312" w:hint="eastAsia"/>
          <w:sz w:val="44"/>
          <w:szCs w:val="44"/>
        </w:rPr>
        <w:t>（见附件）</w:t>
      </w:r>
    </w:p>
    <w:p w:rsidR="000C3BE7" w:rsidRDefault="000C3BE7">
      <w:pPr>
        <w:rPr>
          <w:rFonts w:ascii="黑体" w:eastAsia="黑体"/>
          <w:b/>
          <w:sz w:val="30"/>
          <w:szCs w:val="30"/>
        </w:rPr>
      </w:pPr>
    </w:p>
    <w:p w:rsidR="000C3BE7" w:rsidRDefault="000C3BE7">
      <w:pPr>
        <w:rPr>
          <w:rFonts w:ascii="黑体" w:eastAsia="黑体"/>
          <w:b/>
          <w:sz w:val="30"/>
          <w:szCs w:val="30"/>
        </w:rPr>
      </w:pPr>
    </w:p>
    <w:p w:rsidR="000C3BE7" w:rsidRDefault="000C3BE7">
      <w:pPr>
        <w:rPr>
          <w:rFonts w:ascii="黑体" w:eastAsia="黑体"/>
          <w:b/>
          <w:sz w:val="30"/>
          <w:szCs w:val="30"/>
        </w:rPr>
      </w:pPr>
    </w:p>
    <w:p w:rsidR="000C3BE7" w:rsidRDefault="000C3BE7">
      <w:pPr>
        <w:rPr>
          <w:rFonts w:ascii="黑体" w:eastAsia="黑体"/>
          <w:b/>
          <w:sz w:val="30"/>
          <w:szCs w:val="30"/>
        </w:rPr>
      </w:pPr>
    </w:p>
    <w:p w:rsidR="000C3BE7" w:rsidRDefault="000C3BE7">
      <w:pPr>
        <w:rPr>
          <w:rFonts w:ascii="黑体" w:eastAsia="黑体"/>
          <w:b/>
          <w:sz w:val="30"/>
          <w:szCs w:val="30"/>
        </w:rPr>
      </w:pPr>
    </w:p>
    <w:p w:rsidR="000C3BE7" w:rsidRDefault="000C3BE7">
      <w:pPr>
        <w:rPr>
          <w:rFonts w:ascii="黑体" w:eastAsia="黑体"/>
          <w:b/>
          <w:sz w:val="30"/>
          <w:szCs w:val="30"/>
        </w:rPr>
      </w:pPr>
    </w:p>
    <w:p w:rsidR="000C3BE7" w:rsidRDefault="000C3BE7">
      <w:pPr>
        <w:jc w:val="center"/>
        <w:rPr>
          <w:rFonts w:ascii="黑体" w:eastAsia="黑体"/>
          <w:b/>
          <w:sz w:val="30"/>
          <w:szCs w:val="30"/>
        </w:rPr>
        <w:sectPr w:rsidR="000C3BE7">
          <w:headerReference w:type="even" r:id="rId7"/>
          <w:headerReference w:type="default" r:id="rId8"/>
          <w:footerReference w:type="even" r:id="rId9"/>
          <w:footerReference w:type="default" r:id="rId10"/>
          <w:pgSz w:w="11906" w:h="16838"/>
          <w:pgMar w:top="2098" w:right="1474" w:bottom="1134" w:left="1587" w:header="851" w:footer="992" w:gutter="0"/>
          <w:cols w:space="720"/>
          <w:docGrid w:type="lines" w:linePitch="312"/>
        </w:sectPr>
      </w:pPr>
    </w:p>
    <w:p w:rsidR="000C3BE7" w:rsidRDefault="000C3BE7">
      <w:pPr>
        <w:rPr>
          <w:rFonts w:ascii="黑体" w:eastAsia="黑体"/>
          <w:sz w:val="52"/>
          <w:szCs w:val="52"/>
        </w:rPr>
      </w:pPr>
    </w:p>
    <w:p w:rsidR="000C3BE7" w:rsidRDefault="000C3BE7">
      <w:pPr>
        <w:rPr>
          <w:rFonts w:ascii="黑体" w:eastAsia="黑体"/>
          <w:sz w:val="52"/>
          <w:szCs w:val="52"/>
        </w:rPr>
      </w:pPr>
    </w:p>
    <w:p w:rsidR="000C3BE7" w:rsidRDefault="000C3BE7">
      <w:pPr>
        <w:rPr>
          <w:rFonts w:ascii="黑体" w:eastAsia="黑体"/>
          <w:sz w:val="52"/>
          <w:szCs w:val="52"/>
        </w:rPr>
      </w:pPr>
    </w:p>
    <w:p w:rsidR="000C3BE7" w:rsidRDefault="000C3BE7">
      <w:pPr>
        <w:rPr>
          <w:rFonts w:ascii="黑体" w:eastAsia="黑体"/>
          <w:sz w:val="52"/>
          <w:szCs w:val="52"/>
        </w:rPr>
      </w:pPr>
      <w:r>
        <w:rPr>
          <w:rFonts w:ascii="黑体" w:eastAsia="黑体" w:hint="eastAsia"/>
          <w:sz w:val="52"/>
          <w:szCs w:val="52"/>
        </w:rPr>
        <w:t>第三部分</w:t>
      </w:r>
    </w:p>
    <w:p w:rsidR="000C3BE7" w:rsidRDefault="000C3BE7">
      <w:pPr>
        <w:rPr>
          <w:rFonts w:ascii="黑体" w:eastAsia="黑体"/>
          <w:sz w:val="52"/>
          <w:szCs w:val="52"/>
        </w:rPr>
      </w:pPr>
    </w:p>
    <w:p w:rsidR="000C3BE7" w:rsidRDefault="000C3BE7">
      <w:pPr>
        <w:rPr>
          <w:rFonts w:ascii="黑体" w:eastAsia="黑体"/>
          <w:sz w:val="52"/>
          <w:szCs w:val="52"/>
        </w:rPr>
      </w:pPr>
    </w:p>
    <w:p w:rsidR="000C3BE7" w:rsidRDefault="000C3BE7">
      <w:pPr>
        <w:rPr>
          <w:rFonts w:ascii="黑体" w:eastAsia="黑体"/>
          <w:sz w:val="52"/>
          <w:szCs w:val="52"/>
        </w:rPr>
      </w:pPr>
    </w:p>
    <w:p w:rsidR="000C3BE7" w:rsidRDefault="000C3BE7">
      <w:pPr>
        <w:ind w:leftChars="8" w:left="277" w:hangingChars="50" w:hanging="260"/>
        <w:jc w:val="center"/>
        <w:rPr>
          <w:rFonts w:ascii="黑体" w:eastAsia="黑体"/>
          <w:sz w:val="52"/>
          <w:szCs w:val="52"/>
        </w:rPr>
      </w:pPr>
      <w:r>
        <w:rPr>
          <w:rFonts w:ascii="黑体" w:eastAsia="黑体" w:hint="eastAsia"/>
          <w:sz w:val="52"/>
          <w:szCs w:val="52"/>
        </w:rPr>
        <w:t>2023年单位预算情况和</w:t>
      </w:r>
    </w:p>
    <w:p w:rsidR="000C3BE7" w:rsidRDefault="000C3BE7">
      <w:pPr>
        <w:ind w:leftChars="8" w:left="277" w:hangingChars="50" w:hanging="260"/>
        <w:jc w:val="center"/>
        <w:rPr>
          <w:rFonts w:ascii="黑体" w:eastAsia="黑体"/>
          <w:sz w:val="52"/>
          <w:szCs w:val="52"/>
        </w:rPr>
      </w:pPr>
      <w:r>
        <w:rPr>
          <w:rFonts w:ascii="黑体" w:eastAsia="黑体" w:hint="eastAsia"/>
          <w:sz w:val="52"/>
          <w:szCs w:val="52"/>
        </w:rPr>
        <w:t>重要事项说明</w:t>
      </w:r>
    </w:p>
    <w:p w:rsidR="000C3BE7" w:rsidRDefault="000C3BE7">
      <w:pPr>
        <w:spacing w:line="580" w:lineRule="exact"/>
        <w:ind w:firstLine="600"/>
        <w:rPr>
          <w:rFonts w:ascii="黑体" w:eastAsia="黑体" w:hAnsi="黑体"/>
          <w:sz w:val="32"/>
          <w:szCs w:val="32"/>
        </w:rPr>
      </w:pPr>
      <w:r>
        <w:rPr>
          <w:rFonts w:ascii="黑体" w:eastAsia="黑体" w:hint="eastAsia"/>
          <w:sz w:val="52"/>
          <w:szCs w:val="52"/>
        </w:rPr>
        <w:br w:type="page"/>
      </w:r>
      <w:r>
        <w:rPr>
          <w:rFonts w:ascii="黑体" w:eastAsia="黑体" w:hAnsi="黑体" w:hint="eastAsia"/>
          <w:sz w:val="32"/>
          <w:szCs w:val="32"/>
        </w:rPr>
        <w:lastRenderedPageBreak/>
        <w:t>一、2023年单位预算情况说明</w:t>
      </w:r>
    </w:p>
    <w:p w:rsidR="000C3BE7" w:rsidRDefault="000C3BE7">
      <w:pPr>
        <w:spacing w:line="580" w:lineRule="exact"/>
        <w:ind w:firstLineChars="200" w:firstLine="640"/>
        <w:rPr>
          <w:rFonts w:ascii="楷体_GB2312" w:eastAsia="楷体_GB2312"/>
          <w:sz w:val="32"/>
          <w:szCs w:val="32"/>
        </w:rPr>
      </w:pPr>
      <w:r>
        <w:rPr>
          <w:rFonts w:ascii="楷体_GB2312" w:eastAsia="楷体_GB2312" w:hint="eastAsia"/>
          <w:sz w:val="32"/>
          <w:szCs w:val="32"/>
        </w:rPr>
        <w:t>（一）2023年收支预算总体情况说明</w:t>
      </w:r>
    </w:p>
    <w:p w:rsidR="000C3BE7" w:rsidRDefault="000C3BE7">
      <w:pPr>
        <w:spacing w:line="580" w:lineRule="exact"/>
        <w:ind w:firstLineChars="200" w:firstLine="640"/>
        <w:rPr>
          <w:rFonts w:ascii="仿宋_GB2312" w:eastAsia="仿宋_GB2312"/>
          <w:bCs/>
          <w:sz w:val="32"/>
          <w:szCs w:val="32"/>
        </w:rPr>
      </w:pPr>
      <w:r>
        <w:rPr>
          <w:rFonts w:ascii="仿宋_GB2312" w:eastAsia="仿宋_GB2312" w:hint="eastAsia"/>
          <w:sz w:val="32"/>
          <w:szCs w:val="32"/>
        </w:rPr>
        <w:t>按照综合预算的原则，青岛市行政审批服务局所有收入和支出均纳入单位预算管理。按照收支平衡原则，青岛市行政审批服务局2023年收支总预算均为12034.58万元。青岛市行政审批服务局</w:t>
      </w:r>
      <w:r>
        <w:rPr>
          <w:rFonts w:ascii="仿宋_GB2312" w:eastAsia="仿宋_GB2312" w:hAnsi="宋体" w:cs="Courier New" w:hint="eastAsia"/>
          <w:sz w:val="32"/>
          <w:szCs w:val="32"/>
        </w:rPr>
        <w:t>收入包括：一般公共预算拨款收入；支出包括：一般公共服务支出、社会保障和就业支出、住房保障支出。</w:t>
      </w:r>
    </w:p>
    <w:p w:rsidR="000C3BE7" w:rsidRDefault="000C3BE7">
      <w:pPr>
        <w:spacing w:line="580" w:lineRule="exact"/>
        <w:ind w:firstLineChars="200" w:firstLine="640"/>
        <w:rPr>
          <w:rFonts w:ascii="楷体_GB2312" w:eastAsia="楷体_GB2312" w:hAnsi="黑体" w:cs="黑体"/>
          <w:bCs/>
          <w:sz w:val="32"/>
          <w:szCs w:val="32"/>
        </w:rPr>
      </w:pPr>
      <w:r>
        <w:rPr>
          <w:rFonts w:ascii="楷体_GB2312" w:eastAsia="楷体_GB2312" w:hAnsi="黑体" w:cs="黑体" w:hint="eastAsia"/>
          <w:bCs/>
          <w:sz w:val="32"/>
          <w:szCs w:val="32"/>
        </w:rPr>
        <w:t>（二）2023年收入预算情况说明</w:t>
      </w:r>
    </w:p>
    <w:p w:rsidR="000C3BE7" w:rsidRDefault="000C3BE7">
      <w:pPr>
        <w:spacing w:line="58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青岛市行政审批服务局</w:t>
      </w:r>
      <w:r>
        <w:rPr>
          <w:rFonts w:ascii="仿宋_GB2312" w:eastAsia="仿宋_GB2312" w:hAnsi="仿宋_GB2312" w:cs="仿宋_GB2312" w:hint="eastAsia"/>
          <w:bCs/>
          <w:sz w:val="32"/>
          <w:szCs w:val="32"/>
        </w:rPr>
        <w:t>2023年收入预算为</w:t>
      </w:r>
      <w:r>
        <w:rPr>
          <w:rFonts w:ascii="仿宋_GB2312" w:eastAsia="仿宋_GB2312" w:hint="eastAsia"/>
          <w:sz w:val="32"/>
          <w:szCs w:val="32"/>
        </w:rPr>
        <w:t>12034.58</w:t>
      </w:r>
      <w:r>
        <w:rPr>
          <w:rFonts w:ascii="仿宋_GB2312" w:eastAsia="仿宋_GB2312" w:hAnsi="仿宋_GB2312" w:cs="仿宋_GB2312" w:hint="eastAsia"/>
          <w:bCs/>
          <w:sz w:val="32"/>
          <w:szCs w:val="32"/>
        </w:rPr>
        <w:t>万元，其中：财政拨款</w:t>
      </w:r>
      <w:r>
        <w:rPr>
          <w:rFonts w:ascii="仿宋_GB2312" w:eastAsia="仿宋_GB2312" w:hint="eastAsia"/>
          <w:sz w:val="32"/>
          <w:szCs w:val="32"/>
        </w:rPr>
        <w:t>12034.58</w:t>
      </w:r>
      <w:r>
        <w:rPr>
          <w:rFonts w:ascii="仿宋_GB2312" w:eastAsia="仿宋_GB2312" w:hAnsi="仿宋_GB2312" w:cs="仿宋_GB2312" w:hint="eastAsia"/>
          <w:bCs/>
          <w:sz w:val="32"/>
          <w:szCs w:val="32"/>
        </w:rPr>
        <w:t>万元，占100%。</w:t>
      </w:r>
    </w:p>
    <w:p w:rsidR="000C3BE7" w:rsidRDefault="000C3BE7">
      <w:pPr>
        <w:spacing w:line="580" w:lineRule="exact"/>
        <w:ind w:firstLineChars="200" w:firstLine="640"/>
        <w:rPr>
          <w:rFonts w:ascii="楷体_GB2312" w:eastAsia="楷体_GB2312" w:hAnsi="黑体" w:cs="黑体"/>
          <w:bCs/>
          <w:sz w:val="32"/>
          <w:szCs w:val="32"/>
        </w:rPr>
      </w:pPr>
      <w:r>
        <w:rPr>
          <w:rFonts w:ascii="楷体_GB2312" w:eastAsia="楷体_GB2312" w:hAnsi="黑体" w:cs="黑体" w:hint="eastAsia"/>
          <w:bCs/>
          <w:sz w:val="32"/>
          <w:szCs w:val="32"/>
        </w:rPr>
        <w:t>（三）2023年支出预算情况说明</w:t>
      </w:r>
    </w:p>
    <w:p w:rsidR="000C3BE7" w:rsidRDefault="000C3BE7">
      <w:pPr>
        <w:spacing w:line="58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青岛市行政审批服务局</w:t>
      </w:r>
      <w:r>
        <w:rPr>
          <w:rFonts w:ascii="仿宋_GB2312" w:eastAsia="仿宋_GB2312" w:hAnsi="仿宋_GB2312" w:cs="仿宋_GB2312" w:hint="eastAsia"/>
          <w:bCs/>
          <w:sz w:val="32"/>
          <w:szCs w:val="32"/>
        </w:rPr>
        <w:t>2023年支出预算为</w:t>
      </w:r>
      <w:r>
        <w:rPr>
          <w:rFonts w:ascii="仿宋_GB2312" w:eastAsia="仿宋_GB2312" w:hint="eastAsia"/>
          <w:sz w:val="32"/>
          <w:szCs w:val="32"/>
        </w:rPr>
        <w:t>12034.58</w:t>
      </w:r>
      <w:r>
        <w:rPr>
          <w:rFonts w:ascii="仿宋_GB2312" w:eastAsia="仿宋_GB2312" w:hAnsi="仿宋_GB2312" w:cs="仿宋_GB2312" w:hint="eastAsia"/>
          <w:bCs/>
          <w:sz w:val="32"/>
          <w:szCs w:val="32"/>
        </w:rPr>
        <w:t>万元，其中：基本支出2841.07万元，占23.61%，项目支出9193.51万元，占76.39%。</w:t>
      </w:r>
    </w:p>
    <w:p w:rsidR="000C3BE7" w:rsidRDefault="000C3BE7">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（四）2023年财政拨款收入支出预算总体情况说明</w:t>
      </w:r>
    </w:p>
    <w:p w:rsidR="000C3BE7" w:rsidRDefault="000C3BE7">
      <w:pPr>
        <w:spacing w:line="580" w:lineRule="exact"/>
        <w:ind w:firstLineChars="200" w:firstLine="640"/>
        <w:rPr>
          <w:rFonts w:ascii="仿宋_GB2312" w:eastAsia="仿宋_GB2312"/>
          <w:bCs/>
          <w:sz w:val="32"/>
          <w:szCs w:val="32"/>
        </w:rPr>
      </w:pPr>
      <w:r>
        <w:rPr>
          <w:rFonts w:ascii="仿宋_GB2312" w:eastAsia="仿宋_GB2312" w:hAnsi="仿宋_GB2312" w:cs="仿宋_GB2312" w:hint="eastAsia"/>
          <w:sz w:val="32"/>
          <w:szCs w:val="32"/>
        </w:rPr>
        <w:t>2023年财政拨款收支预算12034.58万元，与2022年相比，财政拨款收入、支出总计各增加471.54万元，增长4.08%。主要原因</w:t>
      </w:r>
      <w:r>
        <w:rPr>
          <w:rFonts w:ascii="仿宋_GB2312" w:eastAsia="仿宋_GB2312" w:hAnsi="楷体_GB2312" w:cs="楷体_GB2312" w:hint="eastAsia"/>
          <w:sz w:val="32"/>
          <w:szCs w:val="32"/>
        </w:rPr>
        <w:t>是</w:t>
      </w:r>
      <w:r>
        <w:rPr>
          <w:rFonts w:ascii="仿宋_GB2312" w:eastAsia="仿宋_GB2312" w:hAnsi="仿宋_GB2312" w:cs="仿宋_GB2312" w:hint="eastAsia"/>
          <w:sz w:val="32"/>
          <w:szCs w:val="32"/>
        </w:rPr>
        <w:t>因政策性调资等导致人员经费增加，以及因新增项目导致项目支出增加。</w:t>
      </w:r>
    </w:p>
    <w:p w:rsidR="000C3BE7" w:rsidRDefault="000C3BE7">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（五）2023年一般公共预算财政拨款收入支出预算情况说明</w:t>
      </w:r>
    </w:p>
    <w:p w:rsidR="000C3BE7" w:rsidRDefault="000C3BE7">
      <w:pPr>
        <w:spacing w:line="580" w:lineRule="exact"/>
        <w:ind w:firstLineChars="200" w:firstLine="640"/>
        <w:rPr>
          <w:rFonts w:ascii="仿宋_GB2312" w:eastAsia="仿宋_GB2312" w:hAnsi="仿宋_GB2312" w:cs="仿宋_GB2312"/>
          <w:sz w:val="32"/>
          <w:szCs w:val="32"/>
        </w:rPr>
      </w:pPr>
      <w:r w:rsidRPr="007F61DC">
        <w:rPr>
          <w:rFonts w:ascii="仿宋_GB2312" w:eastAsia="仿宋_GB2312" w:hAnsi="楷体_GB2312" w:cs="楷体_GB2312" w:hint="eastAsia"/>
          <w:sz w:val="32"/>
          <w:szCs w:val="32"/>
        </w:rPr>
        <w:t>2023年一般公共预算收入12034.58万元，与2022年相比，增加</w:t>
      </w:r>
      <w:r w:rsidRPr="007F61DC">
        <w:rPr>
          <w:rFonts w:ascii="仿宋_GB2312" w:eastAsia="仿宋_GB2312" w:hAnsi="仿宋_GB2312" w:cs="仿宋_GB2312" w:hint="eastAsia"/>
          <w:sz w:val="32"/>
          <w:szCs w:val="32"/>
        </w:rPr>
        <w:t>471.54</w:t>
      </w:r>
      <w:r w:rsidRPr="007F61DC">
        <w:rPr>
          <w:rFonts w:ascii="仿宋_GB2312" w:eastAsia="仿宋_GB2312" w:hAnsi="楷体_GB2312" w:cs="楷体_GB2312" w:hint="eastAsia"/>
          <w:sz w:val="32"/>
          <w:szCs w:val="32"/>
        </w:rPr>
        <w:t>万元，比上年增长</w:t>
      </w:r>
      <w:r w:rsidRPr="007F61DC">
        <w:rPr>
          <w:rFonts w:ascii="仿宋_GB2312" w:eastAsia="仿宋_GB2312" w:hAnsi="仿宋_GB2312" w:cs="仿宋_GB2312" w:hint="eastAsia"/>
          <w:sz w:val="32"/>
          <w:szCs w:val="32"/>
        </w:rPr>
        <w:t>4.08</w:t>
      </w:r>
      <w:r w:rsidRPr="007F61DC">
        <w:rPr>
          <w:rFonts w:ascii="仿宋_GB2312" w:eastAsia="仿宋_GB2312" w:hAnsi="楷体_GB2312" w:cs="楷体_GB2312" w:hint="eastAsia"/>
          <w:sz w:val="32"/>
          <w:szCs w:val="32"/>
        </w:rPr>
        <w:t>%。主要原因是</w:t>
      </w:r>
      <w:r w:rsidRPr="007F61DC">
        <w:rPr>
          <w:rFonts w:ascii="仿宋_GB2312" w:eastAsia="仿宋_GB2312" w:hAnsi="仿宋_GB2312" w:cs="仿宋_GB2312" w:hint="eastAsia"/>
          <w:sz w:val="32"/>
          <w:szCs w:val="32"/>
        </w:rPr>
        <w:t>因政策性调资等导致人员经费增加，以及因新增项目导致项目支出增加。2023年一般</w:t>
      </w:r>
      <w:r w:rsidRPr="007F61DC">
        <w:rPr>
          <w:rFonts w:ascii="仿宋_GB2312" w:eastAsia="仿宋_GB2312" w:hAnsi="仿宋_GB2312" w:cs="仿宋_GB2312" w:hint="eastAsia"/>
          <w:sz w:val="32"/>
          <w:szCs w:val="32"/>
        </w:rPr>
        <w:lastRenderedPageBreak/>
        <w:t>公共预算支出</w:t>
      </w:r>
      <w:r w:rsidRPr="007F61DC">
        <w:rPr>
          <w:rFonts w:ascii="仿宋_GB2312" w:eastAsia="仿宋_GB2312" w:hAnsi="楷体_GB2312" w:cs="楷体_GB2312" w:hint="eastAsia"/>
          <w:sz w:val="32"/>
          <w:szCs w:val="32"/>
        </w:rPr>
        <w:t>12034.58</w:t>
      </w:r>
      <w:r w:rsidRPr="007F61DC">
        <w:rPr>
          <w:rFonts w:ascii="仿宋_GB2312" w:eastAsia="仿宋_GB2312" w:hAnsi="仿宋_GB2312" w:cs="仿宋_GB2312" w:hint="eastAsia"/>
          <w:sz w:val="32"/>
          <w:szCs w:val="32"/>
        </w:rPr>
        <w:t>万元，</w:t>
      </w:r>
      <w:r w:rsidRPr="007F61DC">
        <w:rPr>
          <w:rFonts w:ascii="仿宋_GB2312" w:eastAsia="仿宋_GB2312" w:hAnsi="楷体_GB2312" w:cs="楷体_GB2312" w:hint="eastAsia"/>
          <w:sz w:val="32"/>
          <w:szCs w:val="32"/>
        </w:rPr>
        <w:t>与2022年相比，增加</w:t>
      </w:r>
      <w:r w:rsidRPr="007F61DC">
        <w:rPr>
          <w:rFonts w:ascii="仿宋_GB2312" w:eastAsia="仿宋_GB2312" w:hAnsi="仿宋_GB2312" w:cs="仿宋_GB2312" w:hint="eastAsia"/>
          <w:sz w:val="32"/>
          <w:szCs w:val="32"/>
        </w:rPr>
        <w:t>471.54</w:t>
      </w:r>
      <w:r w:rsidRPr="007F61DC">
        <w:rPr>
          <w:rFonts w:ascii="仿宋_GB2312" w:eastAsia="仿宋_GB2312" w:hAnsi="楷体_GB2312" w:cs="楷体_GB2312" w:hint="eastAsia"/>
          <w:sz w:val="32"/>
          <w:szCs w:val="32"/>
        </w:rPr>
        <w:t>万元，比上年增长</w:t>
      </w:r>
      <w:r w:rsidRPr="007F61DC">
        <w:rPr>
          <w:rFonts w:ascii="仿宋_GB2312" w:eastAsia="仿宋_GB2312" w:hAnsi="仿宋_GB2312" w:cs="仿宋_GB2312" w:hint="eastAsia"/>
          <w:sz w:val="32"/>
          <w:szCs w:val="32"/>
        </w:rPr>
        <w:t>4.08</w:t>
      </w:r>
      <w:r w:rsidRPr="007F61DC">
        <w:rPr>
          <w:rFonts w:ascii="仿宋_GB2312" w:eastAsia="仿宋_GB2312" w:hAnsi="楷体_GB2312" w:cs="楷体_GB2312" w:hint="eastAsia"/>
          <w:sz w:val="32"/>
          <w:szCs w:val="32"/>
        </w:rPr>
        <w:t>%。主要原因是</w:t>
      </w:r>
      <w:r w:rsidRPr="007F61DC">
        <w:rPr>
          <w:rFonts w:ascii="仿宋_GB2312" w:eastAsia="仿宋_GB2312" w:hAnsi="仿宋_GB2312" w:cs="仿宋_GB2312" w:hint="eastAsia"/>
          <w:sz w:val="32"/>
          <w:szCs w:val="32"/>
        </w:rPr>
        <w:t>因政策性调资、人员增加导致人员经费增加，以及因新增项目导致项目支出增加。其中：一般</w:t>
      </w:r>
      <w:r>
        <w:rPr>
          <w:rFonts w:ascii="仿宋_GB2312" w:eastAsia="仿宋_GB2312" w:hAnsi="仿宋_GB2312" w:cs="仿宋_GB2312" w:hint="eastAsia"/>
          <w:sz w:val="32"/>
          <w:szCs w:val="32"/>
        </w:rPr>
        <w:t>公共服务（类）支出11479.50万元，占95.39%；社会保障和就业（类）支出303.87万元，占2.52%；住房保障（类）支出251.22万元，占2.09%。</w:t>
      </w:r>
    </w:p>
    <w:p w:rsidR="000C3BE7" w:rsidRDefault="000C3BE7">
      <w:pPr>
        <w:spacing w:line="58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具体情况如下：</w:t>
      </w:r>
    </w:p>
    <w:p w:rsidR="000C3BE7" w:rsidRDefault="000C3BE7">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1.一般公共服务（类）政府办公厅（室）及相关机构事务（款）行政运行（项）11479.5</w:t>
      </w:r>
      <w:r w:rsidR="004B084C">
        <w:rPr>
          <w:rFonts w:ascii="仿宋_GB2312" w:eastAsia="仿宋_GB2312" w:hAnsi="楷体_GB2312" w:cs="楷体_GB2312" w:hint="eastAsia"/>
          <w:sz w:val="32"/>
          <w:szCs w:val="32"/>
        </w:rPr>
        <w:t>0</w:t>
      </w:r>
      <w:r>
        <w:rPr>
          <w:rFonts w:ascii="仿宋_GB2312" w:eastAsia="仿宋_GB2312" w:hAnsi="楷体_GB2312" w:cs="楷体_GB2312" w:hint="eastAsia"/>
          <w:sz w:val="32"/>
          <w:szCs w:val="32"/>
        </w:rPr>
        <w:t>万元，比上年增长3.1%，主要原因是</w:t>
      </w:r>
      <w:r>
        <w:rPr>
          <w:rFonts w:ascii="仿宋_GB2312" w:eastAsia="仿宋_GB2312" w:hAnsi="仿宋_GB2312" w:cs="仿宋_GB2312" w:hint="eastAsia"/>
          <w:sz w:val="32"/>
          <w:szCs w:val="32"/>
        </w:rPr>
        <w:t>因政策性调资等导致人员经费增加，以及因新增项目导致项目支出增加</w:t>
      </w:r>
      <w:r>
        <w:rPr>
          <w:rFonts w:ascii="仿宋_GB2312" w:eastAsia="仿宋_GB2312" w:hAnsi="楷体_GB2312" w:cs="楷体_GB2312" w:hint="eastAsia"/>
          <w:sz w:val="32"/>
          <w:szCs w:val="32"/>
        </w:rPr>
        <w:t>。</w:t>
      </w:r>
    </w:p>
    <w:p w:rsidR="000C3BE7" w:rsidRDefault="000C3BE7">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2.社会保障和就业（类）行政事业单位养老支出（款）机关事业单位基本养老保险缴费支出（项）202.58万元，比上年增长14.45%，主要原因是</w:t>
      </w:r>
      <w:r>
        <w:rPr>
          <w:rFonts w:ascii="仿宋_GB2312" w:eastAsia="仿宋_GB2312" w:hAnsi="仿宋_GB2312" w:cs="仿宋_GB2312" w:hint="eastAsia"/>
          <w:sz w:val="32"/>
          <w:szCs w:val="32"/>
        </w:rPr>
        <w:t>因政策性调资等导致</w:t>
      </w:r>
      <w:r>
        <w:rPr>
          <w:rFonts w:ascii="仿宋_GB2312" w:eastAsia="仿宋_GB2312" w:hAnsi="楷体_GB2312" w:cs="楷体_GB2312" w:hint="eastAsia"/>
          <w:sz w:val="32"/>
          <w:szCs w:val="32"/>
        </w:rPr>
        <w:t>基本养老保险缴费支出</w:t>
      </w:r>
      <w:r>
        <w:rPr>
          <w:rFonts w:ascii="仿宋_GB2312" w:eastAsia="仿宋_GB2312" w:hAnsi="仿宋_GB2312" w:cs="仿宋_GB2312" w:hint="eastAsia"/>
          <w:sz w:val="32"/>
          <w:szCs w:val="32"/>
        </w:rPr>
        <w:t>增加</w:t>
      </w:r>
      <w:r>
        <w:rPr>
          <w:rFonts w:ascii="仿宋_GB2312" w:eastAsia="仿宋_GB2312" w:hAnsi="楷体_GB2312" w:cs="楷体_GB2312" w:hint="eastAsia"/>
          <w:sz w:val="32"/>
          <w:szCs w:val="32"/>
        </w:rPr>
        <w:t>。社会保障和就业（类）行政事业单位养老支出（款）机关事业单位职业年金缴费支出（项）101.29万元，比上年增长14.45%，主要原因是</w:t>
      </w:r>
      <w:r>
        <w:rPr>
          <w:rFonts w:ascii="仿宋_GB2312" w:eastAsia="仿宋_GB2312" w:hAnsi="仿宋_GB2312" w:cs="仿宋_GB2312" w:hint="eastAsia"/>
          <w:sz w:val="32"/>
          <w:szCs w:val="32"/>
        </w:rPr>
        <w:t>因政策性调资导致</w:t>
      </w:r>
      <w:r>
        <w:rPr>
          <w:rFonts w:ascii="仿宋_GB2312" w:eastAsia="仿宋_GB2312" w:hAnsi="楷体_GB2312" w:cs="楷体_GB2312" w:hint="eastAsia"/>
          <w:sz w:val="32"/>
          <w:szCs w:val="32"/>
        </w:rPr>
        <w:t>职业年金缴费支出</w:t>
      </w:r>
      <w:r>
        <w:rPr>
          <w:rFonts w:ascii="仿宋_GB2312" w:eastAsia="仿宋_GB2312" w:hAnsi="仿宋_GB2312" w:cs="仿宋_GB2312" w:hint="eastAsia"/>
          <w:sz w:val="32"/>
          <w:szCs w:val="32"/>
        </w:rPr>
        <w:t>增加</w:t>
      </w:r>
      <w:r>
        <w:rPr>
          <w:rFonts w:ascii="仿宋_GB2312" w:eastAsia="仿宋_GB2312" w:hAnsi="楷体_GB2312" w:cs="楷体_GB2312" w:hint="eastAsia"/>
          <w:sz w:val="32"/>
          <w:szCs w:val="32"/>
        </w:rPr>
        <w:t>。</w:t>
      </w:r>
    </w:p>
    <w:p w:rsidR="000C3BE7" w:rsidRDefault="000C3BE7">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3.住房保障（类）住房改革支出（款）住房公积金（项）支出251.22万元，比上年增长53.66%，主要原因是</w:t>
      </w:r>
      <w:r>
        <w:rPr>
          <w:rFonts w:ascii="仿宋_GB2312" w:eastAsia="仿宋_GB2312" w:hAnsi="仿宋_GB2312" w:cs="仿宋_GB2312" w:hint="eastAsia"/>
          <w:sz w:val="32"/>
          <w:szCs w:val="32"/>
        </w:rPr>
        <w:t>因政策性调资等导致</w:t>
      </w:r>
      <w:r>
        <w:rPr>
          <w:rFonts w:ascii="仿宋_GB2312" w:eastAsia="仿宋_GB2312" w:hAnsi="楷体_GB2312" w:cs="楷体_GB2312" w:hint="eastAsia"/>
          <w:sz w:val="32"/>
          <w:szCs w:val="32"/>
        </w:rPr>
        <w:t>住房公积金支出</w:t>
      </w:r>
      <w:r>
        <w:rPr>
          <w:rFonts w:ascii="仿宋_GB2312" w:eastAsia="仿宋_GB2312" w:hAnsi="仿宋_GB2312" w:cs="仿宋_GB2312" w:hint="eastAsia"/>
          <w:sz w:val="32"/>
          <w:szCs w:val="32"/>
        </w:rPr>
        <w:t>增加</w:t>
      </w:r>
      <w:r>
        <w:rPr>
          <w:rFonts w:ascii="仿宋_GB2312" w:eastAsia="仿宋_GB2312" w:hAnsi="楷体_GB2312" w:cs="楷体_GB2312" w:hint="eastAsia"/>
          <w:sz w:val="32"/>
          <w:szCs w:val="32"/>
        </w:rPr>
        <w:t>。</w:t>
      </w:r>
    </w:p>
    <w:p w:rsidR="000C3BE7" w:rsidRDefault="000C3BE7">
      <w:pPr>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（六）政府性基金预算收支情况</w:t>
      </w:r>
    </w:p>
    <w:p w:rsidR="000C3BE7" w:rsidRDefault="000C3BE7">
      <w:pPr>
        <w:spacing w:line="560" w:lineRule="exact"/>
        <w:ind w:firstLineChars="200" w:firstLine="640"/>
        <w:rPr>
          <w:rFonts w:ascii="仿宋_GB2312" w:eastAsia="仿宋_GB2312" w:hAnsi="楷体_GB2312" w:cs="楷体_GB2312"/>
          <w:sz w:val="32"/>
          <w:szCs w:val="32"/>
        </w:rPr>
      </w:pPr>
      <w:r>
        <w:rPr>
          <w:rFonts w:ascii="仿宋_GB2312" w:eastAsia="仿宋_GB2312" w:hAnsi="宋体" w:cs="Courier New" w:hint="eastAsia"/>
          <w:sz w:val="32"/>
          <w:szCs w:val="32"/>
        </w:rPr>
        <w:t>青岛市行政审批服务局202</w:t>
      </w:r>
      <w:r w:rsidR="00685A66">
        <w:rPr>
          <w:rFonts w:ascii="仿宋_GB2312" w:eastAsia="仿宋_GB2312" w:hAnsi="宋体" w:cs="Courier New" w:hint="eastAsia"/>
          <w:sz w:val="32"/>
          <w:szCs w:val="32"/>
        </w:rPr>
        <w:t>3</w:t>
      </w:r>
      <w:r>
        <w:rPr>
          <w:rFonts w:ascii="仿宋_GB2312" w:eastAsia="仿宋_GB2312" w:hAnsi="宋体" w:cs="Courier New" w:hint="eastAsia"/>
          <w:sz w:val="32"/>
          <w:szCs w:val="32"/>
        </w:rPr>
        <w:t>年没有政府性基金预算拨款安排的收入，也没有使用政府性基金预算拨款安排的支出。</w:t>
      </w:r>
    </w:p>
    <w:p w:rsidR="000C3BE7" w:rsidRDefault="000C3BE7">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（七）2023年财政拨款基本支出预算情况说明</w:t>
      </w:r>
    </w:p>
    <w:p w:rsidR="000C3BE7" w:rsidRDefault="000C3BE7">
      <w:pPr>
        <w:spacing w:line="580" w:lineRule="exact"/>
        <w:ind w:firstLineChars="186" w:firstLine="595"/>
        <w:rPr>
          <w:rFonts w:ascii="仿宋_GB2312" w:eastAsia="仿宋_GB2312"/>
          <w:sz w:val="32"/>
          <w:szCs w:val="32"/>
        </w:rPr>
      </w:pPr>
      <w:r>
        <w:rPr>
          <w:rFonts w:ascii="仿宋_GB2312" w:eastAsia="仿宋_GB2312" w:hint="eastAsia"/>
          <w:sz w:val="32"/>
          <w:szCs w:val="32"/>
        </w:rPr>
        <w:t>2023年，通过财政拨款安排的基本支出2841.07万元，其中：</w:t>
      </w:r>
    </w:p>
    <w:p w:rsidR="000C3BE7" w:rsidRDefault="000C3BE7" w:rsidP="009754F9">
      <w:pPr>
        <w:spacing w:line="580" w:lineRule="exact"/>
        <w:ind w:firstLineChars="186" w:firstLine="595"/>
        <w:rPr>
          <w:rFonts w:ascii="仿宋_GB2312" w:eastAsia="仿宋_GB2312"/>
          <w:sz w:val="32"/>
          <w:szCs w:val="32"/>
        </w:rPr>
      </w:pPr>
      <w:r>
        <w:rPr>
          <w:rFonts w:ascii="仿宋_GB2312" w:eastAsia="仿宋_GB2312" w:hint="eastAsia"/>
          <w:sz w:val="32"/>
          <w:szCs w:val="32"/>
        </w:rPr>
        <w:lastRenderedPageBreak/>
        <w:t>人员经费2667.82万元，按部门预算支出经济分类主要包括：基本工资、津贴补贴、奖金、机关事业单位基本养老保险缴费、职业年金缴费、职工基本医疗保险缴费、其他社会保障缴费、住房公积金、退休费、生活补助、医疗费补助等。按政府预算支出经济分类主要包括：工资奖金津补贴、社会保障缴费、住房公积金、离退休费、其他对个人和家庭补助等。</w:t>
      </w:r>
    </w:p>
    <w:p w:rsidR="000C3BE7" w:rsidRDefault="000C3BE7">
      <w:pPr>
        <w:spacing w:line="580" w:lineRule="exact"/>
        <w:ind w:firstLine="600"/>
        <w:rPr>
          <w:rFonts w:ascii="仿宋_GB2312" w:eastAsia="仿宋_GB2312"/>
          <w:sz w:val="32"/>
          <w:szCs w:val="32"/>
        </w:rPr>
      </w:pPr>
      <w:r>
        <w:rPr>
          <w:rFonts w:ascii="仿宋_GB2312" w:eastAsia="仿宋_GB2312" w:hint="eastAsia"/>
          <w:sz w:val="32"/>
          <w:szCs w:val="32"/>
        </w:rPr>
        <w:t>公用经费173.25万元，按部门预算支出经济分类主要包括：办公费、印刷费、邮电费、差旅费、因公出国（境）费、会议费、培训费、公务接待费、劳务费、福利费、公务用车运行维护费、其他交通费用、其他商品和服务支出</w:t>
      </w:r>
      <w:r>
        <w:rPr>
          <w:rFonts w:eastAsia="仿宋_GB2312" w:hint="eastAsia"/>
          <w:sz w:val="32"/>
          <w:szCs w:val="32"/>
        </w:rPr>
        <w:t>等</w:t>
      </w:r>
      <w:r>
        <w:rPr>
          <w:rFonts w:ascii="仿宋_GB2312" w:eastAsia="仿宋_GB2312" w:hint="eastAsia"/>
          <w:sz w:val="32"/>
          <w:szCs w:val="32"/>
        </w:rPr>
        <w:t>。按政府预算支出经济分类主要包括：办公经费、会议费、培训费、委托业务费、公务接待费、因公出国（境）费、公务用车运行维护费、其他商品和服务支出</w:t>
      </w:r>
      <w:r>
        <w:rPr>
          <w:rFonts w:eastAsia="仿宋_GB2312" w:hint="eastAsia"/>
          <w:sz w:val="32"/>
          <w:szCs w:val="32"/>
        </w:rPr>
        <w:t>等</w:t>
      </w:r>
      <w:r>
        <w:rPr>
          <w:rFonts w:ascii="仿宋_GB2312" w:eastAsia="仿宋_GB2312" w:hint="eastAsia"/>
          <w:sz w:val="32"/>
          <w:szCs w:val="32"/>
        </w:rPr>
        <w:t>。</w:t>
      </w:r>
    </w:p>
    <w:p w:rsidR="000C3BE7" w:rsidRDefault="000C3BE7">
      <w:pPr>
        <w:spacing w:line="580" w:lineRule="exact"/>
        <w:ind w:firstLine="600"/>
        <w:rPr>
          <w:rFonts w:ascii="楷体_GB2312" w:eastAsia="楷体_GB2312"/>
          <w:sz w:val="32"/>
          <w:szCs w:val="32"/>
        </w:rPr>
      </w:pPr>
      <w:r>
        <w:rPr>
          <w:rFonts w:ascii="楷体_GB2312" w:eastAsia="楷体_GB2312" w:hint="eastAsia"/>
          <w:sz w:val="32"/>
          <w:szCs w:val="32"/>
        </w:rPr>
        <w:t>（八）2023年财政拨款安排的“三公”经费情况</w:t>
      </w:r>
    </w:p>
    <w:p w:rsidR="000C3BE7" w:rsidRDefault="000C3BE7">
      <w:pPr>
        <w:spacing w:line="580" w:lineRule="exact"/>
        <w:ind w:firstLine="600"/>
        <w:rPr>
          <w:rFonts w:ascii="仿宋_GB2312" w:eastAsia="仿宋_GB2312"/>
          <w:sz w:val="32"/>
          <w:szCs w:val="32"/>
        </w:rPr>
      </w:pPr>
      <w:r>
        <w:rPr>
          <w:rFonts w:ascii="仿宋_GB2312" w:eastAsia="仿宋_GB2312" w:hint="eastAsia"/>
          <w:sz w:val="32"/>
          <w:szCs w:val="32"/>
        </w:rPr>
        <w:t>2023年，通过财政拨款安排的“三公”经费预算共8.78万元，比2022年下降0</w:t>
      </w:r>
      <w:r>
        <w:rPr>
          <w:rFonts w:ascii="仿宋_GB2312" w:eastAsia="仿宋_GB2312" w:hAnsi="楷体_GB2312" w:cs="楷体_GB2312" w:hint="eastAsia"/>
          <w:sz w:val="32"/>
          <w:szCs w:val="32"/>
        </w:rPr>
        <w:t>%</w:t>
      </w:r>
      <w:r>
        <w:rPr>
          <w:rFonts w:ascii="仿宋_GB2312" w:eastAsia="仿宋_GB2312" w:hint="eastAsia"/>
          <w:sz w:val="32"/>
          <w:szCs w:val="32"/>
        </w:rPr>
        <w:t>。其中：因公出国（境）经费2万元，比2022年增加2万元，主要用于：</w:t>
      </w:r>
      <w:r>
        <w:rPr>
          <w:rFonts w:ascii="仿宋_GB2312" w:eastAsia="仿宋_GB2312" w:hint="eastAsia"/>
          <w:color w:val="000000"/>
          <w:sz w:val="32"/>
          <w:szCs w:val="32"/>
        </w:rPr>
        <w:t>单位因公出国（境）的差旅费、国外城市间交通费、住宿费、伙食补助费、杂费、培训费等支出</w:t>
      </w:r>
      <w:r>
        <w:rPr>
          <w:rFonts w:ascii="仿宋_GB2312" w:eastAsia="仿宋_GB2312" w:hAnsi="仿宋_GB2312" w:cs="仿宋_GB2312" w:hint="eastAsia"/>
          <w:sz w:val="32"/>
          <w:szCs w:val="32"/>
        </w:rPr>
        <w:t>，</w:t>
      </w:r>
      <w:r>
        <w:rPr>
          <w:rFonts w:ascii="仿宋_GB2312" w:eastAsia="仿宋_GB2312" w:hint="eastAsia"/>
          <w:sz w:val="32"/>
          <w:szCs w:val="32"/>
        </w:rPr>
        <w:t>增长</w:t>
      </w:r>
      <w:r>
        <w:rPr>
          <w:rFonts w:ascii="仿宋_GB2312" w:eastAsia="仿宋_GB2312" w:hAnsi="仿宋_GB2312" w:cs="仿宋_GB2312" w:hint="eastAsia"/>
          <w:sz w:val="32"/>
          <w:szCs w:val="32"/>
        </w:rPr>
        <w:t>的主要原因是受疫情影响2022年未编制</w:t>
      </w:r>
      <w:r>
        <w:rPr>
          <w:rFonts w:ascii="仿宋_GB2312" w:eastAsia="仿宋_GB2312" w:hint="eastAsia"/>
          <w:sz w:val="32"/>
          <w:szCs w:val="32"/>
        </w:rPr>
        <w:t>因公出国（境）经费预算，2023年编制因公出国（境）经费预算2万元</w:t>
      </w:r>
      <w:r>
        <w:rPr>
          <w:rFonts w:ascii="仿宋_GB2312" w:eastAsia="仿宋_GB2312" w:hAnsi="仿宋_GB2312" w:cs="仿宋_GB2312" w:hint="eastAsia"/>
          <w:sz w:val="32"/>
          <w:szCs w:val="32"/>
        </w:rPr>
        <w:t>；公务用车运行维护费5万元，</w:t>
      </w:r>
      <w:r>
        <w:rPr>
          <w:rFonts w:ascii="仿宋_GB2312" w:eastAsia="仿宋_GB2312" w:hint="eastAsia"/>
          <w:sz w:val="32"/>
          <w:szCs w:val="32"/>
        </w:rPr>
        <w:t>比2022年下降0</w:t>
      </w:r>
      <w:r>
        <w:rPr>
          <w:rFonts w:ascii="仿宋_GB2312" w:eastAsia="仿宋_GB2312" w:hAnsi="楷体_GB2312" w:cs="楷体_GB2312" w:hint="eastAsia"/>
          <w:sz w:val="32"/>
          <w:szCs w:val="32"/>
        </w:rPr>
        <w:t>%，</w:t>
      </w:r>
      <w:r>
        <w:rPr>
          <w:rFonts w:ascii="仿宋_GB2312" w:eastAsia="仿宋_GB2312" w:hAnsi="仿宋_GB2312" w:cs="仿宋_GB2312" w:hint="eastAsia"/>
          <w:sz w:val="32"/>
          <w:szCs w:val="32"/>
        </w:rPr>
        <w:t>主要用于：</w:t>
      </w:r>
      <w:r>
        <w:rPr>
          <w:rFonts w:ascii="仿宋_GB2312" w:eastAsia="仿宋_GB2312" w:hint="eastAsia"/>
          <w:color w:val="000000"/>
          <w:sz w:val="32"/>
          <w:szCs w:val="32"/>
        </w:rPr>
        <w:t>单位公务用车燃料费、维修费、过路过桥费、保险费等支出</w:t>
      </w:r>
      <w:r>
        <w:rPr>
          <w:rFonts w:ascii="仿宋_GB2312" w:eastAsia="仿宋_GB2312" w:hAnsi="仿宋_GB2312" w:cs="仿宋_GB2312" w:hint="eastAsia"/>
          <w:sz w:val="32"/>
          <w:szCs w:val="32"/>
        </w:rPr>
        <w:t>；公务接待费1.78万元，</w:t>
      </w:r>
      <w:r>
        <w:rPr>
          <w:rFonts w:ascii="仿宋_GB2312" w:eastAsia="仿宋_GB2312" w:hint="eastAsia"/>
          <w:sz w:val="32"/>
          <w:szCs w:val="32"/>
        </w:rPr>
        <w:t>比2022年下降52.91</w:t>
      </w:r>
      <w:r>
        <w:rPr>
          <w:rFonts w:ascii="仿宋_GB2312" w:eastAsia="仿宋_GB2312" w:hAnsi="楷体_GB2312" w:cs="楷体_GB2312" w:hint="eastAsia"/>
          <w:sz w:val="32"/>
          <w:szCs w:val="32"/>
        </w:rPr>
        <w:t>%，</w:t>
      </w:r>
      <w:r>
        <w:rPr>
          <w:rFonts w:ascii="仿宋_GB2312" w:eastAsia="仿宋_GB2312" w:hAnsi="仿宋_GB2312" w:cs="仿宋_GB2312" w:hint="eastAsia"/>
          <w:sz w:val="32"/>
          <w:szCs w:val="32"/>
        </w:rPr>
        <w:t>主要用于：</w:t>
      </w:r>
      <w:r>
        <w:rPr>
          <w:rFonts w:ascii="仿宋_GB2312" w:eastAsia="仿宋_GB2312" w:hint="eastAsia"/>
          <w:sz w:val="32"/>
          <w:szCs w:val="32"/>
        </w:rPr>
        <w:t>单位按规定开支的各类公务接待（含外宾接待）支出</w:t>
      </w:r>
      <w:r>
        <w:rPr>
          <w:rFonts w:ascii="仿宋_GB2312" w:eastAsia="仿宋_GB2312" w:hAnsi="仿宋_GB2312" w:cs="仿宋_GB2312" w:hint="eastAsia"/>
          <w:sz w:val="32"/>
          <w:szCs w:val="32"/>
        </w:rPr>
        <w:t>，下降的主要原因是厉行节约，压缩公务</w:t>
      </w:r>
      <w:r>
        <w:rPr>
          <w:rFonts w:ascii="仿宋_GB2312" w:eastAsia="仿宋_GB2312" w:hint="eastAsia"/>
          <w:sz w:val="32"/>
          <w:szCs w:val="32"/>
        </w:rPr>
        <w:t>接待</w:t>
      </w:r>
      <w:r>
        <w:rPr>
          <w:rFonts w:ascii="仿宋_GB2312" w:eastAsia="仿宋_GB2312" w:hAnsi="仿宋_GB2312" w:cs="仿宋_GB2312" w:hint="eastAsia"/>
          <w:sz w:val="32"/>
          <w:szCs w:val="32"/>
        </w:rPr>
        <w:t>费支出。</w:t>
      </w:r>
    </w:p>
    <w:p w:rsidR="000C3BE7" w:rsidRDefault="000C3BE7">
      <w:pPr>
        <w:spacing w:line="580" w:lineRule="exact"/>
        <w:ind w:firstLine="600"/>
        <w:rPr>
          <w:rFonts w:ascii="黑体" w:eastAsia="黑体" w:hAnsi="黑体"/>
          <w:sz w:val="32"/>
          <w:szCs w:val="32"/>
        </w:rPr>
      </w:pPr>
      <w:r>
        <w:rPr>
          <w:rFonts w:ascii="黑体" w:eastAsia="黑体" w:hAnsi="黑体" w:hint="eastAsia"/>
          <w:sz w:val="32"/>
          <w:szCs w:val="32"/>
        </w:rPr>
        <w:lastRenderedPageBreak/>
        <w:t>二、其他重要事项的情况说明</w:t>
      </w:r>
    </w:p>
    <w:p w:rsidR="000C3BE7" w:rsidRDefault="000C3BE7">
      <w:pPr>
        <w:spacing w:line="560" w:lineRule="exact"/>
        <w:ind w:firstLineChars="200" w:firstLine="640"/>
        <w:rPr>
          <w:rFonts w:ascii="楷体_GB2312" w:eastAsia="楷体_GB2312"/>
          <w:sz w:val="32"/>
          <w:szCs w:val="32"/>
        </w:rPr>
      </w:pPr>
      <w:r>
        <w:rPr>
          <w:rFonts w:ascii="楷体_GB2312" w:eastAsia="楷体_GB2312" w:hint="eastAsia"/>
          <w:sz w:val="32"/>
          <w:szCs w:val="32"/>
        </w:rPr>
        <w:t>（一）</w:t>
      </w:r>
      <w:r>
        <w:rPr>
          <w:rFonts w:ascii="楷体_GB2312" w:eastAsia="楷体_GB2312"/>
          <w:sz w:val="32"/>
          <w:szCs w:val="32"/>
        </w:rPr>
        <w:t>市民中心后勤保障经费</w:t>
      </w:r>
      <w:r>
        <w:rPr>
          <w:rFonts w:ascii="楷体_GB2312" w:eastAsia="楷体_GB2312" w:hint="eastAsia"/>
          <w:sz w:val="32"/>
          <w:szCs w:val="32"/>
        </w:rPr>
        <w:t>重点项目情况说明</w:t>
      </w:r>
    </w:p>
    <w:p w:rsidR="000C3BE7" w:rsidRDefault="000C3BE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1.项目概述</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为市民中心提供水、暖、电、物业管理、房屋租赁和车位租赁服务，保障市民中心正常运行。</w:t>
      </w:r>
    </w:p>
    <w:p w:rsidR="000C3BE7" w:rsidRDefault="000C3BE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2.立项依据</w:t>
      </w:r>
    </w:p>
    <w:p w:rsidR="000C3BE7" w:rsidRDefault="000C3BE7">
      <w:pPr>
        <w:spacing w:line="56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（1）《青岛市第十六届人民政府常务会议纪要》（2019年第61次）。</w:t>
      </w:r>
    </w:p>
    <w:p w:rsidR="000C3BE7" w:rsidRDefault="000C3BE7">
      <w:pPr>
        <w:spacing w:line="560" w:lineRule="exact"/>
        <w:ind w:firstLineChars="200" w:firstLine="640"/>
        <w:rPr>
          <w:rFonts w:ascii="仿宋_GB2312" w:eastAsia="仿宋_GB2312" w:hAnsi="仿宋"/>
          <w:b/>
          <w:bCs/>
          <w:sz w:val="32"/>
          <w:szCs w:val="32"/>
        </w:rPr>
      </w:pPr>
      <w:r>
        <w:rPr>
          <w:rFonts w:ascii="仿宋_GB2312" w:eastAsia="仿宋_GB2312" w:hint="eastAsia"/>
          <w:sz w:val="32"/>
          <w:szCs w:val="32"/>
        </w:rPr>
        <w:t>（2）</w:t>
      </w:r>
      <w:r>
        <w:rPr>
          <w:rFonts w:ascii="仿宋_GB2312" w:eastAsia="仿宋_GB2312" w:hAnsi="仿宋" w:hint="eastAsia"/>
          <w:sz w:val="32"/>
          <w:szCs w:val="32"/>
        </w:rPr>
        <w:t>《青岛市第十六届人民政府常务会议纪要》（2020年第102次）。</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Ansi="仿宋" w:cs="仿宋_GB2312" w:hint="eastAsia"/>
          <w:bCs/>
          <w:sz w:val="32"/>
          <w:szCs w:val="32"/>
        </w:rPr>
        <w:t>《青岛市发展和改革委员会关于批复青岛市市民中心建设项目初步设计及概算的函》</w:t>
      </w:r>
      <w:r>
        <w:rPr>
          <w:rFonts w:ascii="仿宋_GB2312" w:eastAsia="仿宋_GB2312" w:hint="eastAsia"/>
          <w:sz w:val="32"/>
          <w:szCs w:val="32"/>
        </w:rPr>
        <w:t>（青发改投资审</w:t>
      </w:r>
      <w:r>
        <w:rPr>
          <w:rFonts w:ascii="宋体" w:hAnsi="宋体" w:cs="宋体" w:hint="eastAsia"/>
          <w:sz w:val="32"/>
          <w:szCs w:val="32"/>
        </w:rPr>
        <w:t>﹝</w:t>
      </w:r>
      <w:r>
        <w:rPr>
          <w:rFonts w:ascii="仿宋_GB2312" w:eastAsia="仿宋_GB2312" w:hint="eastAsia"/>
          <w:sz w:val="32"/>
          <w:szCs w:val="32"/>
        </w:rPr>
        <w:t>2019</w:t>
      </w:r>
      <w:r>
        <w:rPr>
          <w:rFonts w:ascii="宋体" w:hAnsi="宋体" w:cs="宋体" w:hint="eastAsia"/>
          <w:sz w:val="32"/>
          <w:szCs w:val="32"/>
        </w:rPr>
        <w:t>﹞</w:t>
      </w:r>
      <w:r>
        <w:rPr>
          <w:rFonts w:ascii="仿宋_GB2312" w:eastAsia="仿宋_GB2312" w:hint="eastAsia"/>
          <w:sz w:val="32"/>
          <w:szCs w:val="32"/>
        </w:rPr>
        <w:t>104号）。</w:t>
      </w:r>
    </w:p>
    <w:p w:rsidR="000C3BE7" w:rsidRDefault="000C3BE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3.实施主体</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青岛市行政审批服务局</w:t>
      </w:r>
    </w:p>
    <w:p w:rsidR="000C3BE7" w:rsidRDefault="000C3BE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4.实施方案</w:t>
      </w:r>
    </w:p>
    <w:p w:rsidR="000C3BE7" w:rsidRDefault="000C3BE7">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2023年市民中心后勤保障经费支出严格按照预算批复金额执行，其中，市民中心物业管理费、房屋租赁费、车位租赁费、</w:t>
      </w:r>
      <w:r>
        <w:rPr>
          <w:rFonts w:ascii="仿宋_GB2312" w:eastAsia="仿宋_GB2312" w:hAnsi="仿宋" w:cs="仿宋_GB2312" w:hint="eastAsia"/>
          <w:bCs/>
          <w:sz w:val="32"/>
          <w:szCs w:val="32"/>
        </w:rPr>
        <w:t>餐饮运行服务费等支出严格按照合同执行，水、暖、电等费用本着厉行节约的原则，严格按照实际发生金额支出。</w:t>
      </w:r>
    </w:p>
    <w:p w:rsidR="000C3BE7" w:rsidRDefault="000C3BE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5.实施周期</w:t>
      </w:r>
    </w:p>
    <w:p w:rsidR="000C3BE7" w:rsidRDefault="000C3BE7">
      <w:pPr>
        <w:spacing w:line="560" w:lineRule="exact"/>
        <w:ind w:firstLineChars="200" w:firstLine="640"/>
        <w:rPr>
          <w:rFonts w:ascii="仿宋_GB2312" w:eastAsia="仿宋_GB2312"/>
          <w:sz w:val="32"/>
          <w:szCs w:val="32"/>
        </w:rPr>
      </w:pPr>
      <w:r>
        <w:rPr>
          <w:rFonts w:ascii="仿宋_GB2312" w:eastAsia="仿宋_GB2312" w:hint="eastAsia"/>
          <w:sz w:val="32"/>
          <w:szCs w:val="32"/>
        </w:rPr>
        <w:t>2023年1至12月。</w:t>
      </w:r>
    </w:p>
    <w:p w:rsidR="000C3BE7" w:rsidRDefault="000C3BE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6.年度预算安排</w:t>
      </w:r>
    </w:p>
    <w:p w:rsidR="000C3BE7" w:rsidRPr="006811FC" w:rsidRDefault="000C3BE7">
      <w:pPr>
        <w:spacing w:line="560" w:lineRule="exact"/>
        <w:ind w:firstLineChars="200" w:firstLine="640"/>
        <w:outlineLvl w:val="0"/>
        <w:rPr>
          <w:rFonts w:ascii="仿宋_GB2312" w:eastAsia="仿宋_GB2312" w:hAnsi="仿宋" w:cs="仿宋_GB2312"/>
          <w:b/>
          <w:sz w:val="32"/>
          <w:szCs w:val="32"/>
        </w:rPr>
      </w:pPr>
      <w:r>
        <w:rPr>
          <w:rFonts w:ascii="仿宋_GB2312" w:eastAsia="仿宋_GB2312" w:hAnsi="仿宋" w:cs="仿宋_GB2312" w:hint="eastAsia"/>
          <w:sz w:val="32"/>
          <w:szCs w:val="32"/>
        </w:rPr>
        <w:t>2023年</w:t>
      </w:r>
      <w:r>
        <w:rPr>
          <w:rFonts w:ascii="仿宋_GB2312" w:eastAsia="仿宋_GB2312" w:hAnsi="仿宋" w:cs="仿宋_GB2312"/>
          <w:sz w:val="32"/>
          <w:szCs w:val="32"/>
        </w:rPr>
        <w:t>市民中心后勤保障</w:t>
      </w:r>
      <w:r w:rsidRPr="006811FC">
        <w:rPr>
          <w:rFonts w:ascii="仿宋_GB2312" w:eastAsia="仿宋_GB2312" w:hAnsi="仿宋" w:cs="仿宋_GB2312"/>
          <w:sz w:val="32"/>
          <w:szCs w:val="32"/>
        </w:rPr>
        <w:t>经费</w:t>
      </w:r>
      <w:r w:rsidRPr="006811FC">
        <w:rPr>
          <w:rFonts w:ascii="仿宋_GB2312" w:eastAsia="仿宋_GB2312" w:hAnsi="仿宋" w:cs="仿宋_GB2312" w:hint="eastAsia"/>
          <w:sz w:val="32"/>
          <w:szCs w:val="32"/>
        </w:rPr>
        <w:t>预算批复数为</w:t>
      </w:r>
      <w:r w:rsidR="006811FC" w:rsidRPr="006811FC">
        <w:rPr>
          <w:rFonts w:ascii="仿宋_GB2312" w:eastAsia="仿宋_GB2312" w:hAnsi="仿宋" w:cs="仿宋_GB2312" w:hint="eastAsia"/>
          <w:sz w:val="32"/>
          <w:szCs w:val="32"/>
        </w:rPr>
        <w:t>7151</w:t>
      </w:r>
      <w:r w:rsidRPr="006811FC">
        <w:rPr>
          <w:rFonts w:ascii="仿宋_GB2312" w:eastAsia="仿宋_GB2312" w:hAnsi="仿宋" w:cs="仿宋_GB2312" w:hint="eastAsia"/>
          <w:sz w:val="32"/>
          <w:szCs w:val="32"/>
        </w:rPr>
        <w:t>万元，其中，办公经费</w:t>
      </w:r>
      <w:r w:rsidR="006811FC" w:rsidRPr="006811FC">
        <w:rPr>
          <w:rFonts w:ascii="仿宋_GB2312" w:eastAsia="仿宋_GB2312" w:hAnsi="仿宋" w:hint="eastAsia"/>
          <w:sz w:val="32"/>
          <w:szCs w:val="32"/>
        </w:rPr>
        <w:t>6820.22</w:t>
      </w:r>
      <w:r w:rsidRPr="006811FC">
        <w:rPr>
          <w:rFonts w:ascii="仿宋_GB2312" w:eastAsia="仿宋_GB2312" w:hAnsi="仿宋" w:cs="仿宋_GB2312" w:hint="eastAsia"/>
          <w:sz w:val="32"/>
          <w:szCs w:val="32"/>
        </w:rPr>
        <w:t>万元、委托业务费149万元、</w:t>
      </w:r>
      <w:r w:rsidRPr="006811FC">
        <w:rPr>
          <w:rFonts w:ascii="仿宋_GB2312" w:eastAsia="仿宋_GB2312" w:hAnsi="仿宋" w:cs="仿宋_GB2312" w:hint="eastAsia"/>
          <w:bCs/>
          <w:sz w:val="32"/>
          <w:szCs w:val="32"/>
        </w:rPr>
        <w:t>其他商品和服务支</w:t>
      </w:r>
      <w:r w:rsidRPr="006811FC">
        <w:rPr>
          <w:rFonts w:ascii="仿宋_GB2312" w:eastAsia="仿宋_GB2312" w:hAnsi="仿宋" w:cs="仿宋_GB2312" w:hint="eastAsia"/>
          <w:bCs/>
          <w:sz w:val="32"/>
          <w:szCs w:val="32"/>
        </w:rPr>
        <w:lastRenderedPageBreak/>
        <w:t>出</w:t>
      </w:r>
      <w:r w:rsidR="006811FC" w:rsidRPr="006811FC">
        <w:rPr>
          <w:rFonts w:ascii="仿宋_GB2312" w:eastAsia="仿宋_GB2312" w:hAnsi="仿宋" w:cs="仿宋_GB2312"/>
          <w:bCs/>
          <w:sz w:val="32"/>
          <w:szCs w:val="32"/>
        </w:rPr>
        <w:t>181.78</w:t>
      </w:r>
      <w:r w:rsidRPr="006811FC">
        <w:rPr>
          <w:rFonts w:ascii="仿宋_GB2312" w:eastAsia="仿宋_GB2312" w:hAnsi="仿宋" w:cs="仿宋_GB2312" w:hint="eastAsia"/>
          <w:bCs/>
          <w:sz w:val="32"/>
          <w:szCs w:val="32"/>
        </w:rPr>
        <w:t>万元</w:t>
      </w:r>
      <w:r w:rsidRPr="006811FC">
        <w:rPr>
          <w:rFonts w:ascii="仿宋_GB2312" w:eastAsia="仿宋_GB2312" w:hAnsi="仿宋" w:cs="仿宋_GB2312" w:hint="eastAsia"/>
          <w:sz w:val="32"/>
          <w:szCs w:val="32"/>
        </w:rPr>
        <w:t>。</w:t>
      </w:r>
    </w:p>
    <w:p w:rsidR="000C3BE7" w:rsidRPr="006811FC" w:rsidRDefault="000C3BE7">
      <w:pPr>
        <w:spacing w:line="580" w:lineRule="exact"/>
        <w:ind w:firstLine="601"/>
        <w:rPr>
          <w:rFonts w:ascii="仿宋_GB2312" w:eastAsia="仿宋_GB2312" w:hAnsi="仿宋_GB2312" w:cs="仿宋_GB2312"/>
          <w:b/>
          <w:bCs/>
          <w:sz w:val="32"/>
          <w:szCs w:val="32"/>
        </w:rPr>
      </w:pPr>
      <w:r w:rsidRPr="006811FC">
        <w:rPr>
          <w:rFonts w:ascii="仿宋_GB2312" w:eastAsia="仿宋_GB2312" w:hAnsi="仿宋_GB2312" w:cs="仿宋_GB2312" w:hint="eastAsia"/>
          <w:b/>
          <w:bCs/>
          <w:sz w:val="32"/>
          <w:szCs w:val="32"/>
        </w:rPr>
        <w:t>7.绩效目标和指标</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AB6FBD" w:rsidTr="004A086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AB6FBD" w:rsidRDefault="00AB6FBD" w:rsidP="000C3BE7">
            <w:pPr>
              <w:pStyle w:val="5"/>
            </w:pPr>
            <w:r>
              <w:t>130001青岛市行政审批服务局本级</w:t>
            </w:r>
          </w:p>
        </w:tc>
        <w:tc>
          <w:tcPr>
            <w:tcW w:w="1843" w:type="dxa"/>
            <w:tcBorders>
              <w:top w:val="single" w:sz="6" w:space="0" w:color="FFFFFF"/>
              <w:left w:val="single" w:sz="6" w:space="0" w:color="FFFFFF"/>
              <w:right w:val="single" w:sz="6" w:space="0" w:color="FFFFFF"/>
            </w:tcBorders>
            <w:vAlign w:val="center"/>
          </w:tcPr>
          <w:p w:rsidR="00AB6FBD" w:rsidRDefault="00AB6FBD" w:rsidP="000C3BE7">
            <w:pPr>
              <w:pStyle w:val="4"/>
            </w:pPr>
            <w:r>
              <w:t>单位：万元</w:t>
            </w:r>
          </w:p>
        </w:tc>
      </w:tr>
      <w:tr w:rsidR="00AB6FBD" w:rsidTr="004A0866">
        <w:trPr>
          <w:trHeight w:val="369"/>
          <w:jc w:val="center"/>
        </w:trPr>
        <w:tc>
          <w:tcPr>
            <w:tcW w:w="1276" w:type="dxa"/>
            <w:vAlign w:val="center"/>
          </w:tcPr>
          <w:p w:rsidR="00AB6FBD" w:rsidRDefault="00AB6FBD" w:rsidP="000C3BE7">
            <w:pPr>
              <w:pStyle w:val="1"/>
            </w:pPr>
            <w:r>
              <w:t>项目编码</w:t>
            </w:r>
          </w:p>
        </w:tc>
        <w:tc>
          <w:tcPr>
            <w:tcW w:w="2608" w:type="dxa"/>
            <w:gridSpan w:val="2"/>
            <w:vAlign w:val="center"/>
          </w:tcPr>
          <w:p w:rsidR="00AB6FBD" w:rsidRDefault="00AB6FBD" w:rsidP="000C3BE7">
            <w:pPr>
              <w:pStyle w:val="2"/>
            </w:pPr>
            <w:r>
              <w:t>37020023P88002811163B</w:t>
            </w:r>
          </w:p>
        </w:tc>
        <w:tc>
          <w:tcPr>
            <w:tcW w:w="1587" w:type="dxa"/>
            <w:vAlign w:val="center"/>
          </w:tcPr>
          <w:p w:rsidR="00AB6FBD" w:rsidRDefault="00AB6FBD" w:rsidP="000C3BE7">
            <w:pPr>
              <w:pStyle w:val="1"/>
            </w:pPr>
            <w:r>
              <w:t>项目名称</w:t>
            </w:r>
          </w:p>
        </w:tc>
        <w:tc>
          <w:tcPr>
            <w:tcW w:w="4423" w:type="dxa"/>
            <w:gridSpan w:val="3"/>
            <w:vAlign w:val="center"/>
          </w:tcPr>
          <w:p w:rsidR="00AB6FBD" w:rsidRDefault="00AB6FBD" w:rsidP="000C3BE7">
            <w:pPr>
              <w:pStyle w:val="2"/>
            </w:pPr>
            <w:r>
              <w:t>市民中心后勤保障经费</w:t>
            </w:r>
          </w:p>
        </w:tc>
      </w:tr>
      <w:tr w:rsidR="00AB6FBD" w:rsidTr="004A0866">
        <w:trPr>
          <w:trHeight w:val="369"/>
          <w:jc w:val="center"/>
        </w:trPr>
        <w:tc>
          <w:tcPr>
            <w:tcW w:w="1276" w:type="dxa"/>
            <w:vMerge w:val="restart"/>
            <w:vAlign w:val="center"/>
          </w:tcPr>
          <w:p w:rsidR="00AB6FBD" w:rsidRDefault="00AB6FBD" w:rsidP="000C3BE7">
            <w:pPr>
              <w:pStyle w:val="1"/>
            </w:pPr>
            <w:r>
              <w:t>预算规模及资金用途</w:t>
            </w:r>
          </w:p>
        </w:tc>
        <w:tc>
          <w:tcPr>
            <w:tcW w:w="1276" w:type="dxa"/>
            <w:vAlign w:val="center"/>
          </w:tcPr>
          <w:p w:rsidR="00AB6FBD" w:rsidRDefault="00AB6FBD" w:rsidP="000C3BE7">
            <w:pPr>
              <w:pStyle w:val="1"/>
            </w:pPr>
            <w:r>
              <w:t>预算数</w:t>
            </w:r>
          </w:p>
        </w:tc>
        <w:tc>
          <w:tcPr>
            <w:tcW w:w="1332" w:type="dxa"/>
            <w:vAlign w:val="center"/>
          </w:tcPr>
          <w:p w:rsidR="00AB6FBD" w:rsidRDefault="00AB6FBD" w:rsidP="000C3BE7">
            <w:pPr>
              <w:pStyle w:val="2"/>
            </w:pPr>
            <w:r>
              <w:t>7151.00</w:t>
            </w:r>
          </w:p>
        </w:tc>
        <w:tc>
          <w:tcPr>
            <w:tcW w:w="1587" w:type="dxa"/>
            <w:vAlign w:val="center"/>
          </w:tcPr>
          <w:p w:rsidR="00AB6FBD" w:rsidRDefault="00AB6FBD" w:rsidP="000C3BE7">
            <w:pPr>
              <w:pStyle w:val="1"/>
            </w:pPr>
            <w:r>
              <w:t>其中：财政    资金</w:t>
            </w:r>
          </w:p>
        </w:tc>
        <w:tc>
          <w:tcPr>
            <w:tcW w:w="1304" w:type="dxa"/>
            <w:vAlign w:val="center"/>
          </w:tcPr>
          <w:p w:rsidR="00AB6FBD" w:rsidRDefault="00AB6FBD" w:rsidP="000C3BE7">
            <w:pPr>
              <w:pStyle w:val="2"/>
            </w:pPr>
            <w:r>
              <w:t>7151.00</w:t>
            </w:r>
          </w:p>
        </w:tc>
        <w:tc>
          <w:tcPr>
            <w:tcW w:w="1276" w:type="dxa"/>
            <w:vAlign w:val="center"/>
          </w:tcPr>
          <w:p w:rsidR="00AB6FBD" w:rsidRDefault="00AB6FBD" w:rsidP="000C3BE7">
            <w:pPr>
              <w:pStyle w:val="1"/>
            </w:pPr>
            <w:r>
              <w:t>其他资金</w:t>
            </w:r>
          </w:p>
        </w:tc>
        <w:tc>
          <w:tcPr>
            <w:tcW w:w="1843" w:type="dxa"/>
            <w:vAlign w:val="center"/>
          </w:tcPr>
          <w:p w:rsidR="00AB6FBD" w:rsidRDefault="00AB6FBD" w:rsidP="000C3BE7">
            <w:pPr>
              <w:pStyle w:val="2"/>
            </w:pPr>
            <w:r>
              <w:t xml:space="preserve"> </w:t>
            </w:r>
          </w:p>
        </w:tc>
      </w:tr>
      <w:tr w:rsidR="00AB6FBD" w:rsidTr="004A0866">
        <w:trPr>
          <w:trHeight w:val="369"/>
          <w:jc w:val="center"/>
        </w:trPr>
        <w:tc>
          <w:tcPr>
            <w:tcW w:w="1276" w:type="dxa"/>
            <w:vMerge/>
          </w:tcPr>
          <w:p w:rsidR="00AB6FBD" w:rsidRDefault="00AB6FBD" w:rsidP="000C3BE7"/>
        </w:tc>
        <w:tc>
          <w:tcPr>
            <w:tcW w:w="8618" w:type="dxa"/>
            <w:gridSpan w:val="6"/>
            <w:vAlign w:val="center"/>
          </w:tcPr>
          <w:p w:rsidR="00AB6FBD" w:rsidRDefault="00AB6FBD" w:rsidP="000C3BE7">
            <w:pPr>
              <w:pStyle w:val="2"/>
            </w:pPr>
            <w:r>
              <w:t>为市民中心正常运转提供后勤保障服务。</w:t>
            </w:r>
          </w:p>
        </w:tc>
      </w:tr>
      <w:tr w:rsidR="00AB6FBD" w:rsidTr="004A0866">
        <w:trPr>
          <w:trHeight w:val="369"/>
          <w:jc w:val="center"/>
        </w:trPr>
        <w:tc>
          <w:tcPr>
            <w:tcW w:w="1276" w:type="dxa"/>
            <w:vMerge w:val="restart"/>
            <w:vAlign w:val="center"/>
          </w:tcPr>
          <w:p w:rsidR="00AB6FBD" w:rsidRDefault="00AB6FBD" w:rsidP="00062C48">
            <w:pPr>
              <w:pStyle w:val="1"/>
            </w:pPr>
            <w:r>
              <w:t>资金支出计划</w:t>
            </w:r>
          </w:p>
        </w:tc>
        <w:tc>
          <w:tcPr>
            <w:tcW w:w="2608" w:type="dxa"/>
            <w:gridSpan w:val="2"/>
            <w:vAlign w:val="center"/>
          </w:tcPr>
          <w:p w:rsidR="00AB6FBD" w:rsidRDefault="00AB6FBD" w:rsidP="000C3BE7">
            <w:pPr>
              <w:pStyle w:val="1"/>
            </w:pPr>
            <w:r>
              <w:t>3月底</w:t>
            </w:r>
          </w:p>
        </w:tc>
        <w:tc>
          <w:tcPr>
            <w:tcW w:w="1587" w:type="dxa"/>
            <w:vAlign w:val="center"/>
          </w:tcPr>
          <w:p w:rsidR="00AB6FBD" w:rsidRDefault="00AB6FBD" w:rsidP="000C3BE7">
            <w:pPr>
              <w:pStyle w:val="1"/>
            </w:pPr>
            <w:r>
              <w:t>6月底</w:t>
            </w:r>
          </w:p>
        </w:tc>
        <w:tc>
          <w:tcPr>
            <w:tcW w:w="1304" w:type="dxa"/>
            <w:vAlign w:val="center"/>
          </w:tcPr>
          <w:p w:rsidR="00AB6FBD" w:rsidRDefault="00AB6FBD" w:rsidP="000C3BE7">
            <w:pPr>
              <w:pStyle w:val="1"/>
            </w:pPr>
            <w:r>
              <w:t>10月底</w:t>
            </w:r>
          </w:p>
        </w:tc>
        <w:tc>
          <w:tcPr>
            <w:tcW w:w="3119" w:type="dxa"/>
            <w:gridSpan w:val="2"/>
            <w:vAlign w:val="center"/>
          </w:tcPr>
          <w:p w:rsidR="00AB6FBD" w:rsidRDefault="00AB6FBD" w:rsidP="000C3BE7">
            <w:pPr>
              <w:pStyle w:val="1"/>
            </w:pPr>
            <w:r>
              <w:t>12月底</w:t>
            </w:r>
          </w:p>
        </w:tc>
      </w:tr>
      <w:tr w:rsidR="004A0866" w:rsidTr="004A0866">
        <w:trPr>
          <w:trHeight w:val="369"/>
          <w:jc w:val="center"/>
        </w:trPr>
        <w:tc>
          <w:tcPr>
            <w:tcW w:w="1276" w:type="dxa"/>
            <w:vMerge/>
          </w:tcPr>
          <w:p w:rsidR="004A0866" w:rsidRDefault="004A0866" w:rsidP="000C3BE7"/>
        </w:tc>
        <w:tc>
          <w:tcPr>
            <w:tcW w:w="2608" w:type="dxa"/>
            <w:gridSpan w:val="2"/>
            <w:vAlign w:val="center"/>
          </w:tcPr>
          <w:p w:rsidR="004A0866" w:rsidRDefault="004A0866" w:rsidP="007E7F55">
            <w:pPr>
              <w:pStyle w:val="3"/>
            </w:pPr>
            <w:r>
              <w:t>2000.00</w:t>
            </w:r>
          </w:p>
        </w:tc>
        <w:tc>
          <w:tcPr>
            <w:tcW w:w="1587" w:type="dxa"/>
            <w:vAlign w:val="center"/>
          </w:tcPr>
          <w:p w:rsidR="004A0866" w:rsidRDefault="004A0866" w:rsidP="007E7F55">
            <w:pPr>
              <w:pStyle w:val="3"/>
            </w:pPr>
            <w:r>
              <w:t>5000.00</w:t>
            </w:r>
          </w:p>
        </w:tc>
        <w:tc>
          <w:tcPr>
            <w:tcW w:w="1304" w:type="dxa"/>
            <w:vAlign w:val="center"/>
          </w:tcPr>
          <w:p w:rsidR="004A0866" w:rsidRDefault="004A0866" w:rsidP="007E7F55">
            <w:pPr>
              <w:pStyle w:val="3"/>
            </w:pPr>
            <w:r>
              <w:t>7000.00</w:t>
            </w:r>
          </w:p>
        </w:tc>
        <w:tc>
          <w:tcPr>
            <w:tcW w:w="3119" w:type="dxa"/>
            <w:gridSpan w:val="2"/>
            <w:vAlign w:val="center"/>
          </w:tcPr>
          <w:p w:rsidR="004A0866" w:rsidRDefault="004A0866" w:rsidP="007E7F55">
            <w:pPr>
              <w:pStyle w:val="3"/>
            </w:pPr>
            <w:r>
              <w:t>7151.00</w:t>
            </w:r>
          </w:p>
        </w:tc>
      </w:tr>
      <w:tr w:rsidR="00AB6FBD" w:rsidTr="004A0866">
        <w:trPr>
          <w:trHeight w:val="369"/>
          <w:jc w:val="center"/>
        </w:trPr>
        <w:tc>
          <w:tcPr>
            <w:tcW w:w="1276" w:type="dxa"/>
            <w:vAlign w:val="center"/>
          </w:tcPr>
          <w:p w:rsidR="00AB6FBD" w:rsidRDefault="00AB6FBD" w:rsidP="000C3BE7">
            <w:pPr>
              <w:pStyle w:val="1"/>
            </w:pPr>
            <w:r>
              <w:t>绩效目标</w:t>
            </w:r>
          </w:p>
        </w:tc>
        <w:tc>
          <w:tcPr>
            <w:tcW w:w="8618" w:type="dxa"/>
            <w:gridSpan w:val="6"/>
            <w:vAlign w:val="center"/>
          </w:tcPr>
          <w:p w:rsidR="00AB6FBD" w:rsidRDefault="00AB6FBD" w:rsidP="000C3BE7">
            <w:pPr>
              <w:pStyle w:val="2"/>
            </w:pPr>
            <w:r>
              <w:t>通过做好设备维护、停车场管理等服务，确保市民中心正常运行。</w:t>
            </w:r>
          </w:p>
        </w:tc>
      </w:tr>
    </w:tbl>
    <w:p w:rsidR="00AB6FBD" w:rsidRDefault="00AB6FBD" w:rsidP="00AB6FBD">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AB6FBD" w:rsidTr="000C3BE7">
        <w:trPr>
          <w:trHeight w:val="397"/>
          <w:tblHeader/>
          <w:jc w:val="center"/>
        </w:trPr>
        <w:tc>
          <w:tcPr>
            <w:tcW w:w="1276" w:type="dxa"/>
            <w:vAlign w:val="center"/>
          </w:tcPr>
          <w:p w:rsidR="00AB6FBD" w:rsidRDefault="00AB6FBD" w:rsidP="000C3BE7">
            <w:pPr>
              <w:pStyle w:val="1"/>
            </w:pPr>
            <w:r>
              <w:t>一级指标</w:t>
            </w:r>
          </w:p>
        </w:tc>
        <w:tc>
          <w:tcPr>
            <w:tcW w:w="1276" w:type="dxa"/>
            <w:vAlign w:val="center"/>
          </w:tcPr>
          <w:p w:rsidR="00AB6FBD" w:rsidRDefault="00AB6FBD" w:rsidP="000C3BE7">
            <w:pPr>
              <w:pStyle w:val="1"/>
            </w:pPr>
            <w:r>
              <w:t>二级指标</w:t>
            </w:r>
          </w:p>
        </w:tc>
        <w:tc>
          <w:tcPr>
            <w:tcW w:w="1332" w:type="dxa"/>
            <w:vAlign w:val="center"/>
          </w:tcPr>
          <w:p w:rsidR="00AB6FBD" w:rsidRDefault="00AB6FBD" w:rsidP="000C3BE7">
            <w:pPr>
              <w:pStyle w:val="1"/>
            </w:pPr>
            <w:r>
              <w:t>三级指标</w:t>
            </w:r>
          </w:p>
        </w:tc>
        <w:tc>
          <w:tcPr>
            <w:tcW w:w="2891" w:type="dxa"/>
            <w:vAlign w:val="center"/>
          </w:tcPr>
          <w:p w:rsidR="00AB6FBD" w:rsidRDefault="00AB6FBD" w:rsidP="000C3BE7">
            <w:pPr>
              <w:pStyle w:val="1"/>
            </w:pPr>
            <w:r>
              <w:t>绩效指标描述</w:t>
            </w:r>
          </w:p>
        </w:tc>
        <w:tc>
          <w:tcPr>
            <w:tcW w:w="1276" w:type="dxa"/>
            <w:vAlign w:val="center"/>
          </w:tcPr>
          <w:p w:rsidR="00AB6FBD" w:rsidRDefault="00AB6FBD" w:rsidP="000C3BE7">
            <w:pPr>
              <w:pStyle w:val="1"/>
            </w:pPr>
            <w:r>
              <w:t>指标值</w:t>
            </w:r>
          </w:p>
        </w:tc>
        <w:tc>
          <w:tcPr>
            <w:tcW w:w="1843" w:type="dxa"/>
            <w:vAlign w:val="center"/>
          </w:tcPr>
          <w:p w:rsidR="00AB6FBD" w:rsidRDefault="00AB6FBD" w:rsidP="000C3BE7">
            <w:pPr>
              <w:pStyle w:val="1"/>
            </w:pPr>
            <w:r>
              <w:t>指标值确定依据</w:t>
            </w:r>
          </w:p>
        </w:tc>
      </w:tr>
      <w:tr w:rsidR="00AB6FBD" w:rsidTr="000C3BE7">
        <w:trPr>
          <w:trHeight w:val="369"/>
          <w:jc w:val="center"/>
        </w:trPr>
        <w:tc>
          <w:tcPr>
            <w:tcW w:w="1276" w:type="dxa"/>
            <w:vAlign w:val="center"/>
          </w:tcPr>
          <w:p w:rsidR="00AB6FBD" w:rsidRDefault="00AB6FBD" w:rsidP="000C3BE7">
            <w:pPr>
              <w:pStyle w:val="3"/>
            </w:pPr>
            <w:r>
              <w:t>成本指标</w:t>
            </w:r>
          </w:p>
        </w:tc>
        <w:tc>
          <w:tcPr>
            <w:tcW w:w="1276" w:type="dxa"/>
            <w:vAlign w:val="center"/>
          </w:tcPr>
          <w:p w:rsidR="00AB6FBD" w:rsidRDefault="00AB6FBD" w:rsidP="000C3BE7">
            <w:pPr>
              <w:pStyle w:val="2"/>
            </w:pPr>
            <w:r>
              <w:t>经济成本指标</w:t>
            </w:r>
          </w:p>
        </w:tc>
        <w:tc>
          <w:tcPr>
            <w:tcW w:w="1332" w:type="dxa"/>
            <w:vAlign w:val="center"/>
          </w:tcPr>
          <w:p w:rsidR="00AB6FBD" w:rsidRDefault="00AB6FBD" w:rsidP="000C3BE7">
            <w:pPr>
              <w:pStyle w:val="2"/>
            </w:pPr>
            <w:r>
              <w:t>后勤保障预算控制数</w:t>
            </w:r>
          </w:p>
        </w:tc>
        <w:tc>
          <w:tcPr>
            <w:tcW w:w="2891" w:type="dxa"/>
            <w:vAlign w:val="center"/>
          </w:tcPr>
          <w:p w:rsidR="00AB6FBD" w:rsidRDefault="00AB6FBD" w:rsidP="000C3BE7">
            <w:pPr>
              <w:pStyle w:val="2"/>
            </w:pPr>
            <w:r>
              <w:t>后勤保障预算控制数</w:t>
            </w:r>
          </w:p>
        </w:tc>
        <w:tc>
          <w:tcPr>
            <w:tcW w:w="1276" w:type="dxa"/>
            <w:vAlign w:val="center"/>
          </w:tcPr>
          <w:p w:rsidR="00AB6FBD" w:rsidRDefault="00AB6FBD" w:rsidP="000C3BE7">
            <w:pPr>
              <w:pStyle w:val="2"/>
            </w:pPr>
            <w:r>
              <w:t>≤7151万元</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restart"/>
            <w:vAlign w:val="center"/>
          </w:tcPr>
          <w:p w:rsidR="00AB6FBD" w:rsidRDefault="00AB6FBD" w:rsidP="000C3BE7">
            <w:pPr>
              <w:pStyle w:val="3"/>
            </w:pPr>
            <w:r>
              <w:t>产出指标</w:t>
            </w:r>
          </w:p>
        </w:tc>
        <w:tc>
          <w:tcPr>
            <w:tcW w:w="1276" w:type="dxa"/>
            <w:vAlign w:val="center"/>
          </w:tcPr>
          <w:p w:rsidR="00AB6FBD" w:rsidRDefault="00AB6FBD" w:rsidP="000C3BE7">
            <w:pPr>
              <w:pStyle w:val="2"/>
            </w:pPr>
            <w:r>
              <w:t>数量指标</w:t>
            </w:r>
          </w:p>
        </w:tc>
        <w:tc>
          <w:tcPr>
            <w:tcW w:w="1332" w:type="dxa"/>
            <w:vAlign w:val="center"/>
          </w:tcPr>
          <w:p w:rsidR="00AB6FBD" w:rsidRDefault="00AB6FBD" w:rsidP="000C3BE7">
            <w:pPr>
              <w:pStyle w:val="2"/>
            </w:pPr>
            <w:r>
              <w:t>服务人数</w:t>
            </w:r>
          </w:p>
        </w:tc>
        <w:tc>
          <w:tcPr>
            <w:tcW w:w="2891" w:type="dxa"/>
            <w:vAlign w:val="center"/>
          </w:tcPr>
          <w:p w:rsidR="00AB6FBD" w:rsidRDefault="00AB6FBD" w:rsidP="000C3BE7">
            <w:pPr>
              <w:pStyle w:val="2"/>
            </w:pPr>
            <w:r>
              <w:t>服务人数</w:t>
            </w:r>
          </w:p>
        </w:tc>
        <w:tc>
          <w:tcPr>
            <w:tcW w:w="1276" w:type="dxa"/>
            <w:vAlign w:val="center"/>
          </w:tcPr>
          <w:p w:rsidR="00AB6FBD" w:rsidRDefault="00AB6FBD" w:rsidP="000C3BE7">
            <w:pPr>
              <w:pStyle w:val="2"/>
            </w:pPr>
            <w:r>
              <w:t>≥600人</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ign w:val="center"/>
          </w:tcPr>
          <w:p w:rsidR="00AB6FBD" w:rsidRDefault="00AB6FBD" w:rsidP="000C3BE7"/>
        </w:tc>
        <w:tc>
          <w:tcPr>
            <w:tcW w:w="1276" w:type="dxa"/>
            <w:vAlign w:val="center"/>
          </w:tcPr>
          <w:p w:rsidR="00AB6FBD" w:rsidRDefault="00AB6FBD" w:rsidP="000C3BE7">
            <w:pPr>
              <w:pStyle w:val="2"/>
            </w:pPr>
            <w:r>
              <w:t>数量指标</w:t>
            </w:r>
          </w:p>
        </w:tc>
        <w:tc>
          <w:tcPr>
            <w:tcW w:w="1332" w:type="dxa"/>
            <w:vAlign w:val="center"/>
          </w:tcPr>
          <w:p w:rsidR="00AB6FBD" w:rsidRDefault="00AB6FBD" w:rsidP="000C3BE7">
            <w:pPr>
              <w:pStyle w:val="2"/>
            </w:pPr>
            <w:r>
              <w:t>采购数量</w:t>
            </w:r>
          </w:p>
        </w:tc>
        <w:tc>
          <w:tcPr>
            <w:tcW w:w="2891" w:type="dxa"/>
            <w:vAlign w:val="center"/>
          </w:tcPr>
          <w:p w:rsidR="00AB6FBD" w:rsidRDefault="00AB6FBD" w:rsidP="000C3BE7">
            <w:pPr>
              <w:pStyle w:val="2"/>
            </w:pPr>
            <w:r>
              <w:t>采购数量</w:t>
            </w:r>
          </w:p>
        </w:tc>
        <w:tc>
          <w:tcPr>
            <w:tcW w:w="1276" w:type="dxa"/>
            <w:vAlign w:val="center"/>
          </w:tcPr>
          <w:p w:rsidR="00AB6FBD" w:rsidRDefault="00AB6FBD" w:rsidP="000C3BE7">
            <w:pPr>
              <w:pStyle w:val="2"/>
            </w:pPr>
            <w:r>
              <w:t>≥2个</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ign w:val="center"/>
          </w:tcPr>
          <w:p w:rsidR="00AB6FBD" w:rsidRDefault="00AB6FBD" w:rsidP="000C3BE7"/>
        </w:tc>
        <w:tc>
          <w:tcPr>
            <w:tcW w:w="1276" w:type="dxa"/>
            <w:vAlign w:val="center"/>
          </w:tcPr>
          <w:p w:rsidR="00AB6FBD" w:rsidRDefault="00AB6FBD" w:rsidP="000C3BE7">
            <w:pPr>
              <w:pStyle w:val="2"/>
            </w:pPr>
            <w:r>
              <w:t>时效指标</w:t>
            </w:r>
          </w:p>
        </w:tc>
        <w:tc>
          <w:tcPr>
            <w:tcW w:w="1332" w:type="dxa"/>
            <w:vAlign w:val="center"/>
          </w:tcPr>
          <w:p w:rsidR="00AB6FBD" w:rsidRDefault="00AB6FBD" w:rsidP="000C3BE7">
            <w:pPr>
              <w:pStyle w:val="2"/>
            </w:pPr>
            <w:r>
              <w:t>支出进度设备维修故障响应时效</w:t>
            </w:r>
          </w:p>
        </w:tc>
        <w:tc>
          <w:tcPr>
            <w:tcW w:w="2891" w:type="dxa"/>
            <w:vAlign w:val="center"/>
          </w:tcPr>
          <w:p w:rsidR="00AB6FBD" w:rsidRDefault="00AB6FBD" w:rsidP="000C3BE7">
            <w:pPr>
              <w:pStyle w:val="2"/>
            </w:pPr>
            <w:r>
              <w:t>设备维修故障响应时效</w:t>
            </w:r>
          </w:p>
        </w:tc>
        <w:tc>
          <w:tcPr>
            <w:tcW w:w="1276" w:type="dxa"/>
            <w:vAlign w:val="center"/>
          </w:tcPr>
          <w:p w:rsidR="00AB6FBD" w:rsidRDefault="00AB6FBD" w:rsidP="000C3BE7">
            <w:pPr>
              <w:pStyle w:val="2"/>
            </w:pPr>
            <w:r>
              <w:t>≤0.5小时</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ign w:val="center"/>
          </w:tcPr>
          <w:p w:rsidR="00AB6FBD" w:rsidRDefault="00AB6FBD" w:rsidP="000C3BE7"/>
        </w:tc>
        <w:tc>
          <w:tcPr>
            <w:tcW w:w="1276" w:type="dxa"/>
            <w:vAlign w:val="center"/>
          </w:tcPr>
          <w:p w:rsidR="00AB6FBD" w:rsidRDefault="00AB6FBD" w:rsidP="000C3BE7">
            <w:pPr>
              <w:pStyle w:val="2"/>
            </w:pPr>
            <w:r>
              <w:t>质量指标</w:t>
            </w:r>
          </w:p>
        </w:tc>
        <w:tc>
          <w:tcPr>
            <w:tcW w:w="1332" w:type="dxa"/>
            <w:vAlign w:val="center"/>
          </w:tcPr>
          <w:p w:rsidR="00AB6FBD" w:rsidRDefault="00AB6FBD" w:rsidP="000C3BE7">
            <w:pPr>
              <w:pStyle w:val="2"/>
            </w:pPr>
            <w:r>
              <w:t>确保停车场正常运行</w:t>
            </w:r>
          </w:p>
        </w:tc>
        <w:tc>
          <w:tcPr>
            <w:tcW w:w="2891" w:type="dxa"/>
            <w:vAlign w:val="center"/>
          </w:tcPr>
          <w:p w:rsidR="00AB6FBD" w:rsidRDefault="00AB6FBD" w:rsidP="000C3BE7">
            <w:pPr>
              <w:pStyle w:val="2"/>
            </w:pPr>
            <w:r>
              <w:t>确保停车场正常运行天数</w:t>
            </w:r>
          </w:p>
        </w:tc>
        <w:tc>
          <w:tcPr>
            <w:tcW w:w="1276" w:type="dxa"/>
            <w:vAlign w:val="center"/>
          </w:tcPr>
          <w:p w:rsidR="00AB6FBD" w:rsidRDefault="00AB6FBD" w:rsidP="000C3BE7">
            <w:pPr>
              <w:pStyle w:val="2"/>
            </w:pPr>
            <w:r>
              <w:t>≥360天</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ign w:val="center"/>
          </w:tcPr>
          <w:p w:rsidR="00AB6FBD" w:rsidRDefault="00AB6FBD" w:rsidP="000C3BE7"/>
        </w:tc>
        <w:tc>
          <w:tcPr>
            <w:tcW w:w="1276" w:type="dxa"/>
            <w:vAlign w:val="center"/>
          </w:tcPr>
          <w:p w:rsidR="00AB6FBD" w:rsidRDefault="00AB6FBD" w:rsidP="000C3BE7">
            <w:pPr>
              <w:pStyle w:val="2"/>
            </w:pPr>
            <w:r>
              <w:t>质量指标</w:t>
            </w:r>
          </w:p>
        </w:tc>
        <w:tc>
          <w:tcPr>
            <w:tcW w:w="1332" w:type="dxa"/>
            <w:vAlign w:val="center"/>
          </w:tcPr>
          <w:p w:rsidR="00AB6FBD" w:rsidRDefault="00AB6FBD" w:rsidP="000C3BE7">
            <w:pPr>
              <w:pStyle w:val="2"/>
            </w:pPr>
            <w:r>
              <w:t>确保设备正常运行率</w:t>
            </w:r>
          </w:p>
        </w:tc>
        <w:tc>
          <w:tcPr>
            <w:tcW w:w="2891" w:type="dxa"/>
            <w:vAlign w:val="center"/>
          </w:tcPr>
          <w:p w:rsidR="00AB6FBD" w:rsidRDefault="00AB6FBD" w:rsidP="000C3BE7">
            <w:pPr>
              <w:pStyle w:val="2"/>
            </w:pPr>
            <w:r>
              <w:t>确保设备正常运行率</w:t>
            </w:r>
          </w:p>
        </w:tc>
        <w:tc>
          <w:tcPr>
            <w:tcW w:w="1276" w:type="dxa"/>
            <w:vAlign w:val="center"/>
          </w:tcPr>
          <w:p w:rsidR="00AB6FBD" w:rsidRDefault="00AB6FBD" w:rsidP="000C3BE7">
            <w:pPr>
              <w:pStyle w:val="2"/>
            </w:pPr>
            <w:r>
              <w:t>≥99%</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Align w:val="center"/>
          </w:tcPr>
          <w:p w:rsidR="00AB6FBD" w:rsidRDefault="00AB6FBD" w:rsidP="000C3BE7">
            <w:pPr>
              <w:pStyle w:val="3"/>
            </w:pPr>
            <w:r>
              <w:t>效益指标</w:t>
            </w:r>
          </w:p>
        </w:tc>
        <w:tc>
          <w:tcPr>
            <w:tcW w:w="1276" w:type="dxa"/>
            <w:vAlign w:val="center"/>
          </w:tcPr>
          <w:p w:rsidR="00AB6FBD" w:rsidRDefault="00AB6FBD" w:rsidP="000C3BE7">
            <w:pPr>
              <w:pStyle w:val="2"/>
            </w:pPr>
            <w:r>
              <w:t>社会效益指标</w:t>
            </w:r>
          </w:p>
        </w:tc>
        <w:tc>
          <w:tcPr>
            <w:tcW w:w="1332" w:type="dxa"/>
            <w:vAlign w:val="center"/>
          </w:tcPr>
          <w:p w:rsidR="00AB6FBD" w:rsidRDefault="00AB6FBD" w:rsidP="000C3BE7">
            <w:pPr>
              <w:pStyle w:val="2"/>
            </w:pPr>
            <w:r>
              <w:t>运维机制健全性</w:t>
            </w:r>
          </w:p>
        </w:tc>
        <w:tc>
          <w:tcPr>
            <w:tcW w:w="2891" w:type="dxa"/>
            <w:vAlign w:val="center"/>
          </w:tcPr>
          <w:p w:rsidR="00AB6FBD" w:rsidRDefault="00AB6FBD" w:rsidP="000C3BE7">
            <w:pPr>
              <w:pStyle w:val="2"/>
            </w:pPr>
            <w:r>
              <w:t>运维机制健全性</w:t>
            </w:r>
          </w:p>
        </w:tc>
        <w:tc>
          <w:tcPr>
            <w:tcW w:w="1276" w:type="dxa"/>
            <w:vAlign w:val="center"/>
          </w:tcPr>
          <w:p w:rsidR="00AB6FBD" w:rsidRDefault="00AB6FBD" w:rsidP="000C3BE7">
            <w:pPr>
              <w:pStyle w:val="2"/>
            </w:pPr>
            <w:r>
              <w:t>≥99%</w:t>
            </w:r>
          </w:p>
        </w:tc>
        <w:tc>
          <w:tcPr>
            <w:tcW w:w="1843" w:type="dxa"/>
            <w:vAlign w:val="center"/>
          </w:tcPr>
          <w:p w:rsidR="00AB6FBD" w:rsidRDefault="00AB6FBD" w:rsidP="000C3BE7">
            <w:pPr>
              <w:pStyle w:val="2"/>
            </w:pPr>
            <w:r>
              <w:t>历史数据</w:t>
            </w:r>
          </w:p>
        </w:tc>
      </w:tr>
      <w:tr w:rsidR="00AB6FBD" w:rsidTr="00AB6FBD">
        <w:trPr>
          <w:trHeight w:val="509"/>
          <w:jc w:val="center"/>
        </w:trPr>
        <w:tc>
          <w:tcPr>
            <w:tcW w:w="1276" w:type="dxa"/>
            <w:vAlign w:val="center"/>
          </w:tcPr>
          <w:p w:rsidR="00AB6FBD" w:rsidRDefault="00AB6FBD" w:rsidP="000C3BE7">
            <w:pPr>
              <w:pStyle w:val="3"/>
            </w:pPr>
            <w:r>
              <w:t>满意度指标</w:t>
            </w:r>
          </w:p>
        </w:tc>
        <w:tc>
          <w:tcPr>
            <w:tcW w:w="1276" w:type="dxa"/>
            <w:vAlign w:val="center"/>
          </w:tcPr>
          <w:p w:rsidR="00AB6FBD" w:rsidRDefault="00AB6FBD" w:rsidP="000C3BE7">
            <w:pPr>
              <w:pStyle w:val="2"/>
            </w:pPr>
            <w:r>
              <w:t>服务对象满意度指标</w:t>
            </w:r>
          </w:p>
        </w:tc>
        <w:tc>
          <w:tcPr>
            <w:tcW w:w="1332" w:type="dxa"/>
            <w:vAlign w:val="center"/>
          </w:tcPr>
          <w:p w:rsidR="00AB6FBD" w:rsidRDefault="00AB6FBD" w:rsidP="000C3BE7">
            <w:pPr>
              <w:pStyle w:val="2"/>
            </w:pPr>
            <w:r>
              <w:t>服务对象满意度</w:t>
            </w:r>
          </w:p>
        </w:tc>
        <w:tc>
          <w:tcPr>
            <w:tcW w:w="2891" w:type="dxa"/>
            <w:vAlign w:val="center"/>
          </w:tcPr>
          <w:p w:rsidR="00AB6FBD" w:rsidRDefault="00AB6FBD" w:rsidP="000C3BE7">
            <w:pPr>
              <w:pStyle w:val="2"/>
            </w:pPr>
            <w:r>
              <w:t>服务对象满意度</w:t>
            </w:r>
          </w:p>
        </w:tc>
        <w:tc>
          <w:tcPr>
            <w:tcW w:w="1276" w:type="dxa"/>
            <w:vAlign w:val="center"/>
          </w:tcPr>
          <w:p w:rsidR="00AB6FBD" w:rsidRDefault="00AB6FBD" w:rsidP="000C3BE7">
            <w:pPr>
              <w:pStyle w:val="2"/>
            </w:pPr>
            <w:r>
              <w:t>≥90%</w:t>
            </w:r>
          </w:p>
        </w:tc>
        <w:tc>
          <w:tcPr>
            <w:tcW w:w="1843" w:type="dxa"/>
            <w:vAlign w:val="center"/>
          </w:tcPr>
          <w:p w:rsidR="00AB6FBD" w:rsidRDefault="00AB6FBD" w:rsidP="000C3BE7">
            <w:pPr>
              <w:pStyle w:val="2"/>
            </w:pPr>
            <w:r>
              <w:t>历史数据</w:t>
            </w:r>
          </w:p>
        </w:tc>
      </w:tr>
    </w:tbl>
    <w:p w:rsidR="00AB6FBD" w:rsidRDefault="00AB6FBD" w:rsidP="00AB6FBD">
      <w:pPr>
        <w:spacing w:line="560" w:lineRule="exact"/>
        <w:ind w:firstLineChars="200" w:firstLine="640"/>
        <w:rPr>
          <w:rFonts w:ascii="楷体_GB2312" w:eastAsia="楷体_GB2312"/>
          <w:sz w:val="32"/>
          <w:szCs w:val="32"/>
        </w:rPr>
      </w:pPr>
      <w:r>
        <w:rPr>
          <w:rFonts w:ascii="楷体_GB2312" w:eastAsia="楷体_GB2312" w:hint="eastAsia"/>
          <w:sz w:val="32"/>
          <w:szCs w:val="32"/>
        </w:rPr>
        <w:t>（二）市优化营商环境工作专班经费重点项目情况说明</w:t>
      </w:r>
    </w:p>
    <w:p w:rsidR="00AB6FBD" w:rsidRDefault="00AB6FBD" w:rsidP="00AB6FBD">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1.项目概述</w:t>
      </w:r>
    </w:p>
    <w:p w:rsidR="00AB6FBD" w:rsidRDefault="00AB6FBD" w:rsidP="00AB6FBD">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市优化营商环境工作专班为优化我市营商环境开展封闭办公，培训以及宣传等工作。</w:t>
      </w:r>
    </w:p>
    <w:p w:rsidR="00AB6FBD" w:rsidRDefault="00AB6FBD" w:rsidP="00AB6FBD">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2.立项依据</w:t>
      </w:r>
    </w:p>
    <w:p w:rsidR="00AB6FBD" w:rsidRDefault="00AB6FBD" w:rsidP="00AB6FBD">
      <w:pPr>
        <w:spacing w:line="560" w:lineRule="exact"/>
        <w:ind w:firstLineChars="200" w:firstLine="640"/>
        <w:rPr>
          <w:rFonts w:ascii="仿宋_GB2312" w:eastAsia="仿宋_GB2312"/>
          <w:sz w:val="32"/>
          <w:szCs w:val="32"/>
        </w:rPr>
      </w:pPr>
      <w:r>
        <w:rPr>
          <w:rFonts w:ascii="仿宋_GB2312" w:eastAsia="仿宋_GB2312" w:hAnsi="仿宋" w:cs="仿宋_GB2312" w:hint="eastAsia"/>
          <w:sz w:val="32"/>
          <w:szCs w:val="32"/>
        </w:rPr>
        <w:t>（1）</w:t>
      </w:r>
      <w:r>
        <w:rPr>
          <w:rFonts w:ascii="仿宋_GB2312" w:eastAsia="仿宋_GB2312" w:hint="eastAsia"/>
          <w:sz w:val="32"/>
          <w:szCs w:val="32"/>
        </w:rPr>
        <w:t>《关于印发〈青岛市优化营商环境工作专班调整方案的通知〉》（青职转办〔2021〕5号）。</w:t>
      </w:r>
    </w:p>
    <w:p w:rsidR="00AB6FBD" w:rsidRDefault="00AB6FBD" w:rsidP="00AB6FB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（2）《青岛市优化营商环境工作专班办公室会议纪要》（第6次）。</w:t>
      </w:r>
    </w:p>
    <w:p w:rsidR="00AB6FBD" w:rsidRDefault="00AB6FBD" w:rsidP="00AB6FBD">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3.实施主体</w:t>
      </w:r>
    </w:p>
    <w:p w:rsidR="00AB6FBD" w:rsidRDefault="00AB6FBD" w:rsidP="00AB6FBD">
      <w:pPr>
        <w:spacing w:line="560" w:lineRule="exact"/>
        <w:ind w:firstLineChars="200" w:firstLine="640"/>
        <w:rPr>
          <w:rFonts w:ascii="仿宋_GB2312" w:eastAsia="仿宋_GB2312"/>
          <w:sz w:val="32"/>
          <w:szCs w:val="32"/>
        </w:rPr>
      </w:pPr>
      <w:r>
        <w:rPr>
          <w:rFonts w:ascii="仿宋_GB2312" w:eastAsia="仿宋_GB2312" w:hint="eastAsia"/>
          <w:sz w:val="32"/>
          <w:szCs w:val="32"/>
        </w:rPr>
        <w:t>青岛市行政审批服务局（市优化营商环境工作专班办公室）。</w:t>
      </w:r>
    </w:p>
    <w:p w:rsidR="00AB6FBD" w:rsidRDefault="00AB6FBD" w:rsidP="00AB6FBD">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4.实施方案</w:t>
      </w:r>
    </w:p>
    <w:p w:rsidR="00AB6FBD" w:rsidRDefault="00AB6FBD" w:rsidP="00AB6FBD">
      <w:pPr>
        <w:spacing w:line="560" w:lineRule="exact"/>
        <w:ind w:firstLineChars="200" w:firstLine="640"/>
        <w:outlineLvl w:val="0"/>
        <w:rPr>
          <w:rFonts w:ascii="仿宋_GB2312" w:eastAsia="仿宋_GB2312" w:hAnsi="仿宋"/>
          <w:sz w:val="32"/>
          <w:szCs w:val="32"/>
        </w:rPr>
      </w:pPr>
      <w:r>
        <w:rPr>
          <w:rFonts w:ascii="仿宋_GB2312" w:eastAsia="仿宋_GB2312" w:hAnsi="黑体" w:hint="eastAsia"/>
          <w:sz w:val="32"/>
          <w:szCs w:val="32"/>
        </w:rPr>
        <w:t>2023年优化营商环境工作专班经费支出严格按照预算批复金额执行，其中，</w:t>
      </w:r>
      <w:r>
        <w:rPr>
          <w:rFonts w:ascii="仿宋_GB2312" w:eastAsia="仿宋_GB2312" w:hAnsi="仿宋" w:hint="eastAsia"/>
          <w:sz w:val="32"/>
          <w:szCs w:val="32"/>
        </w:rPr>
        <w:t>办公费、</w:t>
      </w:r>
      <w:r>
        <w:rPr>
          <w:rFonts w:ascii="仿宋_GB2312" w:eastAsia="仿宋_GB2312" w:hAnsi="仿宋" w:cs="仿宋_GB2312" w:hint="eastAsia"/>
          <w:sz w:val="32"/>
          <w:szCs w:val="32"/>
        </w:rPr>
        <w:t>培训费</w:t>
      </w:r>
      <w:r>
        <w:rPr>
          <w:rFonts w:ascii="仿宋_GB2312" w:eastAsia="仿宋_GB2312" w:hAnsi="仿宋" w:hint="eastAsia"/>
          <w:sz w:val="32"/>
          <w:szCs w:val="32"/>
        </w:rPr>
        <w:t>、</w:t>
      </w:r>
      <w:r w:rsidR="00EA4ADB">
        <w:rPr>
          <w:rFonts w:ascii="仿宋_GB2312" w:eastAsia="仿宋_GB2312" w:hAnsi="仿宋" w:cs="仿宋_GB2312" w:hint="eastAsia"/>
          <w:sz w:val="32"/>
          <w:szCs w:val="32"/>
        </w:rPr>
        <w:t>会议</w:t>
      </w:r>
      <w:r>
        <w:rPr>
          <w:rFonts w:ascii="仿宋_GB2312" w:eastAsia="仿宋_GB2312" w:hAnsi="仿宋" w:cs="仿宋_GB2312" w:hint="eastAsia"/>
          <w:sz w:val="32"/>
          <w:szCs w:val="32"/>
        </w:rPr>
        <w:t>费</w:t>
      </w:r>
      <w:r>
        <w:rPr>
          <w:rFonts w:ascii="仿宋_GB2312" w:eastAsia="仿宋_GB2312" w:hAnsi="仿宋" w:hint="eastAsia"/>
          <w:sz w:val="32"/>
          <w:szCs w:val="32"/>
        </w:rPr>
        <w:t>、其他商品和服务支出</w:t>
      </w:r>
      <w:r>
        <w:rPr>
          <w:rFonts w:ascii="仿宋_GB2312" w:eastAsia="仿宋_GB2312" w:hAnsi="仿宋" w:cs="仿宋_GB2312" w:hint="eastAsia"/>
          <w:bCs/>
          <w:sz w:val="32"/>
          <w:szCs w:val="32"/>
        </w:rPr>
        <w:t>本着厉行节约的原则，严格按照实际发生金额支出。</w:t>
      </w:r>
    </w:p>
    <w:p w:rsidR="00AB6FBD" w:rsidRDefault="00AB6FBD" w:rsidP="00AB6FBD">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5.实施周期</w:t>
      </w:r>
    </w:p>
    <w:p w:rsidR="00AB6FBD" w:rsidRDefault="00AB6FBD" w:rsidP="00AB6FBD">
      <w:pPr>
        <w:spacing w:line="560" w:lineRule="exact"/>
        <w:ind w:firstLineChars="200" w:firstLine="640"/>
        <w:rPr>
          <w:rFonts w:ascii="仿宋_GB2312" w:eastAsia="仿宋_GB2312"/>
          <w:sz w:val="32"/>
          <w:szCs w:val="32"/>
        </w:rPr>
      </w:pPr>
      <w:r>
        <w:rPr>
          <w:rFonts w:ascii="仿宋_GB2312" w:eastAsia="仿宋_GB2312" w:hint="eastAsia"/>
          <w:sz w:val="32"/>
          <w:szCs w:val="32"/>
        </w:rPr>
        <w:t>2023年1至12月。</w:t>
      </w:r>
    </w:p>
    <w:p w:rsidR="00AB6FBD" w:rsidRDefault="00AB6FBD" w:rsidP="00AB6FBD">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6.年度预算安排</w:t>
      </w:r>
    </w:p>
    <w:p w:rsidR="00AB6FBD" w:rsidRPr="00AB6FBD" w:rsidRDefault="00AB6FBD" w:rsidP="00AB6FBD">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2023年</w:t>
      </w:r>
      <w:r>
        <w:rPr>
          <w:rFonts w:ascii="楷体_GB2312" w:eastAsia="楷体_GB2312" w:hint="eastAsia"/>
          <w:sz w:val="32"/>
          <w:szCs w:val="32"/>
        </w:rPr>
        <w:t>市优化</w:t>
      </w:r>
      <w:r w:rsidRPr="00E818D1">
        <w:rPr>
          <w:rFonts w:ascii="仿宋_GB2312" w:eastAsia="仿宋_GB2312" w:hint="eastAsia"/>
          <w:sz w:val="32"/>
          <w:szCs w:val="32"/>
        </w:rPr>
        <w:t>营商环境工作专班经费</w:t>
      </w:r>
      <w:r w:rsidRPr="00E818D1">
        <w:rPr>
          <w:rFonts w:ascii="仿宋_GB2312" w:eastAsia="仿宋_GB2312" w:hAnsi="仿宋" w:cs="仿宋_GB2312" w:hint="eastAsia"/>
          <w:sz w:val="32"/>
          <w:szCs w:val="32"/>
        </w:rPr>
        <w:t>预算批复数为1</w:t>
      </w:r>
      <w:r>
        <w:rPr>
          <w:rFonts w:ascii="仿宋_GB2312" w:eastAsia="仿宋_GB2312" w:hAnsi="仿宋" w:cs="仿宋_GB2312" w:hint="eastAsia"/>
          <w:sz w:val="32"/>
          <w:szCs w:val="32"/>
        </w:rPr>
        <w:t>28万元，其中，</w:t>
      </w:r>
      <w:r w:rsidRPr="00AB6FBD">
        <w:rPr>
          <w:rFonts w:ascii="仿宋_GB2312" w:eastAsia="仿宋_GB2312" w:hAnsi="仿宋" w:cs="仿宋_GB2312" w:hint="eastAsia"/>
          <w:sz w:val="32"/>
          <w:szCs w:val="32"/>
        </w:rPr>
        <w:t>办公经费</w:t>
      </w:r>
      <w:r w:rsidRPr="00AB6FBD">
        <w:rPr>
          <w:rFonts w:ascii="仿宋_GB2312" w:eastAsia="仿宋_GB2312" w:hAnsi="仿宋" w:hint="eastAsia"/>
          <w:sz w:val="32"/>
          <w:szCs w:val="32"/>
        </w:rPr>
        <w:t>10.60</w:t>
      </w:r>
      <w:r w:rsidRPr="00AB6FBD">
        <w:rPr>
          <w:rFonts w:ascii="仿宋_GB2312" w:eastAsia="仿宋_GB2312" w:hAnsi="仿宋" w:cs="仿宋_GB2312" w:hint="eastAsia"/>
          <w:sz w:val="32"/>
          <w:szCs w:val="32"/>
        </w:rPr>
        <w:t>万元、培训费19.40万元、</w:t>
      </w:r>
      <w:r w:rsidRPr="00AB6FBD">
        <w:rPr>
          <w:rFonts w:ascii="仿宋_GB2312" w:eastAsia="仿宋_GB2312" w:hAnsi="仿宋" w:hint="eastAsia"/>
          <w:sz w:val="32"/>
          <w:szCs w:val="32"/>
        </w:rPr>
        <w:t>会议费9万元</w:t>
      </w:r>
      <w:r w:rsidRPr="00AB6FBD">
        <w:rPr>
          <w:rFonts w:ascii="仿宋_GB2312" w:eastAsia="仿宋_GB2312" w:hAnsi="仿宋" w:cs="仿宋_GB2312" w:hint="eastAsia"/>
          <w:sz w:val="32"/>
          <w:szCs w:val="32"/>
        </w:rPr>
        <w:t>、其他商品和服务支出</w:t>
      </w:r>
      <w:r w:rsidRPr="00AB6FBD">
        <w:rPr>
          <w:rFonts w:ascii="仿宋_GB2312" w:eastAsia="仿宋_GB2312" w:hAnsi="仿宋" w:cs="仿宋_GB2312" w:hint="eastAsia"/>
          <w:bCs/>
          <w:sz w:val="32"/>
          <w:szCs w:val="32"/>
        </w:rPr>
        <w:t>89万元</w:t>
      </w:r>
      <w:r w:rsidRPr="00AB6FBD">
        <w:rPr>
          <w:rFonts w:ascii="仿宋_GB2312" w:eastAsia="仿宋_GB2312" w:hAnsi="仿宋" w:cs="仿宋_GB2312" w:hint="eastAsia"/>
          <w:sz w:val="32"/>
          <w:szCs w:val="32"/>
        </w:rPr>
        <w:t>。</w:t>
      </w:r>
    </w:p>
    <w:p w:rsidR="00AB6FBD" w:rsidRPr="00AB6FBD" w:rsidRDefault="00AB6FBD" w:rsidP="00AB6FBD">
      <w:pPr>
        <w:spacing w:line="560" w:lineRule="exact"/>
        <w:ind w:firstLineChars="200" w:firstLine="643"/>
        <w:rPr>
          <w:rFonts w:ascii="仿宋_GB2312" w:eastAsia="仿宋_GB2312" w:hAnsi="仿宋" w:cs="仿宋_GB2312"/>
          <w:b/>
          <w:sz w:val="32"/>
          <w:szCs w:val="32"/>
        </w:rPr>
      </w:pPr>
      <w:r w:rsidRPr="00AB6FBD">
        <w:rPr>
          <w:rFonts w:ascii="仿宋_GB2312" w:eastAsia="仿宋_GB2312" w:hAnsi="仿宋_GB2312" w:cs="仿宋_GB2312" w:hint="eastAsia"/>
          <w:b/>
          <w:bCs/>
          <w:sz w:val="32"/>
          <w:szCs w:val="32"/>
        </w:rPr>
        <w:t>7.绩效目标和指标</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AB6FBD" w:rsidTr="004A0866">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AB6FBD" w:rsidRDefault="00AB6FBD" w:rsidP="000C3BE7">
            <w:pPr>
              <w:pStyle w:val="5"/>
            </w:pPr>
            <w:r>
              <w:t>130001青岛市行政审批服务局本级</w:t>
            </w:r>
          </w:p>
        </w:tc>
        <w:tc>
          <w:tcPr>
            <w:tcW w:w="1843" w:type="dxa"/>
            <w:tcBorders>
              <w:top w:val="single" w:sz="6" w:space="0" w:color="FFFFFF"/>
              <w:left w:val="single" w:sz="6" w:space="0" w:color="FFFFFF"/>
              <w:right w:val="single" w:sz="6" w:space="0" w:color="FFFFFF"/>
            </w:tcBorders>
            <w:vAlign w:val="center"/>
          </w:tcPr>
          <w:p w:rsidR="00AB6FBD" w:rsidRDefault="00AB6FBD" w:rsidP="000C3BE7">
            <w:pPr>
              <w:pStyle w:val="4"/>
            </w:pPr>
            <w:r>
              <w:t>单位：万元</w:t>
            </w:r>
          </w:p>
        </w:tc>
      </w:tr>
      <w:tr w:rsidR="00AB6FBD" w:rsidTr="004A0866">
        <w:trPr>
          <w:trHeight w:val="369"/>
          <w:jc w:val="center"/>
        </w:trPr>
        <w:tc>
          <w:tcPr>
            <w:tcW w:w="1276" w:type="dxa"/>
            <w:vAlign w:val="center"/>
          </w:tcPr>
          <w:p w:rsidR="00AB6FBD" w:rsidRDefault="00AB6FBD" w:rsidP="000C3BE7">
            <w:pPr>
              <w:pStyle w:val="1"/>
            </w:pPr>
            <w:r>
              <w:t>项目编码</w:t>
            </w:r>
          </w:p>
        </w:tc>
        <w:tc>
          <w:tcPr>
            <w:tcW w:w="2608" w:type="dxa"/>
            <w:gridSpan w:val="2"/>
            <w:vAlign w:val="center"/>
          </w:tcPr>
          <w:p w:rsidR="00AB6FBD" w:rsidRDefault="00AB6FBD" w:rsidP="000C3BE7">
            <w:pPr>
              <w:pStyle w:val="2"/>
            </w:pPr>
            <w:r>
              <w:t>37020023P88002811156A</w:t>
            </w:r>
          </w:p>
        </w:tc>
        <w:tc>
          <w:tcPr>
            <w:tcW w:w="1587" w:type="dxa"/>
            <w:vAlign w:val="center"/>
          </w:tcPr>
          <w:p w:rsidR="00AB6FBD" w:rsidRDefault="00AB6FBD" w:rsidP="000C3BE7">
            <w:pPr>
              <w:pStyle w:val="1"/>
            </w:pPr>
            <w:r>
              <w:t>项目名称</w:t>
            </w:r>
          </w:p>
        </w:tc>
        <w:tc>
          <w:tcPr>
            <w:tcW w:w="4423" w:type="dxa"/>
            <w:gridSpan w:val="3"/>
            <w:vAlign w:val="center"/>
          </w:tcPr>
          <w:p w:rsidR="00AB6FBD" w:rsidRDefault="00AB6FBD" w:rsidP="000C3BE7">
            <w:pPr>
              <w:pStyle w:val="2"/>
            </w:pPr>
            <w:r>
              <w:t>市优化营商环境专班工作经费</w:t>
            </w:r>
          </w:p>
        </w:tc>
      </w:tr>
      <w:tr w:rsidR="00AB6FBD" w:rsidTr="004A0866">
        <w:trPr>
          <w:trHeight w:val="369"/>
          <w:jc w:val="center"/>
        </w:trPr>
        <w:tc>
          <w:tcPr>
            <w:tcW w:w="1276" w:type="dxa"/>
            <w:vMerge w:val="restart"/>
            <w:vAlign w:val="center"/>
          </w:tcPr>
          <w:p w:rsidR="00AB6FBD" w:rsidRDefault="00AB6FBD" w:rsidP="000C3BE7">
            <w:pPr>
              <w:pStyle w:val="1"/>
            </w:pPr>
            <w:r>
              <w:t>预算规模及资金用途</w:t>
            </w:r>
          </w:p>
        </w:tc>
        <w:tc>
          <w:tcPr>
            <w:tcW w:w="1276" w:type="dxa"/>
            <w:vAlign w:val="center"/>
          </w:tcPr>
          <w:p w:rsidR="00AB6FBD" w:rsidRDefault="00AB6FBD" w:rsidP="000C3BE7">
            <w:pPr>
              <w:pStyle w:val="1"/>
            </w:pPr>
            <w:r>
              <w:t>预算数</w:t>
            </w:r>
          </w:p>
        </w:tc>
        <w:tc>
          <w:tcPr>
            <w:tcW w:w="1332" w:type="dxa"/>
            <w:vAlign w:val="center"/>
          </w:tcPr>
          <w:p w:rsidR="00AB6FBD" w:rsidRDefault="00AB6FBD" w:rsidP="000C3BE7">
            <w:pPr>
              <w:pStyle w:val="2"/>
            </w:pPr>
            <w:r>
              <w:t>128.00</w:t>
            </w:r>
          </w:p>
        </w:tc>
        <w:tc>
          <w:tcPr>
            <w:tcW w:w="1587" w:type="dxa"/>
            <w:vAlign w:val="center"/>
          </w:tcPr>
          <w:p w:rsidR="00AB6FBD" w:rsidRDefault="00AB6FBD" w:rsidP="000C3BE7">
            <w:pPr>
              <w:pStyle w:val="1"/>
            </w:pPr>
            <w:r>
              <w:t>其中：财政    资金</w:t>
            </w:r>
          </w:p>
        </w:tc>
        <w:tc>
          <w:tcPr>
            <w:tcW w:w="1304" w:type="dxa"/>
            <w:vAlign w:val="center"/>
          </w:tcPr>
          <w:p w:rsidR="00AB6FBD" w:rsidRDefault="00AB6FBD" w:rsidP="000C3BE7">
            <w:pPr>
              <w:pStyle w:val="2"/>
            </w:pPr>
            <w:r>
              <w:t>128.00</w:t>
            </w:r>
          </w:p>
        </w:tc>
        <w:tc>
          <w:tcPr>
            <w:tcW w:w="1276" w:type="dxa"/>
            <w:vAlign w:val="center"/>
          </w:tcPr>
          <w:p w:rsidR="00AB6FBD" w:rsidRDefault="00AB6FBD" w:rsidP="000C3BE7">
            <w:pPr>
              <w:pStyle w:val="1"/>
            </w:pPr>
            <w:r>
              <w:t>其他资金</w:t>
            </w:r>
          </w:p>
        </w:tc>
        <w:tc>
          <w:tcPr>
            <w:tcW w:w="1843" w:type="dxa"/>
            <w:vAlign w:val="center"/>
          </w:tcPr>
          <w:p w:rsidR="00AB6FBD" w:rsidRDefault="00AB6FBD" w:rsidP="000C3BE7">
            <w:pPr>
              <w:pStyle w:val="2"/>
            </w:pPr>
            <w:r>
              <w:t xml:space="preserve"> </w:t>
            </w:r>
          </w:p>
        </w:tc>
      </w:tr>
      <w:tr w:rsidR="00AB6FBD" w:rsidTr="004A0866">
        <w:trPr>
          <w:trHeight w:val="369"/>
          <w:jc w:val="center"/>
        </w:trPr>
        <w:tc>
          <w:tcPr>
            <w:tcW w:w="1276" w:type="dxa"/>
            <w:vMerge/>
          </w:tcPr>
          <w:p w:rsidR="00AB6FBD" w:rsidRDefault="00AB6FBD" w:rsidP="000C3BE7"/>
        </w:tc>
        <w:tc>
          <w:tcPr>
            <w:tcW w:w="8618" w:type="dxa"/>
            <w:gridSpan w:val="6"/>
            <w:vAlign w:val="center"/>
          </w:tcPr>
          <w:p w:rsidR="00AB6FBD" w:rsidRDefault="00AB6FBD" w:rsidP="000C3BE7">
            <w:pPr>
              <w:pStyle w:val="2"/>
            </w:pPr>
            <w:r>
              <w:t>用于市优化营商环境工作专班开展工作支出。</w:t>
            </w:r>
          </w:p>
        </w:tc>
      </w:tr>
      <w:tr w:rsidR="00AB6FBD" w:rsidTr="004A0866">
        <w:trPr>
          <w:trHeight w:val="369"/>
          <w:jc w:val="center"/>
        </w:trPr>
        <w:tc>
          <w:tcPr>
            <w:tcW w:w="1276" w:type="dxa"/>
            <w:vMerge w:val="restart"/>
            <w:vAlign w:val="center"/>
          </w:tcPr>
          <w:p w:rsidR="00AB6FBD" w:rsidRDefault="00AB6FBD" w:rsidP="00062C48">
            <w:pPr>
              <w:pStyle w:val="1"/>
            </w:pPr>
            <w:r>
              <w:t>资金支出计划</w:t>
            </w:r>
          </w:p>
        </w:tc>
        <w:tc>
          <w:tcPr>
            <w:tcW w:w="2608" w:type="dxa"/>
            <w:gridSpan w:val="2"/>
            <w:vAlign w:val="center"/>
          </w:tcPr>
          <w:p w:rsidR="00AB6FBD" w:rsidRDefault="00AB6FBD" w:rsidP="000C3BE7">
            <w:pPr>
              <w:pStyle w:val="1"/>
            </w:pPr>
            <w:r>
              <w:t>3月底</w:t>
            </w:r>
          </w:p>
        </w:tc>
        <w:tc>
          <w:tcPr>
            <w:tcW w:w="1587" w:type="dxa"/>
            <w:vAlign w:val="center"/>
          </w:tcPr>
          <w:p w:rsidR="00AB6FBD" w:rsidRDefault="00AB6FBD" w:rsidP="000C3BE7">
            <w:pPr>
              <w:pStyle w:val="1"/>
            </w:pPr>
            <w:r>
              <w:t>6月底</w:t>
            </w:r>
          </w:p>
        </w:tc>
        <w:tc>
          <w:tcPr>
            <w:tcW w:w="1304" w:type="dxa"/>
            <w:vAlign w:val="center"/>
          </w:tcPr>
          <w:p w:rsidR="00AB6FBD" w:rsidRDefault="00AB6FBD" w:rsidP="000C3BE7">
            <w:pPr>
              <w:pStyle w:val="1"/>
            </w:pPr>
            <w:r>
              <w:t>10月底</w:t>
            </w:r>
          </w:p>
        </w:tc>
        <w:tc>
          <w:tcPr>
            <w:tcW w:w="3119" w:type="dxa"/>
            <w:gridSpan w:val="2"/>
            <w:vAlign w:val="center"/>
          </w:tcPr>
          <w:p w:rsidR="00AB6FBD" w:rsidRDefault="00AB6FBD" w:rsidP="000C3BE7">
            <w:pPr>
              <w:pStyle w:val="1"/>
            </w:pPr>
            <w:r>
              <w:t>12月底</w:t>
            </w:r>
          </w:p>
        </w:tc>
      </w:tr>
      <w:tr w:rsidR="004A0866" w:rsidTr="004A0866">
        <w:trPr>
          <w:trHeight w:val="369"/>
          <w:jc w:val="center"/>
        </w:trPr>
        <w:tc>
          <w:tcPr>
            <w:tcW w:w="1276" w:type="dxa"/>
            <w:vMerge/>
          </w:tcPr>
          <w:p w:rsidR="004A0866" w:rsidRDefault="004A0866" w:rsidP="000C3BE7"/>
        </w:tc>
        <w:tc>
          <w:tcPr>
            <w:tcW w:w="2608" w:type="dxa"/>
            <w:gridSpan w:val="2"/>
            <w:vAlign w:val="center"/>
          </w:tcPr>
          <w:p w:rsidR="004A0866" w:rsidRDefault="004A0866" w:rsidP="007E7F55">
            <w:pPr>
              <w:pStyle w:val="3"/>
            </w:pPr>
            <w:r>
              <w:t>20.00</w:t>
            </w:r>
          </w:p>
        </w:tc>
        <w:tc>
          <w:tcPr>
            <w:tcW w:w="1587" w:type="dxa"/>
            <w:vAlign w:val="center"/>
          </w:tcPr>
          <w:p w:rsidR="004A0866" w:rsidRDefault="004A0866" w:rsidP="007E7F55">
            <w:pPr>
              <w:pStyle w:val="3"/>
            </w:pPr>
            <w:r>
              <w:t>68.00</w:t>
            </w:r>
          </w:p>
        </w:tc>
        <w:tc>
          <w:tcPr>
            <w:tcW w:w="1304" w:type="dxa"/>
            <w:vAlign w:val="center"/>
          </w:tcPr>
          <w:p w:rsidR="004A0866" w:rsidRDefault="004A0866" w:rsidP="007E7F55">
            <w:pPr>
              <w:pStyle w:val="3"/>
            </w:pPr>
            <w:r>
              <w:t>120.00</w:t>
            </w:r>
          </w:p>
        </w:tc>
        <w:tc>
          <w:tcPr>
            <w:tcW w:w="3119" w:type="dxa"/>
            <w:gridSpan w:val="2"/>
            <w:vAlign w:val="center"/>
          </w:tcPr>
          <w:p w:rsidR="004A0866" w:rsidRDefault="004A0866" w:rsidP="007E7F55">
            <w:pPr>
              <w:pStyle w:val="3"/>
            </w:pPr>
            <w:r>
              <w:t>128.00</w:t>
            </w:r>
          </w:p>
        </w:tc>
      </w:tr>
      <w:tr w:rsidR="00AB6FBD" w:rsidTr="004A0866">
        <w:trPr>
          <w:trHeight w:val="369"/>
          <w:jc w:val="center"/>
        </w:trPr>
        <w:tc>
          <w:tcPr>
            <w:tcW w:w="1276" w:type="dxa"/>
            <w:vAlign w:val="center"/>
          </w:tcPr>
          <w:p w:rsidR="00AB6FBD" w:rsidRDefault="00AB6FBD" w:rsidP="000C3BE7">
            <w:pPr>
              <w:pStyle w:val="1"/>
            </w:pPr>
            <w:r>
              <w:t>绩效目标</w:t>
            </w:r>
          </w:p>
        </w:tc>
        <w:tc>
          <w:tcPr>
            <w:tcW w:w="8618" w:type="dxa"/>
            <w:gridSpan w:val="6"/>
            <w:vAlign w:val="center"/>
          </w:tcPr>
          <w:p w:rsidR="00AB6FBD" w:rsidRDefault="00AB6FBD" w:rsidP="000C3BE7">
            <w:pPr>
              <w:pStyle w:val="2"/>
            </w:pPr>
            <w:r>
              <w:t>通过推动有关部门（单位）、区市和重点功能区落实营商环境，提升任务要求，研究制定重大政策措施与督导考核工作机制，协调解决重点难点堵点问题，开展常态化与专项督查考核，组织开展营商环境评价工作，全力打造我市“三化三型”政务服务环境和国际一流营商环境。</w:t>
            </w:r>
          </w:p>
        </w:tc>
      </w:tr>
    </w:tbl>
    <w:p w:rsidR="00AB6FBD" w:rsidRDefault="00AB6FBD" w:rsidP="00AB6FBD">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AB6FBD" w:rsidTr="000C3BE7">
        <w:trPr>
          <w:trHeight w:val="397"/>
          <w:tblHeader/>
          <w:jc w:val="center"/>
        </w:trPr>
        <w:tc>
          <w:tcPr>
            <w:tcW w:w="1276" w:type="dxa"/>
            <w:vAlign w:val="center"/>
          </w:tcPr>
          <w:p w:rsidR="00AB6FBD" w:rsidRDefault="00AB6FBD" w:rsidP="000C3BE7">
            <w:pPr>
              <w:pStyle w:val="1"/>
            </w:pPr>
            <w:r>
              <w:t>一级指标</w:t>
            </w:r>
          </w:p>
        </w:tc>
        <w:tc>
          <w:tcPr>
            <w:tcW w:w="1276" w:type="dxa"/>
            <w:vAlign w:val="center"/>
          </w:tcPr>
          <w:p w:rsidR="00AB6FBD" w:rsidRDefault="00AB6FBD" w:rsidP="000C3BE7">
            <w:pPr>
              <w:pStyle w:val="1"/>
            </w:pPr>
            <w:r>
              <w:t>二级指标</w:t>
            </w:r>
          </w:p>
        </w:tc>
        <w:tc>
          <w:tcPr>
            <w:tcW w:w="1332" w:type="dxa"/>
            <w:vAlign w:val="center"/>
          </w:tcPr>
          <w:p w:rsidR="00AB6FBD" w:rsidRDefault="00AB6FBD" w:rsidP="000C3BE7">
            <w:pPr>
              <w:pStyle w:val="1"/>
            </w:pPr>
            <w:r>
              <w:t>三级指标</w:t>
            </w:r>
          </w:p>
        </w:tc>
        <w:tc>
          <w:tcPr>
            <w:tcW w:w="2891" w:type="dxa"/>
            <w:vAlign w:val="center"/>
          </w:tcPr>
          <w:p w:rsidR="00AB6FBD" w:rsidRDefault="00AB6FBD" w:rsidP="000C3BE7">
            <w:pPr>
              <w:pStyle w:val="1"/>
            </w:pPr>
            <w:r>
              <w:t>绩效指标描述</w:t>
            </w:r>
          </w:p>
        </w:tc>
        <w:tc>
          <w:tcPr>
            <w:tcW w:w="1276" w:type="dxa"/>
            <w:vAlign w:val="center"/>
          </w:tcPr>
          <w:p w:rsidR="00AB6FBD" w:rsidRDefault="00AB6FBD" w:rsidP="000C3BE7">
            <w:pPr>
              <w:pStyle w:val="1"/>
            </w:pPr>
            <w:r>
              <w:t>指标值</w:t>
            </w:r>
          </w:p>
        </w:tc>
        <w:tc>
          <w:tcPr>
            <w:tcW w:w="1843" w:type="dxa"/>
            <w:vAlign w:val="center"/>
          </w:tcPr>
          <w:p w:rsidR="00AB6FBD" w:rsidRDefault="00AB6FBD" w:rsidP="000C3BE7">
            <w:pPr>
              <w:pStyle w:val="1"/>
            </w:pPr>
            <w:r>
              <w:t>指标值确定依据</w:t>
            </w:r>
          </w:p>
        </w:tc>
      </w:tr>
      <w:tr w:rsidR="00AB6FBD" w:rsidTr="000C3BE7">
        <w:trPr>
          <w:trHeight w:val="369"/>
          <w:jc w:val="center"/>
        </w:trPr>
        <w:tc>
          <w:tcPr>
            <w:tcW w:w="1276" w:type="dxa"/>
            <w:vAlign w:val="center"/>
          </w:tcPr>
          <w:p w:rsidR="00AB6FBD" w:rsidRDefault="00AB6FBD" w:rsidP="000C3BE7">
            <w:pPr>
              <w:pStyle w:val="3"/>
            </w:pPr>
            <w:r>
              <w:t>成本指标</w:t>
            </w:r>
          </w:p>
        </w:tc>
        <w:tc>
          <w:tcPr>
            <w:tcW w:w="1276" w:type="dxa"/>
            <w:vAlign w:val="center"/>
          </w:tcPr>
          <w:p w:rsidR="00AB6FBD" w:rsidRDefault="00AB6FBD" w:rsidP="000C3BE7">
            <w:pPr>
              <w:pStyle w:val="2"/>
            </w:pPr>
            <w:r>
              <w:t>经济成本指标</w:t>
            </w:r>
          </w:p>
        </w:tc>
        <w:tc>
          <w:tcPr>
            <w:tcW w:w="1332" w:type="dxa"/>
            <w:vAlign w:val="center"/>
          </w:tcPr>
          <w:p w:rsidR="00AB6FBD" w:rsidRDefault="00AB6FBD" w:rsidP="000C3BE7">
            <w:pPr>
              <w:pStyle w:val="2"/>
            </w:pPr>
            <w:r>
              <w:t>优化营商环境丧专班预算控制数</w:t>
            </w:r>
          </w:p>
        </w:tc>
        <w:tc>
          <w:tcPr>
            <w:tcW w:w="2891" w:type="dxa"/>
            <w:vAlign w:val="center"/>
          </w:tcPr>
          <w:p w:rsidR="00AB6FBD" w:rsidRDefault="00AB6FBD" w:rsidP="000C3BE7">
            <w:pPr>
              <w:pStyle w:val="2"/>
            </w:pPr>
            <w:r>
              <w:t>优化营商环境丧专班预算控制数</w:t>
            </w:r>
          </w:p>
        </w:tc>
        <w:tc>
          <w:tcPr>
            <w:tcW w:w="1276" w:type="dxa"/>
            <w:vAlign w:val="center"/>
          </w:tcPr>
          <w:p w:rsidR="00AB6FBD" w:rsidRDefault="00AB6FBD" w:rsidP="000C3BE7">
            <w:pPr>
              <w:pStyle w:val="2"/>
            </w:pPr>
            <w:r>
              <w:t>≤128万元</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restart"/>
            <w:vAlign w:val="center"/>
          </w:tcPr>
          <w:p w:rsidR="00AB6FBD" w:rsidRDefault="00AB6FBD" w:rsidP="000C3BE7">
            <w:pPr>
              <w:pStyle w:val="3"/>
            </w:pPr>
            <w:r>
              <w:lastRenderedPageBreak/>
              <w:t>产出指标</w:t>
            </w:r>
          </w:p>
        </w:tc>
        <w:tc>
          <w:tcPr>
            <w:tcW w:w="1276" w:type="dxa"/>
            <w:vAlign w:val="center"/>
          </w:tcPr>
          <w:p w:rsidR="00AB6FBD" w:rsidRDefault="00AB6FBD" w:rsidP="000C3BE7">
            <w:pPr>
              <w:pStyle w:val="2"/>
            </w:pPr>
            <w:r>
              <w:t>数量指标</w:t>
            </w:r>
          </w:p>
        </w:tc>
        <w:tc>
          <w:tcPr>
            <w:tcW w:w="1332" w:type="dxa"/>
            <w:vAlign w:val="center"/>
          </w:tcPr>
          <w:p w:rsidR="00AB6FBD" w:rsidRDefault="00AB6FBD" w:rsidP="000C3BE7">
            <w:pPr>
              <w:pStyle w:val="2"/>
            </w:pPr>
            <w:r>
              <w:t>开展培训次数</w:t>
            </w:r>
          </w:p>
        </w:tc>
        <w:tc>
          <w:tcPr>
            <w:tcW w:w="2891" w:type="dxa"/>
            <w:vAlign w:val="center"/>
          </w:tcPr>
          <w:p w:rsidR="00AB6FBD" w:rsidRDefault="00AB6FBD" w:rsidP="000C3BE7">
            <w:pPr>
              <w:pStyle w:val="2"/>
            </w:pPr>
            <w:r>
              <w:t>开展培训次数</w:t>
            </w:r>
          </w:p>
        </w:tc>
        <w:tc>
          <w:tcPr>
            <w:tcW w:w="1276" w:type="dxa"/>
            <w:vAlign w:val="center"/>
          </w:tcPr>
          <w:p w:rsidR="00AB6FBD" w:rsidRDefault="00AB6FBD" w:rsidP="000C3BE7">
            <w:pPr>
              <w:pStyle w:val="2"/>
            </w:pPr>
            <w:r>
              <w:t>≥1次</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ign w:val="center"/>
          </w:tcPr>
          <w:p w:rsidR="00AB6FBD" w:rsidRDefault="00AB6FBD" w:rsidP="000C3BE7"/>
        </w:tc>
        <w:tc>
          <w:tcPr>
            <w:tcW w:w="1276" w:type="dxa"/>
            <w:vAlign w:val="center"/>
          </w:tcPr>
          <w:p w:rsidR="00AB6FBD" w:rsidRDefault="00AB6FBD" w:rsidP="000C3BE7">
            <w:pPr>
              <w:pStyle w:val="2"/>
            </w:pPr>
            <w:r>
              <w:t>数量指标</w:t>
            </w:r>
          </w:p>
        </w:tc>
        <w:tc>
          <w:tcPr>
            <w:tcW w:w="1332" w:type="dxa"/>
            <w:vAlign w:val="center"/>
          </w:tcPr>
          <w:p w:rsidR="00AB6FBD" w:rsidRDefault="00AB6FBD" w:rsidP="000C3BE7">
            <w:pPr>
              <w:pStyle w:val="2"/>
            </w:pPr>
            <w:r>
              <w:t>开展培训人数</w:t>
            </w:r>
          </w:p>
        </w:tc>
        <w:tc>
          <w:tcPr>
            <w:tcW w:w="2891" w:type="dxa"/>
            <w:vAlign w:val="center"/>
          </w:tcPr>
          <w:p w:rsidR="00AB6FBD" w:rsidRDefault="00AB6FBD" w:rsidP="000C3BE7">
            <w:pPr>
              <w:pStyle w:val="2"/>
            </w:pPr>
            <w:r>
              <w:t>开展培训人数</w:t>
            </w:r>
          </w:p>
        </w:tc>
        <w:tc>
          <w:tcPr>
            <w:tcW w:w="1276" w:type="dxa"/>
            <w:vAlign w:val="center"/>
          </w:tcPr>
          <w:p w:rsidR="00AB6FBD" w:rsidRDefault="00AB6FBD" w:rsidP="000C3BE7">
            <w:pPr>
              <w:pStyle w:val="2"/>
            </w:pPr>
            <w:r>
              <w:t>≥100人</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ign w:val="center"/>
          </w:tcPr>
          <w:p w:rsidR="00AB6FBD" w:rsidRDefault="00AB6FBD" w:rsidP="000C3BE7"/>
        </w:tc>
        <w:tc>
          <w:tcPr>
            <w:tcW w:w="1276" w:type="dxa"/>
            <w:vAlign w:val="center"/>
          </w:tcPr>
          <w:p w:rsidR="00AB6FBD" w:rsidRDefault="00AB6FBD" w:rsidP="000C3BE7">
            <w:pPr>
              <w:pStyle w:val="2"/>
            </w:pPr>
            <w:r>
              <w:t>质量指标</w:t>
            </w:r>
          </w:p>
        </w:tc>
        <w:tc>
          <w:tcPr>
            <w:tcW w:w="1332" w:type="dxa"/>
            <w:vAlign w:val="center"/>
          </w:tcPr>
          <w:p w:rsidR="00AB6FBD" w:rsidRDefault="00AB6FBD" w:rsidP="000C3BE7">
            <w:pPr>
              <w:pStyle w:val="2"/>
            </w:pPr>
            <w:r>
              <w:t>宣传活动举办成功率</w:t>
            </w:r>
          </w:p>
        </w:tc>
        <w:tc>
          <w:tcPr>
            <w:tcW w:w="2891" w:type="dxa"/>
            <w:vAlign w:val="center"/>
          </w:tcPr>
          <w:p w:rsidR="00AB6FBD" w:rsidRDefault="00AB6FBD" w:rsidP="000C3BE7">
            <w:pPr>
              <w:pStyle w:val="2"/>
            </w:pPr>
            <w:r>
              <w:t>宣传活动举办成功率</w:t>
            </w:r>
          </w:p>
        </w:tc>
        <w:tc>
          <w:tcPr>
            <w:tcW w:w="1276" w:type="dxa"/>
            <w:vAlign w:val="center"/>
          </w:tcPr>
          <w:p w:rsidR="00AB6FBD" w:rsidRDefault="00AB6FBD" w:rsidP="000C3BE7">
            <w:pPr>
              <w:pStyle w:val="2"/>
            </w:pPr>
            <w:r>
              <w:t>≥99%</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ign w:val="center"/>
          </w:tcPr>
          <w:p w:rsidR="00AB6FBD" w:rsidRDefault="00AB6FBD" w:rsidP="000C3BE7"/>
        </w:tc>
        <w:tc>
          <w:tcPr>
            <w:tcW w:w="1276" w:type="dxa"/>
            <w:vAlign w:val="center"/>
          </w:tcPr>
          <w:p w:rsidR="00AB6FBD" w:rsidRDefault="00AB6FBD" w:rsidP="000C3BE7">
            <w:pPr>
              <w:pStyle w:val="2"/>
            </w:pPr>
            <w:r>
              <w:t>质量指标</w:t>
            </w:r>
          </w:p>
        </w:tc>
        <w:tc>
          <w:tcPr>
            <w:tcW w:w="1332" w:type="dxa"/>
            <w:vAlign w:val="center"/>
          </w:tcPr>
          <w:p w:rsidR="00AB6FBD" w:rsidRDefault="00AB6FBD" w:rsidP="000C3BE7">
            <w:pPr>
              <w:pStyle w:val="2"/>
            </w:pPr>
            <w:r>
              <w:t>培训合格率</w:t>
            </w:r>
          </w:p>
        </w:tc>
        <w:tc>
          <w:tcPr>
            <w:tcW w:w="2891" w:type="dxa"/>
            <w:vAlign w:val="center"/>
          </w:tcPr>
          <w:p w:rsidR="00AB6FBD" w:rsidRDefault="00AB6FBD" w:rsidP="000C3BE7">
            <w:pPr>
              <w:pStyle w:val="2"/>
            </w:pPr>
            <w:r>
              <w:t>培训合格率</w:t>
            </w:r>
          </w:p>
        </w:tc>
        <w:tc>
          <w:tcPr>
            <w:tcW w:w="1276" w:type="dxa"/>
            <w:vAlign w:val="center"/>
          </w:tcPr>
          <w:p w:rsidR="00AB6FBD" w:rsidRDefault="00AB6FBD" w:rsidP="000C3BE7">
            <w:pPr>
              <w:pStyle w:val="2"/>
            </w:pPr>
            <w:r>
              <w:t>≥100%</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Merge/>
            <w:vAlign w:val="center"/>
          </w:tcPr>
          <w:p w:rsidR="00AB6FBD" w:rsidRDefault="00AB6FBD" w:rsidP="000C3BE7"/>
        </w:tc>
        <w:tc>
          <w:tcPr>
            <w:tcW w:w="1276" w:type="dxa"/>
            <w:vAlign w:val="center"/>
          </w:tcPr>
          <w:p w:rsidR="00AB6FBD" w:rsidRDefault="00AB6FBD" w:rsidP="000C3BE7">
            <w:pPr>
              <w:pStyle w:val="2"/>
            </w:pPr>
            <w:r>
              <w:t>时效指标</w:t>
            </w:r>
          </w:p>
        </w:tc>
        <w:tc>
          <w:tcPr>
            <w:tcW w:w="1332" w:type="dxa"/>
            <w:vAlign w:val="center"/>
          </w:tcPr>
          <w:p w:rsidR="00AB6FBD" w:rsidRDefault="00AB6FBD" w:rsidP="000C3BE7">
            <w:pPr>
              <w:pStyle w:val="2"/>
            </w:pPr>
            <w:r>
              <w:t>培训计划按期完成率</w:t>
            </w:r>
          </w:p>
        </w:tc>
        <w:tc>
          <w:tcPr>
            <w:tcW w:w="2891" w:type="dxa"/>
            <w:vAlign w:val="center"/>
          </w:tcPr>
          <w:p w:rsidR="00AB6FBD" w:rsidRDefault="00AB6FBD" w:rsidP="000C3BE7">
            <w:pPr>
              <w:pStyle w:val="2"/>
            </w:pPr>
            <w:r>
              <w:t>培训计划按期完成率</w:t>
            </w:r>
          </w:p>
        </w:tc>
        <w:tc>
          <w:tcPr>
            <w:tcW w:w="1276" w:type="dxa"/>
            <w:vAlign w:val="center"/>
          </w:tcPr>
          <w:p w:rsidR="00AB6FBD" w:rsidRDefault="00AB6FBD" w:rsidP="000C3BE7">
            <w:pPr>
              <w:pStyle w:val="2"/>
            </w:pPr>
            <w:r>
              <w:t>≥90%</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Align w:val="center"/>
          </w:tcPr>
          <w:p w:rsidR="00AB6FBD" w:rsidRDefault="00AB6FBD" w:rsidP="000C3BE7">
            <w:pPr>
              <w:pStyle w:val="3"/>
            </w:pPr>
            <w:r>
              <w:t>效益指标</w:t>
            </w:r>
          </w:p>
        </w:tc>
        <w:tc>
          <w:tcPr>
            <w:tcW w:w="1276" w:type="dxa"/>
            <w:vAlign w:val="center"/>
          </w:tcPr>
          <w:p w:rsidR="00AB6FBD" w:rsidRDefault="00AB6FBD" w:rsidP="000C3BE7">
            <w:pPr>
              <w:pStyle w:val="2"/>
            </w:pPr>
            <w:r>
              <w:t>社会效益指标</w:t>
            </w:r>
          </w:p>
        </w:tc>
        <w:tc>
          <w:tcPr>
            <w:tcW w:w="1332" w:type="dxa"/>
            <w:vAlign w:val="center"/>
          </w:tcPr>
          <w:p w:rsidR="00AB6FBD" w:rsidRDefault="00AB6FBD" w:rsidP="000C3BE7">
            <w:pPr>
              <w:pStyle w:val="2"/>
            </w:pPr>
            <w:r>
              <w:t>可持续使用时间</w:t>
            </w:r>
          </w:p>
          <w:p w:rsidR="00AB6FBD" w:rsidRDefault="00AB6FBD" w:rsidP="000C3BE7">
            <w:pPr>
              <w:pStyle w:val="2"/>
            </w:pPr>
          </w:p>
        </w:tc>
        <w:tc>
          <w:tcPr>
            <w:tcW w:w="2891" w:type="dxa"/>
            <w:vAlign w:val="center"/>
          </w:tcPr>
          <w:p w:rsidR="00AB6FBD" w:rsidRDefault="00AB6FBD" w:rsidP="000C3BE7">
            <w:pPr>
              <w:pStyle w:val="2"/>
            </w:pPr>
            <w:r>
              <w:t>工作成果可持续受益时间</w:t>
            </w:r>
          </w:p>
          <w:p w:rsidR="00AB6FBD" w:rsidRDefault="00AB6FBD" w:rsidP="000C3BE7">
            <w:pPr>
              <w:pStyle w:val="2"/>
            </w:pPr>
          </w:p>
        </w:tc>
        <w:tc>
          <w:tcPr>
            <w:tcW w:w="1276" w:type="dxa"/>
            <w:vAlign w:val="center"/>
          </w:tcPr>
          <w:p w:rsidR="00AB6FBD" w:rsidRDefault="00AB6FBD" w:rsidP="000C3BE7">
            <w:pPr>
              <w:pStyle w:val="2"/>
            </w:pPr>
            <w:r>
              <w:t>≥1年</w:t>
            </w:r>
          </w:p>
        </w:tc>
        <w:tc>
          <w:tcPr>
            <w:tcW w:w="1843" w:type="dxa"/>
            <w:vAlign w:val="center"/>
          </w:tcPr>
          <w:p w:rsidR="00AB6FBD" w:rsidRDefault="00AB6FBD" w:rsidP="000C3BE7">
            <w:pPr>
              <w:pStyle w:val="2"/>
            </w:pPr>
            <w:r>
              <w:t>历史数据</w:t>
            </w:r>
          </w:p>
        </w:tc>
      </w:tr>
      <w:tr w:rsidR="00AB6FBD" w:rsidTr="000C3BE7">
        <w:trPr>
          <w:trHeight w:val="369"/>
          <w:jc w:val="center"/>
        </w:trPr>
        <w:tc>
          <w:tcPr>
            <w:tcW w:w="1276" w:type="dxa"/>
            <w:vAlign w:val="center"/>
          </w:tcPr>
          <w:p w:rsidR="00AB6FBD" w:rsidRDefault="00AB6FBD" w:rsidP="000C3BE7">
            <w:pPr>
              <w:pStyle w:val="3"/>
            </w:pPr>
            <w:r>
              <w:t>满意度指标</w:t>
            </w:r>
          </w:p>
        </w:tc>
        <w:tc>
          <w:tcPr>
            <w:tcW w:w="1276" w:type="dxa"/>
            <w:vAlign w:val="center"/>
          </w:tcPr>
          <w:p w:rsidR="00AB6FBD" w:rsidRDefault="00AB6FBD" w:rsidP="000C3BE7">
            <w:pPr>
              <w:pStyle w:val="2"/>
            </w:pPr>
            <w:r>
              <w:t>服务对象满意度指标</w:t>
            </w:r>
          </w:p>
        </w:tc>
        <w:tc>
          <w:tcPr>
            <w:tcW w:w="1332" w:type="dxa"/>
            <w:vAlign w:val="center"/>
          </w:tcPr>
          <w:p w:rsidR="00AB6FBD" w:rsidRDefault="00AB6FBD" w:rsidP="000C3BE7">
            <w:pPr>
              <w:pStyle w:val="2"/>
            </w:pPr>
            <w:r>
              <w:t>服务对象满意度</w:t>
            </w:r>
          </w:p>
        </w:tc>
        <w:tc>
          <w:tcPr>
            <w:tcW w:w="2891" w:type="dxa"/>
            <w:vAlign w:val="center"/>
          </w:tcPr>
          <w:p w:rsidR="00AB6FBD" w:rsidRDefault="00AB6FBD" w:rsidP="000C3BE7">
            <w:pPr>
              <w:pStyle w:val="2"/>
            </w:pPr>
            <w:r>
              <w:t>服务对象满意度</w:t>
            </w:r>
          </w:p>
        </w:tc>
        <w:tc>
          <w:tcPr>
            <w:tcW w:w="1276" w:type="dxa"/>
            <w:vAlign w:val="center"/>
          </w:tcPr>
          <w:p w:rsidR="00AB6FBD" w:rsidRDefault="00AB6FBD" w:rsidP="000C3BE7">
            <w:pPr>
              <w:pStyle w:val="2"/>
            </w:pPr>
            <w:r>
              <w:t>≥95%</w:t>
            </w:r>
          </w:p>
        </w:tc>
        <w:tc>
          <w:tcPr>
            <w:tcW w:w="1843" w:type="dxa"/>
            <w:vAlign w:val="center"/>
          </w:tcPr>
          <w:p w:rsidR="00AB6FBD" w:rsidRDefault="00AB6FBD" w:rsidP="000C3BE7">
            <w:pPr>
              <w:pStyle w:val="2"/>
            </w:pPr>
            <w:r>
              <w:t>历史数据</w:t>
            </w:r>
          </w:p>
        </w:tc>
      </w:tr>
    </w:tbl>
    <w:p w:rsidR="00AB6FBD" w:rsidRDefault="00AB6FBD" w:rsidP="00AB6FBD">
      <w:pPr>
        <w:spacing w:line="580" w:lineRule="exact"/>
        <w:ind w:firstLineChars="200" w:firstLine="640"/>
        <w:rPr>
          <w:rFonts w:ascii="楷体_GB2312" w:eastAsia="楷体_GB2312"/>
          <w:sz w:val="32"/>
          <w:szCs w:val="32"/>
        </w:rPr>
      </w:pPr>
      <w:r>
        <w:rPr>
          <w:rFonts w:ascii="楷体_GB2312" w:eastAsia="楷体_GB2312" w:hint="eastAsia"/>
          <w:sz w:val="32"/>
          <w:szCs w:val="32"/>
        </w:rPr>
        <w:t>（</w:t>
      </w:r>
      <w:r w:rsidR="00951159">
        <w:rPr>
          <w:rFonts w:ascii="楷体_GB2312" w:eastAsia="楷体_GB2312" w:hint="eastAsia"/>
          <w:sz w:val="32"/>
          <w:szCs w:val="32"/>
        </w:rPr>
        <w:t>三</w:t>
      </w:r>
      <w:r>
        <w:rPr>
          <w:rFonts w:ascii="楷体_GB2312" w:eastAsia="楷体_GB2312" w:hint="eastAsia"/>
          <w:sz w:val="32"/>
          <w:szCs w:val="32"/>
        </w:rPr>
        <w:t>）机关运行经费情况</w:t>
      </w:r>
    </w:p>
    <w:p w:rsidR="00AB6FBD" w:rsidRDefault="00AB6FBD" w:rsidP="00AB6FBD">
      <w:pPr>
        <w:spacing w:line="580" w:lineRule="exact"/>
        <w:ind w:firstLine="601"/>
        <w:rPr>
          <w:rFonts w:ascii="仿宋_GB2312" w:eastAsia="仿宋_GB2312"/>
          <w:sz w:val="32"/>
          <w:szCs w:val="32"/>
        </w:rPr>
      </w:pPr>
      <w:r>
        <w:rPr>
          <w:rFonts w:ascii="仿宋_GB2312" w:eastAsia="仿宋_GB2312" w:hint="eastAsia"/>
          <w:sz w:val="32"/>
          <w:szCs w:val="32"/>
        </w:rPr>
        <w:t>2023年青岛市行政审批服务局机关运行经费财政拨款预算为173.25万元。较2022年预算</w:t>
      </w:r>
      <w:r w:rsidR="001054D1">
        <w:rPr>
          <w:rFonts w:ascii="仿宋_GB2312" w:eastAsia="仿宋_GB2312" w:hint="eastAsia"/>
          <w:sz w:val="32"/>
          <w:szCs w:val="32"/>
        </w:rPr>
        <w:t>186.75万元</w:t>
      </w:r>
      <w:r>
        <w:rPr>
          <w:rFonts w:ascii="仿宋_GB2312" w:eastAsia="仿宋_GB2312" w:hint="eastAsia"/>
          <w:sz w:val="32"/>
          <w:szCs w:val="32"/>
        </w:rPr>
        <w:t>减少13.5</w:t>
      </w:r>
      <w:r w:rsidR="001054D1">
        <w:rPr>
          <w:rFonts w:ascii="仿宋_GB2312" w:eastAsia="仿宋_GB2312" w:hint="eastAsia"/>
          <w:sz w:val="32"/>
          <w:szCs w:val="32"/>
        </w:rPr>
        <w:t>0</w:t>
      </w:r>
      <w:r>
        <w:rPr>
          <w:rFonts w:ascii="仿宋_GB2312" w:eastAsia="仿宋_GB2312" w:hint="eastAsia"/>
          <w:sz w:val="32"/>
          <w:szCs w:val="32"/>
        </w:rPr>
        <w:t>万元，</w:t>
      </w:r>
      <w:r w:rsidRPr="001054D1">
        <w:rPr>
          <w:rFonts w:ascii="仿宋_GB2312" w:eastAsia="仿宋_GB2312" w:hint="eastAsia"/>
          <w:sz w:val="32"/>
          <w:szCs w:val="32"/>
        </w:rPr>
        <w:t>下降7.23%。</w:t>
      </w:r>
      <w:r>
        <w:rPr>
          <w:rFonts w:ascii="仿宋_GB2312" w:eastAsia="仿宋_GB2312" w:hint="eastAsia"/>
          <w:sz w:val="32"/>
          <w:szCs w:val="32"/>
        </w:rPr>
        <w:t>主要原因是：厉行节约，压减公用经费支出等。</w:t>
      </w:r>
    </w:p>
    <w:p w:rsidR="00AB6FBD" w:rsidRDefault="00AB6FBD" w:rsidP="00AB6FBD">
      <w:pPr>
        <w:spacing w:line="580" w:lineRule="exact"/>
        <w:ind w:firstLine="601"/>
        <w:rPr>
          <w:rFonts w:ascii="楷体_GB2312" w:eastAsia="楷体_GB2312"/>
          <w:sz w:val="32"/>
          <w:szCs w:val="32"/>
        </w:rPr>
      </w:pPr>
      <w:r>
        <w:rPr>
          <w:rFonts w:ascii="楷体_GB2312" w:eastAsia="楷体_GB2312" w:hint="eastAsia"/>
          <w:sz w:val="32"/>
          <w:szCs w:val="32"/>
        </w:rPr>
        <w:t>（</w:t>
      </w:r>
      <w:r w:rsidR="00951159">
        <w:rPr>
          <w:rFonts w:ascii="楷体_GB2312" w:eastAsia="楷体_GB2312" w:hint="eastAsia"/>
          <w:sz w:val="32"/>
          <w:szCs w:val="32"/>
        </w:rPr>
        <w:t>四</w:t>
      </w:r>
      <w:r>
        <w:rPr>
          <w:rFonts w:ascii="楷体_GB2312" w:eastAsia="楷体_GB2312" w:hint="eastAsia"/>
          <w:sz w:val="32"/>
          <w:szCs w:val="32"/>
        </w:rPr>
        <w:t>）政府采购情况</w:t>
      </w:r>
    </w:p>
    <w:p w:rsidR="00AB6FBD" w:rsidRPr="006811FC" w:rsidRDefault="00AB6FBD" w:rsidP="00AB6FBD">
      <w:pPr>
        <w:spacing w:line="580" w:lineRule="exact"/>
        <w:ind w:firstLine="600"/>
        <w:rPr>
          <w:rFonts w:ascii="仿宋_GB2312" w:eastAsia="仿宋_GB2312" w:hAnsi="宋体" w:cs="Courier New"/>
          <w:sz w:val="32"/>
          <w:szCs w:val="32"/>
        </w:rPr>
      </w:pPr>
      <w:r w:rsidRPr="006811FC">
        <w:rPr>
          <w:rFonts w:ascii="仿宋_GB2312" w:eastAsia="仿宋_GB2312" w:hAnsi="宋体" w:cs="Courier New" w:hint="eastAsia"/>
          <w:sz w:val="32"/>
          <w:szCs w:val="32"/>
        </w:rPr>
        <w:t>2023年本单位政府采购预算总额</w:t>
      </w:r>
      <w:r w:rsidRPr="006811FC">
        <w:rPr>
          <w:rFonts w:ascii="仿宋_GB2312" w:eastAsia="仿宋_GB2312" w:hAnsi="宋体" w:cs="Courier New"/>
          <w:sz w:val="32"/>
          <w:szCs w:val="32"/>
        </w:rPr>
        <w:t>7900.13</w:t>
      </w:r>
      <w:r w:rsidRPr="006811FC">
        <w:rPr>
          <w:rFonts w:ascii="仿宋_GB2312" w:eastAsia="仿宋_GB2312" w:hAnsi="宋体" w:cs="Courier New" w:hint="eastAsia"/>
          <w:sz w:val="32"/>
          <w:szCs w:val="32"/>
        </w:rPr>
        <w:t>万元，其中：财政拨款安排</w:t>
      </w:r>
      <w:r w:rsidRPr="006811FC">
        <w:rPr>
          <w:rFonts w:ascii="仿宋_GB2312" w:eastAsia="仿宋_GB2312" w:hAnsi="宋体" w:cs="Courier New"/>
          <w:sz w:val="32"/>
          <w:szCs w:val="32"/>
        </w:rPr>
        <w:t>7900.13</w:t>
      </w:r>
      <w:r w:rsidRPr="006811FC">
        <w:rPr>
          <w:rFonts w:ascii="仿宋_GB2312" w:eastAsia="仿宋_GB2312" w:hAnsi="宋体" w:cs="Courier New" w:hint="eastAsia"/>
          <w:sz w:val="32"/>
          <w:szCs w:val="32"/>
        </w:rPr>
        <w:t>万元，其他资金安排0万元。政府采购货物预算3.85万元、政府采购工程预算0万元、政府采购服务预算7896.28万元。</w:t>
      </w:r>
    </w:p>
    <w:p w:rsidR="00AB6FBD" w:rsidRDefault="00AB6FBD" w:rsidP="00AB6FBD">
      <w:pPr>
        <w:spacing w:line="580" w:lineRule="exact"/>
        <w:ind w:firstLine="600"/>
        <w:rPr>
          <w:rFonts w:ascii="仿宋_GB2312" w:eastAsia="仿宋_GB2312"/>
          <w:sz w:val="32"/>
          <w:szCs w:val="32"/>
        </w:rPr>
      </w:pPr>
      <w:r>
        <w:rPr>
          <w:rFonts w:ascii="楷体_GB2312" w:eastAsia="楷体_GB2312" w:hint="eastAsia"/>
          <w:sz w:val="32"/>
          <w:szCs w:val="32"/>
        </w:rPr>
        <w:t>（</w:t>
      </w:r>
      <w:r w:rsidR="00951159">
        <w:rPr>
          <w:rFonts w:ascii="楷体_GB2312" w:eastAsia="楷体_GB2312" w:hint="eastAsia"/>
          <w:sz w:val="32"/>
          <w:szCs w:val="32"/>
        </w:rPr>
        <w:t>五</w:t>
      </w:r>
      <w:r>
        <w:rPr>
          <w:rFonts w:ascii="楷体_GB2312" w:eastAsia="楷体_GB2312" w:hint="eastAsia"/>
          <w:sz w:val="32"/>
          <w:szCs w:val="32"/>
        </w:rPr>
        <w:t>）国有资产占用情况说明</w:t>
      </w:r>
    </w:p>
    <w:p w:rsidR="00AB6FBD" w:rsidRDefault="00AB6FBD" w:rsidP="00AB6FBD">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截至2022年12月31日，本单位共有车辆2辆，其中，机要通信用车2辆；单位价值50万元以上通用设备0台（套），单位价值100万元以上专用设备0台（套）。</w:t>
      </w:r>
    </w:p>
    <w:p w:rsidR="00AB6FBD" w:rsidRDefault="00AB6FBD" w:rsidP="00AB6FBD">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2023年单位预算安排购置单位价值50万元以上通用设备0台（件、套），单位价值100万元以上专用设备0台（件、套）。</w:t>
      </w:r>
    </w:p>
    <w:p w:rsidR="00AB6FBD" w:rsidRDefault="00AB6FBD" w:rsidP="00AB6FBD">
      <w:pPr>
        <w:spacing w:line="580" w:lineRule="exact"/>
        <w:ind w:firstLineChars="200" w:firstLine="640"/>
        <w:rPr>
          <w:rFonts w:ascii="楷体_GB2312" w:eastAsia="楷体_GB2312" w:hAnsi="黑体"/>
          <w:bCs/>
          <w:sz w:val="32"/>
          <w:szCs w:val="32"/>
        </w:rPr>
      </w:pPr>
      <w:r>
        <w:rPr>
          <w:rFonts w:ascii="楷体_GB2312" w:eastAsia="楷体_GB2312" w:hAnsi="黑体" w:hint="eastAsia"/>
          <w:bCs/>
          <w:sz w:val="32"/>
          <w:szCs w:val="32"/>
        </w:rPr>
        <w:t>（</w:t>
      </w:r>
      <w:r w:rsidR="00951159">
        <w:rPr>
          <w:rFonts w:ascii="楷体_GB2312" w:eastAsia="楷体_GB2312" w:hAnsi="黑体" w:hint="eastAsia"/>
          <w:bCs/>
          <w:sz w:val="32"/>
          <w:szCs w:val="32"/>
        </w:rPr>
        <w:t>六</w:t>
      </w:r>
      <w:r>
        <w:rPr>
          <w:rFonts w:ascii="楷体_GB2312" w:eastAsia="楷体_GB2312" w:hAnsi="黑体" w:hint="eastAsia"/>
          <w:bCs/>
          <w:sz w:val="32"/>
          <w:szCs w:val="32"/>
        </w:rPr>
        <w:t>）预算绩效情况说明</w:t>
      </w:r>
    </w:p>
    <w:p w:rsidR="00AB6FBD" w:rsidRPr="00AB6FBD" w:rsidRDefault="00AB6FBD" w:rsidP="00AB6FBD">
      <w:pPr>
        <w:spacing w:line="560" w:lineRule="exact"/>
        <w:ind w:firstLineChars="200" w:firstLine="640"/>
        <w:rPr>
          <w:rFonts w:ascii="仿宋_GB2312" w:eastAsia="仿宋_GB2312" w:hAnsi="仿宋_GB2312" w:cs="仿宋_GB2312"/>
          <w:bCs/>
          <w:sz w:val="32"/>
          <w:szCs w:val="32"/>
        </w:rPr>
        <w:sectPr w:rsidR="00AB6FBD" w:rsidRPr="00AB6FBD">
          <w:pgSz w:w="11900" w:h="16840"/>
          <w:pgMar w:top="1984" w:right="1304" w:bottom="1134" w:left="1304" w:header="720" w:footer="720" w:gutter="0"/>
          <w:cols w:space="720"/>
        </w:sectPr>
      </w:pPr>
      <w:r>
        <w:rPr>
          <w:rFonts w:ascii="仿宋_GB2312" w:eastAsia="仿宋_GB2312" w:hint="eastAsia"/>
          <w:sz w:val="32"/>
          <w:szCs w:val="32"/>
        </w:rPr>
        <w:lastRenderedPageBreak/>
        <w:t>青岛市行政审批服务局</w:t>
      </w:r>
      <w:r>
        <w:rPr>
          <w:rFonts w:ascii="仿宋_GB2312" w:eastAsia="仿宋_GB2312" w:hAnsi="黑体" w:hint="eastAsia"/>
          <w:bCs/>
          <w:sz w:val="32"/>
          <w:szCs w:val="32"/>
        </w:rPr>
        <w:t>2023年项目支出全面实施绩效目标管理，涉及预算项目支出6个，预算资金9193.51万元，其中财政拨款9193.51万元。</w:t>
      </w:r>
      <w:r>
        <w:rPr>
          <w:rFonts w:ascii="仿宋_GB2312" w:eastAsia="仿宋_GB2312" w:hAnsi="仿宋_GB2312" w:cs="仿宋_GB2312" w:hint="eastAsia"/>
          <w:bCs/>
          <w:sz w:val="32"/>
          <w:szCs w:val="32"/>
        </w:rPr>
        <w:t>根据以前年度绩效评价结果，优化</w:t>
      </w:r>
      <w:r>
        <w:rPr>
          <w:rFonts w:ascii="仿宋_GB2312" w:eastAsia="仿宋_GB2312" w:hAnsi="仿宋_GB2312" w:cs="仿宋_GB2312"/>
          <w:bCs/>
          <w:sz w:val="32"/>
          <w:szCs w:val="32"/>
        </w:rPr>
        <w:t>市民中心后勤保障经费</w:t>
      </w:r>
      <w:r>
        <w:rPr>
          <w:rFonts w:ascii="仿宋_GB2312" w:eastAsia="仿宋_GB2312" w:hAnsi="仿宋_GB2312" w:cs="仿宋_GB2312" w:hint="eastAsia"/>
          <w:bCs/>
          <w:sz w:val="32"/>
          <w:szCs w:val="32"/>
        </w:rPr>
        <w:t>、市优化营商环境工作专班经费等项目支出2023年预算安排，进一步改进管理、完善政策。</w:t>
      </w:r>
    </w:p>
    <w:p w:rsidR="00AB6FBD" w:rsidRDefault="00AB6FBD" w:rsidP="00AB6FBD">
      <w:pPr>
        <w:rPr>
          <w:rFonts w:ascii="仿宋_GB2312" w:eastAsia="仿宋_GB2312" w:hAnsi="黑体"/>
          <w:bCs/>
          <w:sz w:val="32"/>
          <w:szCs w:val="32"/>
        </w:rPr>
      </w:pPr>
    </w:p>
    <w:p w:rsidR="00AB6FBD" w:rsidRDefault="00AB6FBD" w:rsidP="00AB6FBD">
      <w:pPr>
        <w:rPr>
          <w:rFonts w:ascii="仿宋_GB2312" w:eastAsia="仿宋_GB2312" w:hAnsi="黑体"/>
          <w:bCs/>
          <w:sz w:val="32"/>
          <w:szCs w:val="32"/>
        </w:rPr>
      </w:pPr>
    </w:p>
    <w:p w:rsidR="00AB6FBD" w:rsidRPr="00AB6FBD" w:rsidRDefault="00AB6FBD" w:rsidP="00AB6FBD">
      <w:pPr>
        <w:rPr>
          <w:rFonts w:ascii="黑体" w:eastAsia="黑体"/>
          <w:sz w:val="48"/>
          <w:szCs w:val="48"/>
        </w:rPr>
      </w:pPr>
    </w:p>
    <w:p w:rsidR="00AB6FBD" w:rsidRDefault="00AB6FBD" w:rsidP="00AB6FBD">
      <w:pPr>
        <w:rPr>
          <w:rFonts w:ascii="黑体" w:eastAsia="黑体"/>
          <w:sz w:val="52"/>
          <w:szCs w:val="52"/>
        </w:rPr>
      </w:pPr>
      <w:r>
        <w:rPr>
          <w:rFonts w:ascii="黑体" w:eastAsia="黑体" w:hint="eastAsia"/>
          <w:sz w:val="52"/>
          <w:szCs w:val="52"/>
        </w:rPr>
        <w:t>第四部分</w:t>
      </w:r>
    </w:p>
    <w:p w:rsidR="00AB6FBD" w:rsidRDefault="00AB6FBD" w:rsidP="00AB6FBD">
      <w:pPr>
        <w:rPr>
          <w:rFonts w:ascii="黑体" w:eastAsia="黑体"/>
          <w:sz w:val="52"/>
          <w:szCs w:val="52"/>
        </w:rPr>
      </w:pPr>
    </w:p>
    <w:p w:rsidR="00AB6FBD" w:rsidRDefault="00AB6FBD" w:rsidP="00AB6FBD">
      <w:pPr>
        <w:rPr>
          <w:rFonts w:ascii="黑体" w:eastAsia="黑体"/>
          <w:sz w:val="48"/>
          <w:szCs w:val="48"/>
        </w:rPr>
      </w:pPr>
    </w:p>
    <w:p w:rsidR="00AB6FBD" w:rsidRDefault="00AB6FBD" w:rsidP="00AB6FBD">
      <w:pPr>
        <w:rPr>
          <w:rFonts w:ascii="黑体" w:eastAsia="黑体"/>
          <w:sz w:val="52"/>
          <w:szCs w:val="52"/>
        </w:rPr>
      </w:pPr>
    </w:p>
    <w:p w:rsidR="00AB6FBD" w:rsidRDefault="00AB6FBD" w:rsidP="00AB6FBD">
      <w:pPr>
        <w:jc w:val="center"/>
        <w:rPr>
          <w:rFonts w:ascii="黑体" w:eastAsia="黑体"/>
          <w:sz w:val="52"/>
          <w:szCs w:val="52"/>
        </w:rPr>
      </w:pPr>
      <w:r>
        <w:rPr>
          <w:rFonts w:ascii="黑体" w:eastAsia="黑体" w:hint="eastAsia"/>
          <w:sz w:val="52"/>
          <w:szCs w:val="52"/>
        </w:rPr>
        <w:t>名词解释</w:t>
      </w: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AB6FBD" w:rsidRDefault="00AB6FBD" w:rsidP="00AB6FBD">
      <w:pPr>
        <w:rPr>
          <w:rFonts w:ascii="黑体" w:eastAsia="黑体"/>
          <w:b/>
          <w:sz w:val="30"/>
          <w:szCs w:val="30"/>
        </w:rPr>
      </w:pPr>
    </w:p>
    <w:p w:rsidR="00DF037F" w:rsidRDefault="00DF037F" w:rsidP="00AB6FBD">
      <w:pPr>
        <w:rPr>
          <w:rFonts w:ascii="黑体" w:eastAsia="黑体"/>
          <w:b/>
          <w:sz w:val="30"/>
          <w:szCs w:val="30"/>
        </w:rPr>
      </w:pPr>
    </w:p>
    <w:p w:rsidR="00AB6FBD" w:rsidRDefault="00AB6FBD" w:rsidP="00AB6FBD">
      <w:pPr>
        <w:spacing w:line="580" w:lineRule="exact"/>
        <w:ind w:firstLineChars="200" w:firstLine="640"/>
        <w:rPr>
          <w:rFonts w:ascii="仿宋_GB2312" w:eastAsia="仿宋_GB2312"/>
          <w:sz w:val="32"/>
          <w:szCs w:val="32"/>
        </w:rPr>
      </w:pPr>
      <w:r>
        <w:rPr>
          <w:rFonts w:ascii="黑体" w:eastAsia="黑体" w:hAnsi="黑体" w:hint="eastAsia"/>
          <w:color w:val="000000"/>
          <w:sz w:val="32"/>
          <w:szCs w:val="32"/>
        </w:rPr>
        <w:lastRenderedPageBreak/>
        <w:t>一、财政拨款收入：</w:t>
      </w:r>
      <w:r>
        <w:rPr>
          <w:rFonts w:ascii="仿宋_GB2312" w:eastAsia="仿宋_GB2312" w:hint="eastAsia"/>
          <w:sz w:val="32"/>
          <w:szCs w:val="32"/>
        </w:rPr>
        <w:t>指由市级财政拨款形成的部门（单位）收入。按现行管理制度，市级部门（单位）预算中反映的财政拨款包括一般公共预算拨款、政府性基金预算拨款和国有资本经营预算拨款。</w:t>
      </w:r>
    </w:p>
    <w:p w:rsidR="00AB6FBD" w:rsidRDefault="00AB6FBD" w:rsidP="00AB6FBD">
      <w:pPr>
        <w:spacing w:line="580" w:lineRule="exact"/>
        <w:ind w:firstLineChars="200" w:firstLine="640"/>
        <w:rPr>
          <w:rFonts w:ascii="仿宋_GB2312" w:eastAsia="仿宋_GB2312"/>
          <w:sz w:val="32"/>
          <w:szCs w:val="32"/>
        </w:rPr>
      </w:pPr>
      <w:r>
        <w:rPr>
          <w:rFonts w:ascii="黑体" w:eastAsia="黑体" w:hAnsi="黑体" w:cs="黑体" w:hint="eastAsia"/>
          <w:sz w:val="32"/>
          <w:szCs w:val="32"/>
        </w:rPr>
        <w:t>二、财政专户管理资金：</w:t>
      </w:r>
      <w:r>
        <w:rPr>
          <w:rFonts w:ascii="仿宋_GB2312" w:eastAsia="仿宋_GB2312" w:hAnsi="仿宋_GB2312" w:cs="仿宋_GB2312" w:hint="eastAsia"/>
          <w:sz w:val="32"/>
          <w:szCs w:val="32"/>
        </w:rPr>
        <w:t>指缴入财政专户、实行专项管理的高中以上学费、住宿费、高校委托培养费、函大、电大、夜大及短训班培训费等教育收费。</w:t>
      </w:r>
    </w:p>
    <w:p w:rsidR="00AB6FBD" w:rsidRDefault="00AB6FBD" w:rsidP="00AB6FB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三、事业收入：</w:t>
      </w:r>
      <w:r>
        <w:rPr>
          <w:rFonts w:ascii="仿宋_GB2312" w:eastAsia="仿宋_GB2312" w:hAnsi="仿宋_GB2312" w:cs="仿宋_GB2312" w:hint="eastAsia"/>
          <w:sz w:val="32"/>
          <w:szCs w:val="32"/>
        </w:rPr>
        <w:t>指事业单位开展专业业务活动及辅助活动所取得的收入，不含纳入财政专户管理的教育收费。</w:t>
      </w:r>
    </w:p>
    <w:p w:rsidR="00AB6FBD" w:rsidRDefault="00AB6FBD" w:rsidP="00AB6FBD">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四、事业单位经营收入：</w:t>
      </w:r>
      <w:r>
        <w:rPr>
          <w:rFonts w:ascii="仿宋_GB2312" w:eastAsia="仿宋_GB2312" w:hAnsi="仿宋" w:hint="eastAsia"/>
          <w:sz w:val="32"/>
          <w:szCs w:val="32"/>
        </w:rPr>
        <w:t>指事业单位在专业业务活动及其辅助活动之外开展非独立核算经营活动取得的收入。</w:t>
      </w:r>
    </w:p>
    <w:p w:rsidR="00AB6FBD" w:rsidRDefault="00AB6FBD" w:rsidP="00AB6FBD">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五、上级补助收入：</w:t>
      </w:r>
      <w:r>
        <w:rPr>
          <w:rFonts w:ascii="仿宋_GB2312" w:eastAsia="仿宋_GB2312" w:hAnsi="仿宋" w:hint="eastAsia"/>
          <w:sz w:val="32"/>
          <w:szCs w:val="32"/>
        </w:rPr>
        <w:t>指单位从主管部门和上级单位取得的非财政补助收入。</w:t>
      </w:r>
    </w:p>
    <w:p w:rsidR="00AB6FBD" w:rsidRDefault="00AB6FBD" w:rsidP="00AB6FBD">
      <w:pPr>
        <w:spacing w:line="580" w:lineRule="exact"/>
        <w:ind w:firstLine="600"/>
        <w:rPr>
          <w:rFonts w:ascii="仿宋_GB2312" w:eastAsia="仿宋_GB2312"/>
          <w:sz w:val="32"/>
          <w:szCs w:val="32"/>
        </w:rPr>
      </w:pPr>
      <w:r>
        <w:rPr>
          <w:rFonts w:ascii="黑体" w:eastAsia="黑体" w:hAnsi="黑体" w:hint="eastAsia"/>
          <w:sz w:val="32"/>
          <w:szCs w:val="32"/>
        </w:rPr>
        <w:t>六、附属单位上缴收入：</w:t>
      </w:r>
      <w:r>
        <w:rPr>
          <w:rFonts w:ascii="仿宋_GB2312" w:eastAsia="仿宋_GB2312" w:hint="eastAsia"/>
          <w:sz w:val="32"/>
          <w:szCs w:val="32"/>
        </w:rPr>
        <w:t>指本部门所属纳入部门预算编报范围的单位按有关规定上缴的收入。</w:t>
      </w:r>
    </w:p>
    <w:p w:rsidR="00AB6FBD" w:rsidRDefault="00AB6FBD" w:rsidP="00AB6FBD">
      <w:pPr>
        <w:spacing w:line="580" w:lineRule="exact"/>
        <w:ind w:firstLine="600"/>
        <w:rPr>
          <w:rFonts w:ascii="仿宋_GB2312" w:eastAsia="仿宋_GB2312"/>
          <w:sz w:val="32"/>
          <w:szCs w:val="32"/>
        </w:rPr>
      </w:pPr>
      <w:r>
        <w:rPr>
          <w:rFonts w:ascii="黑体" w:eastAsia="黑体" w:hAnsi="黑体" w:hint="eastAsia"/>
          <w:sz w:val="32"/>
          <w:szCs w:val="32"/>
        </w:rPr>
        <w:t>七、使用非财政拨款结余：</w:t>
      </w:r>
      <w:r>
        <w:rPr>
          <w:rFonts w:ascii="仿宋_GB2312" w:eastAsia="仿宋_GB2312" w:hint="eastAsia"/>
          <w:sz w:val="32"/>
          <w:szCs w:val="32"/>
        </w:rPr>
        <w:t>指本部门所属单位在预计用当年的“财政拨款收入”、“财政专户管理资金收入”、“事业收入”、“事业单位经营收入”、“其他收入”等不足以安排当年支出的情况下，使用以前年度积累结余弥补本年度收支缺口的资金。</w:t>
      </w:r>
    </w:p>
    <w:p w:rsidR="00AB6FBD" w:rsidRDefault="00AB6FBD" w:rsidP="00AB6FBD">
      <w:pPr>
        <w:spacing w:line="580" w:lineRule="exact"/>
        <w:ind w:firstLine="600"/>
        <w:rPr>
          <w:rFonts w:ascii="仿宋_GB2312" w:eastAsia="仿宋_GB2312"/>
          <w:sz w:val="32"/>
          <w:szCs w:val="32"/>
        </w:rPr>
      </w:pPr>
      <w:r>
        <w:rPr>
          <w:rFonts w:ascii="黑体" w:eastAsia="黑体" w:hAnsi="黑体" w:hint="eastAsia"/>
          <w:sz w:val="32"/>
          <w:szCs w:val="32"/>
        </w:rPr>
        <w:t>八、上年结转：</w:t>
      </w:r>
      <w:r>
        <w:rPr>
          <w:rFonts w:ascii="仿宋_GB2312" w:eastAsia="仿宋_GB2312" w:hint="eastAsia"/>
          <w:sz w:val="32"/>
          <w:szCs w:val="32"/>
        </w:rPr>
        <w:t>指以前年度尚未完成、结转到本年仍按原规定用途继续使用的资金。</w:t>
      </w:r>
    </w:p>
    <w:p w:rsidR="00AB6FBD" w:rsidRDefault="00AB6FBD" w:rsidP="00AB6FBD">
      <w:pPr>
        <w:spacing w:line="580" w:lineRule="exact"/>
        <w:ind w:firstLine="600"/>
        <w:rPr>
          <w:rFonts w:ascii="仿宋_GB2312" w:eastAsia="仿宋_GB2312"/>
          <w:sz w:val="32"/>
          <w:szCs w:val="32"/>
        </w:rPr>
      </w:pPr>
      <w:r>
        <w:rPr>
          <w:rFonts w:ascii="黑体" w:eastAsia="黑体" w:hAnsi="黑体" w:hint="eastAsia"/>
          <w:sz w:val="32"/>
          <w:szCs w:val="32"/>
        </w:rPr>
        <w:t>九、基本支出：</w:t>
      </w:r>
      <w:r>
        <w:rPr>
          <w:rFonts w:ascii="仿宋_GB2312" w:eastAsia="仿宋_GB2312" w:hint="eastAsia"/>
          <w:sz w:val="32"/>
          <w:szCs w:val="32"/>
        </w:rPr>
        <w:t>指为保障机构正常运转、完成日常工作任务而发生的人员支出和日常公用支出。</w:t>
      </w:r>
    </w:p>
    <w:p w:rsidR="00AB6FBD" w:rsidRDefault="00AB6FBD" w:rsidP="00AB6FBD">
      <w:pPr>
        <w:spacing w:line="580" w:lineRule="exact"/>
        <w:ind w:firstLine="600"/>
        <w:rPr>
          <w:rFonts w:ascii="仿宋_GB2312" w:eastAsia="仿宋_GB2312"/>
          <w:sz w:val="32"/>
          <w:szCs w:val="32"/>
        </w:rPr>
      </w:pPr>
      <w:r>
        <w:rPr>
          <w:rFonts w:ascii="黑体" w:eastAsia="黑体" w:hAnsi="黑体" w:hint="eastAsia"/>
          <w:sz w:val="32"/>
          <w:szCs w:val="32"/>
        </w:rPr>
        <w:lastRenderedPageBreak/>
        <w:t>十、项目支出：</w:t>
      </w:r>
      <w:r>
        <w:rPr>
          <w:rFonts w:ascii="仿宋_GB2312" w:eastAsia="仿宋_GB2312" w:hint="eastAsia"/>
          <w:sz w:val="32"/>
          <w:szCs w:val="32"/>
        </w:rPr>
        <w:t>指在基本支出之外为完成特定任务和事业发展目标所发生的支出。</w:t>
      </w:r>
    </w:p>
    <w:p w:rsidR="00AB6FBD" w:rsidRDefault="00AB6FBD" w:rsidP="00AB6FBD">
      <w:pPr>
        <w:spacing w:line="580" w:lineRule="exact"/>
        <w:ind w:firstLine="600"/>
        <w:rPr>
          <w:rFonts w:ascii="仿宋_GB2312" w:eastAsia="仿宋_GB2312"/>
          <w:sz w:val="32"/>
          <w:szCs w:val="32"/>
        </w:rPr>
      </w:pPr>
      <w:r>
        <w:rPr>
          <w:rFonts w:ascii="黑体" w:eastAsia="黑体" w:hAnsi="黑体" w:hint="eastAsia"/>
          <w:sz w:val="32"/>
          <w:szCs w:val="32"/>
        </w:rPr>
        <w:t>十一、“三公”经费：</w:t>
      </w:r>
      <w:r>
        <w:rPr>
          <w:rFonts w:ascii="仿宋_GB2312" w:eastAsia="仿宋_GB2312" w:hint="eastAsia"/>
          <w:sz w:val="32"/>
          <w:szCs w:val="32"/>
        </w:rPr>
        <w:t>指市级部门（单位）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接待（含外宾接待）支出。</w:t>
      </w:r>
    </w:p>
    <w:p w:rsidR="00AB6FBD" w:rsidRDefault="00AB6FBD" w:rsidP="00AB6FBD">
      <w:pPr>
        <w:spacing w:line="580" w:lineRule="exact"/>
        <w:ind w:firstLineChars="200" w:firstLine="640"/>
        <w:rPr>
          <w:rFonts w:ascii="仿宋_GB2312" w:eastAsia="仿宋_GB2312"/>
          <w:sz w:val="32"/>
          <w:szCs w:val="32"/>
        </w:rPr>
      </w:pPr>
      <w:r>
        <w:rPr>
          <w:rFonts w:ascii="黑体" w:eastAsia="黑体" w:hAnsi="黑体" w:hint="eastAsia"/>
          <w:sz w:val="32"/>
          <w:szCs w:val="32"/>
        </w:rPr>
        <w:t>十二、机关运行经费：</w:t>
      </w:r>
      <w:r>
        <w:rPr>
          <w:rFonts w:ascii="仿宋_GB2312" w:eastAsia="仿宋_GB2312" w:hAnsi="仿宋_GB2312" w:cs="仿宋_GB2312" w:hint="eastAsia"/>
          <w:sz w:val="32"/>
          <w:szCs w:val="32"/>
        </w:rPr>
        <w:t>指为保障行政单位（含参照公务员法管理的事业单位）运行用于购买</w:t>
      </w:r>
      <w:r>
        <w:rPr>
          <w:rFonts w:ascii="仿宋_GB2312" w:eastAsia="仿宋_GB2312" w:hint="eastAsia"/>
          <w:sz w:val="32"/>
          <w:szCs w:val="32"/>
        </w:rPr>
        <w:t>货物和服务的各项资金，</w:t>
      </w:r>
      <w:r>
        <w:rPr>
          <w:rFonts w:ascii="仿宋_GB2312" w:eastAsia="仿宋_GB2312" w:hAnsi="仿宋_GB2312" w:cs="仿宋_GB2312" w:hint="eastAsia"/>
          <w:sz w:val="32"/>
          <w:szCs w:val="32"/>
        </w:rPr>
        <w:t>市级行政单位(</w:t>
      </w:r>
      <w:r>
        <w:rPr>
          <w:rFonts w:ascii="仿宋_GB2312" w:eastAsia="仿宋_GB2312" w:hint="eastAsia"/>
          <w:sz w:val="32"/>
          <w:szCs w:val="32"/>
        </w:rPr>
        <w:t>含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rsidR="00AB6FBD" w:rsidRDefault="00AB6FBD" w:rsidP="00AB6FBD">
      <w:pPr>
        <w:spacing w:line="580" w:lineRule="exact"/>
        <w:ind w:firstLine="600"/>
        <w:rPr>
          <w:rFonts w:ascii="黑体" w:eastAsia="黑体" w:hAnsi="黑体"/>
          <w:sz w:val="32"/>
          <w:szCs w:val="32"/>
        </w:rPr>
      </w:pPr>
      <w:r>
        <w:rPr>
          <w:rFonts w:ascii="黑体" w:eastAsia="黑体" w:hAnsi="黑体" w:hint="eastAsia"/>
          <w:sz w:val="32"/>
          <w:szCs w:val="32"/>
        </w:rPr>
        <w:t>十三、上缴上级支出：</w:t>
      </w:r>
      <w:r>
        <w:rPr>
          <w:rFonts w:ascii="仿宋_GB2312" w:eastAsia="仿宋_GB2312" w:hint="eastAsia"/>
          <w:sz w:val="32"/>
          <w:szCs w:val="32"/>
        </w:rPr>
        <w:t>指下级单位上缴上级的支出。</w:t>
      </w:r>
    </w:p>
    <w:p w:rsidR="00AB6FBD" w:rsidRDefault="00AB6FBD" w:rsidP="00AB6FBD">
      <w:pPr>
        <w:spacing w:line="580" w:lineRule="exact"/>
        <w:ind w:firstLine="600"/>
        <w:rPr>
          <w:rFonts w:ascii="仿宋_GB2312" w:eastAsia="仿宋_GB2312"/>
          <w:sz w:val="32"/>
          <w:szCs w:val="32"/>
        </w:rPr>
      </w:pPr>
      <w:r>
        <w:rPr>
          <w:rFonts w:ascii="黑体" w:eastAsia="黑体" w:hAnsi="黑体" w:hint="eastAsia"/>
          <w:sz w:val="32"/>
          <w:szCs w:val="32"/>
        </w:rPr>
        <w:t>十四、事业单位经营支出：</w:t>
      </w:r>
      <w:r>
        <w:rPr>
          <w:rFonts w:ascii="仿宋_GB2312" w:eastAsia="仿宋_GB2312" w:hint="eastAsia"/>
          <w:sz w:val="32"/>
          <w:szCs w:val="32"/>
        </w:rPr>
        <w:t>指事业单位在专业业务活动及其辅助活动之外开展非独立核算经营活动发生的支出。</w:t>
      </w:r>
    </w:p>
    <w:p w:rsidR="00AB6FBD" w:rsidRDefault="00AB6FBD" w:rsidP="00AB6FBD">
      <w:pPr>
        <w:spacing w:line="580" w:lineRule="exact"/>
        <w:ind w:firstLine="600"/>
        <w:rPr>
          <w:rFonts w:ascii="仿宋_GB2312" w:eastAsia="仿宋_GB2312"/>
          <w:sz w:val="32"/>
          <w:szCs w:val="32"/>
        </w:rPr>
      </w:pPr>
      <w:r>
        <w:rPr>
          <w:rFonts w:ascii="黑体" w:eastAsia="黑体" w:hAnsi="黑体" w:hint="eastAsia"/>
          <w:sz w:val="32"/>
          <w:szCs w:val="32"/>
        </w:rPr>
        <w:t>十五、对下级单位补助支出：</w:t>
      </w:r>
      <w:r>
        <w:rPr>
          <w:rFonts w:ascii="仿宋_GB2312" w:eastAsia="仿宋_GB2312" w:hint="eastAsia"/>
          <w:sz w:val="32"/>
          <w:szCs w:val="32"/>
        </w:rPr>
        <w:t>指对下级单位补助发生的支出。</w:t>
      </w:r>
    </w:p>
    <w:p w:rsidR="00AB6FBD" w:rsidRDefault="00AB6FBD" w:rsidP="00AB6FBD">
      <w:pPr>
        <w:spacing w:line="580" w:lineRule="exact"/>
        <w:ind w:firstLineChars="200" w:firstLine="640"/>
        <w:rPr>
          <w:rFonts w:ascii="仿宋_GB2312" w:eastAsia="仿宋_GB2312"/>
          <w:sz w:val="32"/>
          <w:szCs w:val="32"/>
        </w:rPr>
      </w:pPr>
      <w:r>
        <w:rPr>
          <w:rFonts w:ascii="黑体" w:eastAsia="黑体" w:hAnsi="黑体" w:hint="eastAsia"/>
          <w:sz w:val="32"/>
          <w:szCs w:val="32"/>
        </w:rPr>
        <w:t>十六、结转下年</w:t>
      </w:r>
      <w:r>
        <w:rPr>
          <w:rFonts w:ascii="仿宋_GB2312" w:eastAsia="仿宋_GB2312" w:hint="eastAsia"/>
          <w:sz w:val="32"/>
          <w:szCs w:val="32"/>
        </w:rPr>
        <w:t>：指以前年度预算安排、因客观条件发生变化无法按原计划实施，需延迟到以后年度按原规定用途</w:t>
      </w:r>
      <w:r>
        <w:rPr>
          <w:rFonts w:ascii="仿宋_GB2312" w:eastAsia="仿宋_GB2312" w:hint="eastAsia"/>
          <w:sz w:val="32"/>
          <w:szCs w:val="32"/>
        </w:rPr>
        <w:lastRenderedPageBreak/>
        <w:t>继续使用的资金。</w:t>
      </w:r>
    </w:p>
    <w:p w:rsidR="00AB6FBD" w:rsidRDefault="00AB6FBD" w:rsidP="00AB6FBD">
      <w:pPr>
        <w:spacing w:line="580" w:lineRule="exact"/>
        <w:ind w:firstLineChars="200" w:firstLine="640"/>
        <w:rPr>
          <w:rFonts w:ascii="黑体" w:eastAsia="黑体" w:hAnsi="黑体"/>
          <w:sz w:val="32"/>
          <w:szCs w:val="32"/>
        </w:rPr>
      </w:pPr>
      <w:r>
        <w:rPr>
          <w:rFonts w:ascii="黑体" w:eastAsia="黑体" w:hAnsi="黑体" w:hint="eastAsia"/>
          <w:sz w:val="32"/>
          <w:szCs w:val="32"/>
        </w:rPr>
        <w:t>十七、各部门所使用的支出功能分类科目解释说明（明细到支出功能分类“项”级科目）。</w:t>
      </w:r>
    </w:p>
    <w:p w:rsidR="00AB6FBD" w:rsidRDefault="00AB6FBD" w:rsidP="00AB6FBD">
      <w:pPr>
        <w:spacing w:line="580" w:lineRule="exact"/>
        <w:ind w:firstLineChars="200" w:firstLine="640"/>
        <w:rPr>
          <w:rFonts w:ascii="黑体" w:eastAsia="黑体" w:hAnsi="黑体"/>
          <w:sz w:val="32"/>
          <w:szCs w:val="32"/>
        </w:rPr>
      </w:pPr>
      <w:r>
        <w:rPr>
          <w:rFonts w:ascii="黑体" w:eastAsia="黑体" w:hAnsi="黑体" w:hint="eastAsia"/>
          <w:sz w:val="32"/>
          <w:szCs w:val="32"/>
        </w:rPr>
        <w:t>十八、各部门特有的其他需进行解释说明的名词。</w:t>
      </w:r>
    </w:p>
    <w:p w:rsidR="00AB6FBD" w:rsidRDefault="00AB6FBD" w:rsidP="00AB6FBD">
      <w:pPr>
        <w:spacing w:line="580" w:lineRule="exact"/>
        <w:ind w:firstLine="600"/>
        <w:rPr>
          <w:rFonts w:ascii="黑体" w:eastAsia="黑体" w:hAnsi="黑体"/>
          <w:sz w:val="32"/>
          <w:szCs w:val="32"/>
        </w:rPr>
      </w:pPr>
    </w:p>
    <w:p w:rsidR="00AB6FBD" w:rsidRDefault="00AB6FBD" w:rsidP="00AB6FBD">
      <w:pPr>
        <w:spacing w:line="580" w:lineRule="exact"/>
        <w:ind w:firstLineChars="200" w:firstLine="640"/>
        <w:rPr>
          <w:rFonts w:ascii="仿宋_GB2312" w:eastAsia="仿宋_GB2312"/>
          <w:sz w:val="32"/>
          <w:szCs w:val="32"/>
        </w:rPr>
      </w:pPr>
    </w:p>
    <w:p w:rsidR="00AB6FBD" w:rsidRDefault="00AB6FBD"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AA6F93" w:rsidRDefault="00AA6F93" w:rsidP="00AB6FBD"/>
    <w:p w:rsidR="000C3BE7" w:rsidRPr="005D70CC" w:rsidRDefault="000C3BE7" w:rsidP="00AA6F93">
      <w:pPr>
        <w:spacing w:line="580" w:lineRule="exact"/>
        <w:rPr>
          <w:rFonts w:ascii="仿宋_GB2312" w:eastAsia="仿宋_GB2312"/>
          <w:sz w:val="32"/>
          <w:szCs w:val="32"/>
        </w:rPr>
      </w:pPr>
    </w:p>
    <w:sectPr w:rsidR="000C3BE7" w:rsidRPr="005D70CC" w:rsidSect="003174AB">
      <w:pgSz w:w="11906" w:h="16838"/>
      <w:pgMar w:top="1440" w:right="1797" w:bottom="1440" w:left="179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EE6" w:rsidRDefault="00447EE6">
      <w:r>
        <w:separator/>
      </w:r>
    </w:p>
  </w:endnote>
  <w:endnote w:type="continuationSeparator" w:id="0">
    <w:p w:rsidR="00447EE6" w:rsidRDefault="00447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文星简大标宋">
    <w:altName w:val="Arial Unicode MS"/>
    <w:charset w:val="86"/>
    <w:family w:val="modern"/>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等线">
    <w:charset w:val="86"/>
    <w:family w:val="auto"/>
    <w:pitch w:val="default"/>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E7" w:rsidRDefault="001A3F3B">
    <w:pPr>
      <w:pStyle w:val="a5"/>
      <w:framePr w:wrap="around" w:vAnchor="text" w:hAnchor="margin" w:xAlign="center" w:y="1"/>
      <w:rPr>
        <w:rStyle w:val="a7"/>
      </w:rPr>
    </w:pPr>
    <w:r>
      <w:fldChar w:fldCharType="begin"/>
    </w:r>
    <w:r w:rsidR="000C3BE7">
      <w:rPr>
        <w:rStyle w:val="a7"/>
      </w:rPr>
      <w:instrText xml:space="preserve">PAGE  </w:instrText>
    </w:r>
    <w:r>
      <w:fldChar w:fldCharType="end"/>
    </w:r>
  </w:p>
  <w:p w:rsidR="000C3BE7" w:rsidRDefault="000C3BE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E7" w:rsidRDefault="001A3F3B">
    <w:pPr>
      <w:pStyle w:val="a5"/>
      <w:framePr w:wrap="around" w:vAnchor="text" w:hAnchor="margin" w:xAlign="center" w:y="1"/>
      <w:rPr>
        <w:rStyle w:val="a7"/>
      </w:rPr>
    </w:pPr>
    <w:r>
      <w:fldChar w:fldCharType="begin"/>
    </w:r>
    <w:r w:rsidR="000C3BE7">
      <w:rPr>
        <w:rStyle w:val="a7"/>
      </w:rPr>
      <w:instrText xml:space="preserve">PAGE  </w:instrText>
    </w:r>
    <w:r>
      <w:fldChar w:fldCharType="separate"/>
    </w:r>
    <w:r w:rsidR="00E818D1">
      <w:rPr>
        <w:rStyle w:val="a7"/>
        <w:noProof/>
      </w:rPr>
      <w:t>18</w:t>
    </w:r>
    <w:r>
      <w:fldChar w:fldCharType="end"/>
    </w:r>
  </w:p>
  <w:p w:rsidR="000C3BE7" w:rsidRDefault="000C3B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EE6" w:rsidRDefault="00447EE6">
      <w:r>
        <w:separator/>
      </w:r>
    </w:p>
  </w:footnote>
  <w:footnote w:type="continuationSeparator" w:id="0">
    <w:p w:rsidR="00447EE6" w:rsidRDefault="00447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E7" w:rsidRDefault="000C3BE7">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E7" w:rsidRDefault="000C3BE7">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stylePaneFormatFilter w:val="3F01"/>
  <w:defaultTabStop w:val="420"/>
  <w:drawingGridHorizontalSpacing w:val="213"/>
  <w:drawingGridVerticalSpacing w:val="156"/>
  <w:noPunctuationKerning/>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I0OWVkOGU2NDM3YjgyZjYxNDRlODZlMTZiMGM3NzMifQ=="/>
  </w:docVars>
  <w:rsids>
    <w:rsidRoot w:val="004C7193"/>
    <w:rsid w:val="00002E7D"/>
    <w:rsid w:val="00003283"/>
    <w:rsid w:val="000037A0"/>
    <w:rsid w:val="00010FE6"/>
    <w:rsid w:val="00016478"/>
    <w:rsid w:val="00017BE6"/>
    <w:rsid w:val="00023ACF"/>
    <w:rsid w:val="000262D1"/>
    <w:rsid w:val="00031E72"/>
    <w:rsid w:val="00031FDC"/>
    <w:rsid w:val="000348C2"/>
    <w:rsid w:val="000368B1"/>
    <w:rsid w:val="00037B20"/>
    <w:rsid w:val="00044DCC"/>
    <w:rsid w:val="00045A58"/>
    <w:rsid w:val="00046A75"/>
    <w:rsid w:val="00047D02"/>
    <w:rsid w:val="00057D1D"/>
    <w:rsid w:val="00060F8F"/>
    <w:rsid w:val="00062C48"/>
    <w:rsid w:val="0007087C"/>
    <w:rsid w:val="00074D65"/>
    <w:rsid w:val="00076E25"/>
    <w:rsid w:val="00077098"/>
    <w:rsid w:val="0008135F"/>
    <w:rsid w:val="00082097"/>
    <w:rsid w:val="000868FB"/>
    <w:rsid w:val="00090C14"/>
    <w:rsid w:val="0009153D"/>
    <w:rsid w:val="000A2755"/>
    <w:rsid w:val="000A32E5"/>
    <w:rsid w:val="000A7E71"/>
    <w:rsid w:val="000B0216"/>
    <w:rsid w:val="000B02E0"/>
    <w:rsid w:val="000C3BE7"/>
    <w:rsid w:val="000C74E1"/>
    <w:rsid w:val="000D0803"/>
    <w:rsid w:val="000D1878"/>
    <w:rsid w:val="000D31C7"/>
    <w:rsid w:val="000D5383"/>
    <w:rsid w:val="000E2130"/>
    <w:rsid w:val="000E37E6"/>
    <w:rsid w:val="000E76A2"/>
    <w:rsid w:val="000F2160"/>
    <w:rsid w:val="000F271F"/>
    <w:rsid w:val="000F406F"/>
    <w:rsid w:val="000F6B1F"/>
    <w:rsid w:val="000F75A5"/>
    <w:rsid w:val="00102DF0"/>
    <w:rsid w:val="001054D1"/>
    <w:rsid w:val="00107432"/>
    <w:rsid w:val="00111472"/>
    <w:rsid w:val="001149AF"/>
    <w:rsid w:val="00114AFE"/>
    <w:rsid w:val="00115355"/>
    <w:rsid w:val="00115F31"/>
    <w:rsid w:val="00117FD5"/>
    <w:rsid w:val="00121C23"/>
    <w:rsid w:val="0012430D"/>
    <w:rsid w:val="001247D3"/>
    <w:rsid w:val="0012556E"/>
    <w:rsid w:val="00125BFB"/>
    <w:rsid w:val="0013247D"/>
    <w:rsid w:val="00133784"/>
    <w:rsid w:val="0013508F"/>
    <w:rsid w:val="0014481D"/>
    <w:rsid w:val="00144F0E"/>
    <w:rsid w:val="0015319D"/>
    <w:rsid w:val="00155BA2"/>
    <w:rsid w:val="0016381D"/>
    <w:rsid w:val="00167985"/>
    <w:rsid w:val="00167F6E"/>
    <w:rsid w:val="00170426"/>
    <w:rsid w:val="0017132B"/>
    <w:rsid w:val="001776CE"/>
    <w:rsid w:val="001823F0"/>
    <w:rsid w:val="00184019"/>
    <w:rsid w:val="00186D80"/>
    <w:rsid w:val="00191962"/>
    <w:rsid w:val="0019244E"/>
    <w:rsid w:val="00195E4A"/>
    <w:rsid w:val="001961AE"/>
    <w:rsid w:val="001A0EBF"/>
    <w:rsid w:val="001A201E"/>
    <w:rsid w:val="001A2543"/>
    <w:rsid w:val="001A3F3B"/>
    <w:rsid w:val="001B062F"/>
    <w:rsid w:val="001B293E"/>
    <w:rsid w:val="001B2B4D"/>
    <w:rsid w:val="001B60EA"/>
    <w:rsid w:val="001B7658"/>
    <w:rsid w:val="001C37EC"/>
    <w:rsid w:val="001C3C5A"/>
    <w:rsid w:val="001C444B"/>
    <w:rsid w:val="001C4F25"/>
    <w:rsid w:val="001C5454"/>
    <w:rsid w:val="001C5FD0"/>
    <w:rsid w:val="001C6FF9"/>
    <w:rsid w:val="001C7171"/>
    <w:rsid w:val="001D09B8"/>
    <w:rsid w:val="001D0C62"/>
    <w:rsid w:val="001D1089"/>
    <w:rsid w:val="001D197E"/>
    <w:rsid w:val="001E15E6"/>
    <w:rsid w:val="001E24EC"/>
    <w:rsid w:val="001E4025"/>
    <w:rsid w:val="001E457C"/>
    <w:rsid w:val="001F0816"/>
    <w:rsid w:val="001F65C5"/>
    <w:rsid w:val="001F789E"/>
    <w:rsid w:val="002022B9"/>
    <w:rsid w:val="0020598C"/>
    <w:rsid w:val="00210B61"/>
    <w:rsid w:val="0021146E"/>
    <w:rsid w:val="00211F82"/>
    <w:rsid w:val="002122D4"/>
    <w:rsid w:val="002139C7"/>
    <w:rsid w:val="00213DC0"/>
    <w:rsid w:val="00215C2A"/>
    <w:rsid w:val="00216951"/>
    <w:rsid w:val="00221AB2"/>
    <w:rsid w:val="00221DFE"/>
    <w:rsid w:val="00225133"/>
    <w:rsid w:val="00226C5A"/>
    <w:rsid w:val="00231B86"/>
    <w:rsid w:val="00231EBE"/>
    <w:rsid w:val="00232600"/>
    <w:rsid w:val="00232FE3"/>
    <w:rsid w:val="002332D4"/>
    <w:rsid w:val="0024268A"/>
    <w:rsid w:val="0024711E"/>
    <w:rsid w:val="00253115"/>
    <w:rsid w:val="00253C14"/>
    <w:rsid w:val="0026303E"/>
    <w:rsid w:val="00265A3A"/>
    <w:rsid w:val="002661EC"/>
    <w:rsid w:val="002669B6"/>
    <w:rsid w:val="00267585"/>
    <w:rsid w:val="002713E0"/>
    <w:rsid w:val="00272A85"/>
    <w:rsid w:val="00274233"/>
    <w:rsid w:val="00282C2B"/>
    <w:rsid w:val="00291309"/>
    <w:rsid w:val="00294D2F"/>
    <w:rsid w:val="002A412F"/>
    <w:rsid w:val="002B09AE"/>
    <w:rsid w:val="002B7DA7"/>
    <w:rsid w:val="002C47BC"/>
    <w:rsid w:val="002D0011"/>
    <w:rsid w:val="002D35C0"/>
    <w:rsid w:val="002D38E5"/>
    <w:rsid w:val="002D3EFE"/>
    <w:rsid w:val="002D504E"/>
    <w:rsid w:val="002D748B"/>
    <w:rsid w:val="002E5BA7"/>
    <w:rsid w:val="002F0219"/>
    <w:rsid w:val="002F6E69"/>
    <w:rsid w:val="00301BBA"/>
    <w:rsid w:val="0030390E"/>
    <w:rsid w:val="0030454E"/>
    <w:rsid w:val="00310430"/>
    <w:rsid w:val="00311702"/>
    <w:rsid w:val="0031481E"/>
    <w:rsid w:val="00316B3F"/>
    <w:rsid w:val="003174AB"/>
    <w:rsid w:val="003207A7"/>
    <w:rsid w:val="00321062"/>
    <w:rsid w:val="00322604"/>
    <w:rsid w:val="00323FD0"/>
    <w:rsid w:val="00324F4C"/>
    <w:rsid w:val="00326A28"/>
    <w:rsid w:val="00326D33"/>
    <w:rsid w:val="00331F0D"/>
    <w:rsid w:val="00335733"/>
    <w:rsid w:val="003439FD"/>
    <w:rsid w:val="00344C60"/>
    <w:rsid w:val="00345092"/>
    <w:rsid w:val="00345DCF"/>
    <w:rsid w:val="003466B0"/>
    <w:rsid w:val="00346C30"/>
    <w:rsid w:val="0034701E"/>
    <w:rsid w:val="00350E02"/>
    <w:rsid w:val="00354A29"/>
    <w:rsid w:val="0036187C"/>
    <w:rsid w:val="003622FC"/>
    <w:rsid w:val="00362A69"/>
    <w:rsid w:val="00363B33"/>
    <w:rsid w:val="00364D86"/>
    <w:rsid w:val="00366644"/>
    <w:rsid w:val="00366A03"/>
    <w:rsid w:val="0036790A"/>
    <w:rsid w:val="00367C74"/>
    <w:rsid w:val="003733C9"/>
    <w:rsid w:val="00374547"/>
    <w:rsid w:val="00375207"/>
    <w:rsid w:val="00376739"/>
    <w:rsid w:val="003772AC"/>
    <w:rsid w:val="00386AB9"/>
    <w:rsid w:val="00387C92"/>
    <w:rsid w:val="00390ABE"/>
    <w:rsid w:val="00392032"/>
    <w:rsid w:val="003A0A2C"/>
    <w:rsid w:val="003A1478"/>
    <w:rsid w:val="003B32A7"/>
    <w:rsid w:val="003B4301"/>
    <w:rsid w:val="003B71FC"/>
    <w:rsid w:val="003C0B34"/>
    <w:rsid w:val="003C1DD1"/>
    <w:rsid w:val="003C35F1"/>
    <w:rsid w:val="003C5888"/>
    <w:rsid w:val="003C6496"/>
    <w:rsid w:val="003D61D5"/>
    <w:rsid w:val="003D7461"/>
    <w:rsid w:val="003E4711"/>
    <w:rsid w:val="003E5556"/>
    <w:rsid w:val="003E5D24"/>
    <w:rsid w:val="003E7375"/>
    <w:rsid w:val="003F24BC"/>
    <w:rsid w:val="003F598A"/>
    <w:rsid w:val="00400329"/>
    <w:rsid w:val="00400E2C"/>
    <w:rsid w:val="004031BC"/>
    <w:rsid w:val="00405D47"/>
    <w:rsid w:val="00412B6A"/>
    <w:rsid w:val="00413BC6"/>
    <w:rsid w:val="00416379"/>
    <w:rsid w:val="00435C0A"/>
    <w:rsid w:val="00440A47"/>
    <w:rsid w:val="00441DD1"/>
    <w:rsid w:val="00443328"/>
    <w:rsid w:val="00445E78"/>
    <w:rsid w:val="0044702C"/>
    <w:rsid w:val="00447EE6"/>
    <w:rsid w:val="00454FBB"/>
    <w:rsid w:val="00455FF4"/>
    <w:rsid w:val="004607FD"/>
    <w:rsid w:val="00462348"/>
    <w:rsid w:val="00465436"/>
    <w:rsid w:val="00467431"/>
    <w:rsid w:val="00472085"/>
    <w:rsid w:val="00475CEF"/>
    <w:rsid w:val="00475EDF"/>
    <w:rsid w:val="0047767A"/>
    <w:rsid w:val="004830CB"/>
    <w:rsid w:val="0048482E"/>
    <w:rsid w:val="00484C45"/>
    <w:rsid w:val="00484CC0"/>
    <w:rsid w:val="00484D66"/>
    <w:rsid w:val="00485FDE"/>
    <w:rsid w:val="00490C6B"/>
    <w:rsid w:val="00492973"/>
    <w:rsid w:val="00493A46"/>
    <w:rsid w:val="004A0866"/>
    <w:rsid w:val="004A6E98"/>
    <w:rsid w:val="004B0533"/>
    <w:rsid w:val="004B084C"/>
    <w:rsid w:val="004B1F44"/>
    <w:rsid w:val="004B7583"/>
    <w:rsid w:val="004C1C7B"/>
    <w:rsid w:val="004C43C7"/>
    <w:rsid w:val="004C6442"/>
    <w:rsid w:val="004C6B98"/>
    <w:rsid w:val="004C7193"/>
    <w:rsid w:val="004D043F"/>
    <w:rsid w:val="004D225B"/>
    <w:rsid w:val="004D34A2"/>
    <w:rsid w:val="004D443F"/>
    <w:rsid w:val="004D56E2"/>
    <w:rsid w:val="004F01C6"/>
    <w:rsid w:val="004F2701"/>
    <w:rsid w:val="004F2B79"/>
    <w:rsid w:val="004F4587"/>
    <w:rsid w:val="004F6772"/>
    <w:rsid w:val="0050040E"/>
    <w:rsid w:val="00500863"/>
    <w:rsid w:val="005011D4"/>
    <w:rsid w:val="005039A7"/>
    <w:rsid w:val="00505B64"/>
    <w:rsid w:val="00506738"/>
    <w:rsid w:val="005109A3"/>
    <w:rsid w:val="00512FF3"/>
    <w:rsid w:val="00521CC9"/>
    <w:rsid w:val="00522F0F"/>
    <w:rsid w:val="005233EC"/>
    <w:rsid w:val="0053096A"/>
    <w:rsid w:val="0053153E"/>
    <w:rsid w:val="005344D3"/>
    <w:rsid w:val="00536282"/>
    <w:rsid w:val="005373CB"/>
    <w:rsid w:val="0053776B"/>
    <w:rsid w:val="00540F27"/>
    <w:rsid w:val="00543249"/>
    <w:rsid w:val="0054677A"/>
    <w:rsid w:val="00547154"/>
    <w:rsid w:val="00551791"/>
    <w:rsid w:val="00551ED0"/>
    <w:rsid w:val="005646A8"/>
    <w:rsid w:val="005720DB"/>
    <w:rsid w:val="00574539"/>
    <w:rsid w:val="005755A8"/>
    <w:rsid w:val="00577341"/>
    <w:rsid w:val="00577962"/>
    <w:rsid w:val="005831C6"/>
    <w:rsid w:val="00585BC9"/>
    <w:rsid w:val="00586448"/>
    <w:rsid w:val="005864D2"/>
    <w:rsid w:val="0059028C"/>
    <w:rsid w:val="0059306C"/>
    <w:rsid w:val="00593642"/>
    <w:rsid w:val="00594782"/>
    <w:rsid w:val="00594ACF"/>
    <w:rsid w:val="005967A0"/>
    <w:rsid w:val="005A21B3"/>
    <w:rsid w:val="005A4DA4"/>
    <w:rsid w:val="005B024D"/>
    <w:rsid w:val="005B0B14"/>
    <w:rsid w:val="005B2496"/>
    <w:rsid w:val="005B297E"/>
    <w:rsid w:val="005C18B7"/>
    <w:rsid w:val="005C1C2D"/>
    <w:rsid w:val="005C1FA3"/>
    <w:rsid w:val="005C3252"/>
    <w:rsid w:val="005D2245"/>
    <w:rsid w:val="005D4E72"/>
    <w:rsid w:val="005D599A"/>
    <w:rsid w:val="005D6B39"/>
    <w:rsid w:val="005D70CC"/>
    <w:rsid w:val="005E134E"/>
    <w:rsid w:val="005E27E7"/>
    <w:rsid w:val="005E6413"/>
    <w:rsid w:val="005F0341"/>
    <w:rsid w:val="005F2D23"/>
    <w:rsid w:val="005F3F69"/>
    <w:rsid w:val="005F3F70"/>
    <w:rsid w:val="005F4BA3"/>
    <w:rsid w:val="005F7113"/>
    <w:rsid w:val="006007ED"/>
    <w:rsid w:val="00613A94"/>
    <w:rsid w:val="00617765"/>
    <w:rsid w:val="00620166"/>
    <w:rsid w:val="006221DE"/>
    <w:rsid w:val="006238B2"/>
    <w:rsid w:val="0062674A"/>
    <w:rsid w:val="00626BC6"/>
    <w:rsid w:val="00630A0B"/>
    <w:rsid w:val="006330B8"/>
    <w:rsid w:val="00636296"/>
    <w:rsid w:val="00642947"/>
    <w:rsid w:val="00645818"/>
    <w:rsid w:val="00653A44"/>
    <w:rsid w:val="00657DFC"/>
    <w:rsid w:val="0066582F"/>
    <w:rsid w:val="00667CBE"/>
    <w:rsid w:val="00671D18"/>
    <w:rsid w:val="00675CA1"/>
    <w:rsid w:val="00676472"/>
    <w:rsid w:val="006811FC"/>
    <w:rsid w:val="006846DB"/>
    <w:rsid w:val="00685A66"/>
    <w:rsid w:val="00694C54"/>
    <w:rsid w:val="0069671E"/>
    <w:rsid w:val="006A50AB"/>
    <w:rsid w:val="006A54D4"/>
    <w:rsid w:val="006A5E5E"/>
    <w:rsid w:val="006A728B"/>
    <w:rsid w:val="006B2173"/>
    <w:rsid w:val="006B3F4B"/>
    <w:rsid w:val="006B5892"/>
    <w:rsid w:val="006C16AE"/>
    <w:rsid w:val="006C2EC5"/>
    <w:rsid w:val="006C3613"/>
    <w:rsid w:val="006C48DF"/>
    <w:rsid w:val="006D2734"/>
    <w:rsid w:val="006D6890"/>
    <w:rsid w:val="006E0014"/>
    <w:rsid w:val="006E0A8D"/>
    <w:rsid w:val="006E5339"/>
    <w:rsid w:val="006F28B3"/>
    <w:rsid w:val="006F4106"/>
    <w:rsid w:val="007023BD"/>
    <w:rsid w:val="00703E1B"/>
    <w:rsid w:val="00706A0A"/>
    <w:rsid w:val="00706CC7"/>
    <w:rsid w:val="00713691"/>
    <w:rsid w:val="007155F8"/>
    <w:rsid w:val="00715A52"/>
    <w:rsid w:val="00717308"/>
    <w:rsid w:val="00720023"/>
    <w:rsid w:val="00720089"/>
    <w:rsid w:val="00725298"/>
    <w:rsid w:val="00731F18"/>
    <w:rsid w:val="007348EB"/>
    <w:rsid w:val="00735892"/>
    <w:rsid w:val="007363D5"/>
    <w:rsid w:val="00740894"/>
    <w:rsid w:val="0074314A"/>
    <w:rsid w:val="00746456"/>
    <w:rsid w:val="00747FD9"/>
    <w:rsid w:val="0075075B"/>
    <w:rsid w:val="007538FE"/>
    <w:rsid w:val="00754F5F"/>
    <w:rsid w:val="00755A8E"/>
    <w:rsid w:val="00756A4F"/>
    <w:rsid w:val="00756EBC"/>
    <w:rsid w:val="0076005C"/>
    <w:rsid w:val="00760C8A"/>
    <w:rsid w:val="0077070A"/>
    <w:rsid w:val="00774489"/>
    <w:rsid w:val="00774E1E"/>
    <w:rsid w:val="00784D97"/>
    <w:rsid w:val="00785894"/>
    <w:rsid w:val="00785D7C"/>
    <w:rsid w:val="0078718E"/>
    <w:rsid w:val="00787970"/>
    <w:rsid w:val="00791675"/>
    <w:rsid w:val="00792E30"/>
    <w:rsid w:val="00795950"/>
    <w:rsid w:val="0079788A"/>
    <w:rsid w:val="007A0649"/>
    <w:rsid w:val="007A1AFB"/>
    <w:rsid w:val="007A48A4"/>
    <w:rsid w:val="007B2ABD"/>
    <w:rsid w:val="007B2AFC"/>
    <w:rsid w:val="007B5587"/>
    <w:rsid w:val="007C2DA9"/>
    <w:rsid w:val="007D0905"/>
    <w:rsid w:val="007D1F6A"/>
    <w:rsid w:val="007D2D78"/>
    <w:rsid w:val="007D2EFF"/>
    <w:rsid w:val="007E250F"/>
    <w:rsid w:val="007F197F"/>
    <w:rsid w:val="007F4E22"/>
    <w:rsid w:val="007F61DC"/>
    <w:rsid w:val="008060D9"/>
    <w:rsid w:val="00810EA6"/>
    <w:rsid w:val="00812E17"/>
    <w:rsid w:val="00814B7C"/>
    <w:rsid w:val="00814DA0"/>
    <w:rsid w:val="008165E2"/>
    <w:rsid w:val="00820FFC"/>
    <w:rsid w:val="00823109"/>
    <w:rsid w:val="008257E6"/>
    <w:rsid w:val="00831F19"/>
    <w:rsid w:val="008377F0"/>
    <w:rsid w:val="00843D50"/>
    <w:rsid w:val="00843FF0"/>
    <w:rsid w:val="008470E2"/>
    <w:rsid w:val="00853EFF"/>
    <w:rsid w:val="00856332"/>
    <w:rsid w:val="00874270"/>
    <w:rsid w:val="00875837"/>
    <w:rsid w:val="00876ED2"/>
    <w:rsid w:val="00881A1C"/>
    <w:rsid w:val="0088746A"/>
    <w:rsid w:val="0089022B"/>
    <w:rsid w:val="008A3A8A"/>
    <w:rsid w:val="008A5379"/>
    <w:rsid w:val="008A6293"/>
    <w:rsid w:val="008B2D73"/>
    <w:rsid w:val="008B4D3E"/>
    <w:rsid w:val="008C04AD"/>
    <w:rsid w:val="008C36CB"/>
    <w:rsid w:val="008C697A"/>
    <w:rsid w:val="008D1A06"/>
    <w:rsid w:val="008D1BEE"/>
    <w:rsid w:val="008D3896"/>
    <w:rsid w:val="008D53B0"/>
    <w:rsid w:val="008D7064"/>
    <w:rsid w:val="008D7A9D"/>
    <w:rsid w:val="008E2141"/>
    <w:rsid w:val="008E5BA4"/>
    <w:rsid w:val="009104D6"/>
    <w:rsid w:val="0091647F"/>
    <w:rsid w:val="009205D2"/>
    <w:rsid w:val="00921B10"/>
    <w:rsid w:val="009220D0"/>
    <w:rsid w:val="00934D21"/>
    <w:rsid w:val="00935267"/>
    <w:rsid w:val="009435B7"/>
    <w:rsid w:val="00951092"/>
    <w:rsid w:val="00951159"/>
    <w:rsid w:val="009560E0"/>
    <w:rsid w:val="009626F2"/>
    <w:rsid w:val="00963ED2"/>
    <w:rsid w:val="00965BEF"/>
    <w:rsid w:val="00965E5C"/>
    <w:rsid w:val="00971697"/>
    <w:rsid w:val="0097318D"/>
    <w:rsid w:val="009741DF"/>
    <w:rsid w:val="009754F9"/>
    <w:rsid w:val="009774BB"/>
    <w:rsid w:val="00980122"/>
    <w:rsid w:val="00987810"/>
    <w:rsid w:val="0099140F"/>
    <w:rsid w:val="00995673"/>
    <w:rsid w:val="0099689B"/>
    <w:rsid w:val="009971C2"/>
    <w:rsid w:val="009A39FE"/>
    <w:rsid w:val="009A3A32"/>
    <w:rsid w:val="009A3A68"/>
    <w:rsid w:val="009A47BE"/>
    <w:rsid w:val="009A4C19"/>
    <w:rsid w:val="009B0E03"/>
    <w:rsid w:val="009B60EE"/>
    <w:rsid w:val="009B6761"/>
    <w:rsid w:val="009B72AD"/>
    <w:rsid w:val="009B7616"/>
    <w:rsid w:val="009B7CE1"/>
    <w:rsid w:val="009C2E7D"/>
    <w:rsid w:val="009C4325"/>
    <w:rsid w:val="009C7D4F"/>
    <w:rsid w:val="009D19A6"/>
    <w:rsid w:val="009D3668"/>
    <w:rsid w:val="009D7733"/>
    <w:rsid w:val="009E0A44"/>
    <w:rsid w:val="009E1EC7"/>
    <w:rsid w:val="009E60A7"/>
    <w:rsid w:val="009F0B1D"/>
    <w:rsid w:val="009F5CC6"/>
    <w:rsid w:val="00A0055B"/>
    <w:rsid w:val="00A06638"/>
    <w:rsid w:val="00A07866"/>
    <w:rsid w:val="00A121E0"/>
    <w:rsid w:val="00A16B29"/>
    <w:rsid w:val="00A17354"/>
    <w:rsid w:val="00A23431"/>
    <w:rsid w:val="00A30456"/>
    <w:rsid w:val="00A33173"/>
    <w:rsid w:val="00A44FD1"/>
    <w:rsid w:val="00A55496"/>
    <w:rsid w:val="00A63459"/>
    <w:rsid w:val="00A63BB9"/>
    <w:rsid w:val="00A655D7"/>
    <w:rsid w:val="00A66FB6"/>
    <w:rsid w:val="00A674AA"/>
    <w:rsid w:val="00A679B2"/>
    <w:rsid w:val="00A71E40"/>
    <w:rsid w:val="00A72282"/>
    <w:rsid w:val="00A72C5C"/>
    <w:rsid w:val="00A8145E"/>
    <w:rsid w:val="00A839C1"/>
    <w:rsid w:val="00A843B6"/>
    <w:rsid w:val="00A86088"/>
    <w:rsid w:val="00A871D1"/>
    <w:rsid w:val="00A9011B"/>
    <w:rsid w:val="00A903A0"/>
    <w:rsid w:val="00A91F76"/>
    <w:rsid w:val="00A92890"/>
    <w:rsid w:val="00A92D71"/>
    <w:rsid w:val="00A970C8"/>
    <w:rsid w:val="00AA271B"/>
    <w:rsid w:val="00AA3273"/>
    <w:rsid w:val="00AA6F93"/>
    <w:rsid w:val="00AA7CCE"/>
    <w:rsid w:val="00AB28FC"/>
    <w:rsid w:val="00AB2B45"/>
    <w:rsid w:val="00AB6FBD"/>
    <w:rsid w:val="00AC1BEC"/>
    <w:rsid w:val="00AC24E3"/>
    <w:rsid w:val="00AC3C32"/>
    <w:rsid w:val="00AE2F92"/>
    <w:rsid w:val="00AE4050"/>
    <w:rsid w:val="00AE6E95"/>
    <w:rsid w:val="00AF55FE"/>
    <w:rsid w:val="00B00335"/>
    <w:rsid w:val="00B0120F"/>
    <w:rsid w:val="00B062C2"/>
    <w:rsid w:val="00B06810"/>
    <w:rsid w:val="00B15167"/>
    <w:rsid w:val="00B165E0"/>
    <w:rsid w:val="00B17819"/>
    <w:rsid w:val="00B17A76"/>
    <w:rsid w:val="00B25757"/>
    <w:rsid w:val="00B271A4"/>
    <w:rsid w:val="00B3021D"/>
    <w:rsid w:val="00B414AC"/>
    <w:rsid w:val="00B41D30"/>
    <w:rsid w:val="00B44470"/>
    <w:rsid w:val="00B46081"/>
    <w:rsid w:val="00B51DA0"/>
    <w:rsid w:val="00B51E38"/>
    <w:rsid w:val="00B52084"/>
    <w:rsid w:val="00B527F7"/>
    <w:rsid w:val="00B52E49"/>
    <w:rsid w:val="00B53C30"/>
    <w:rsid w:val="00B56144"/>
    <w:rsid w:val="00B61CF6"/>
    <w:rsid w:val="00B6782E"/>
    <w:rsid w:val="00B709E2"/>
    <w:rsid w:val="00B709FC"/>
    <w:rsid w:val="00B70F34"/>
    <w:rsid w:val="00B8067A"/>
    <w:rsid w:val="00B81B7C"/>
    <w:rsid w:val="00B8210E"/>
    <w:rsid w:val="00B9092C"/>
    <w:rsid w:val="00B94728"/>
    <w:rsid w:val="00B96A90"/>
    <w:rsid w:val="00BA0302"/>
    <w:rsid w:val="00BA0A1D"/>
    <w:rsid w:val="00BA2858"/>
    <w:rsid w:val="00BA7713"/>
    <w:rsid w:val="00BB44A5"/>
    <w:rsid w:val="00BB62C8"/>
    <w:rsid w:val="00BC40F0"/>
    <w:rsid w:val="00BC5D51"/>
    <w:rsid w:val="00BE1BE1"/>
    <w:rsid w:val="00BE3135"/>
    <w:rsid w:val="00BE4A0B"/>
    <w:rsid w:val="00BF0368"/>
    <w:rsid w:val="00C05A9B"/>
    <w:rsid w:val="00C06766"/>
    <w:rsid w:val="00C07719"/>
    <w:rsid w:val="00C10A76"/>
    <w:rsid w:val="00C306DB"/>
    <w:rsid w:val="00C35D5D"/>
    <w:rsid w:val="00C364D6"/>
    <w:rsid w:val="00C41FA9"/>
    <w:rsid w:val="00C434B0"/>
    <w:rsid w:val="00C515BF"/>
    <w:rsid w:val="00C52A1F"/>
    <w:rsid w:val="00C567A3"/>
    <w:rsid w:val="00C57211"/>
    <w:rsid w:val="00C5747E"/>
    <w:rsid w:val="00C61290"/>
    <w:rsid w:val="00C63755"/>
    <w:rsid w:val="00C745ED"/>
    <w:rsid w:val="00C753C2"/>
    <w:rsid w:val="00C7560F"/>
    <w:rsid w:val="00C76465"/>
    <w:rsid w:val="00C82757"/>
    <w:rsid w:val="00C83C40"/>
    <w:rsid w:val="00C83FDD"/>
    <w:rsid w:val="00C85D8A"/>
    <w:rsid w:val="00C863D4"/>
    <w:rsid w:val="00C869AC"/>
    <w:rsid w:val="00CA0A54"/>
    <w:rsid w:val="00CB09CA"/>
    <w:rsid w:val="00CB0C69"/>
    <w:rsid w:val="00CB1D6E"/>
    <w:rsid w:val="00CB3256"/>
    <w:rsid w:val="00CC2894"/>
    <w:rsid w:val="00CC4038"/>
    <w:rsid w:val="00CC5805"/>
    <w:rsid w:val="00CD0F4A"/>
    <w:rsid w:val="00CF15F8"/>
    <w:rsid w:val="00CF564F"/>
    <w:rsid w:val="00CF63D4"/>
    <w:rsid w:val="00D0436E"/>
    <w:rsid w:val="00D06B98"/>
    <w:rsid w:val="00D20AC2"/>
    <w:rsid w:val="00D2442B"/>
    <w:rsid w:val="00D27621"/>
    <w:rsid w:val="00D30E34"/>
    <w:rsid w:val="00D318F4"/>
    <w:rsid w:val="00D36154"/>
    <w:rsid w:val="00D366B3"/>
    <w:rsid w:val="00D46B74"/>
    <w:rsid w:val="00D52159"/>
    <w:rsid w:val="00D548A9"/>
    <w:rsid w:val="00D55C24"/>
    <w:rsid w:val="00D60A00"/>
    <w:rsid w:val="00D63781"/>
    <w:rsid w:val="00D65A0C"/>
    <w:rsid w:val="00D672A9"/>
    <w:rsid w:val="00D67539"/>
    <w:rsid w:val="00D746B3"/>
    <w:rsid w:val="00D746FC"/>
    <w:rsid w:val="00D76590"/>
    <w:rsid w:val="00D81063"/>
    <w:rsid w:val="00D8759A"/>
    <w:rsid w:val="00D87648"/>
    <w:rsid w:val="00D9080F"/>
    <w:rsid w:val="00D9327A"/>
    <w:rsid w:val="00D93A23"/>
    <w:rsid w:val="00D97195"/>
    <w:rsid w:val="00D971B4"/>
    <w:rsid w:val="00DA0B8E"/>
    <w:rsid w:val="00DA4FA5"/>
    <w:rsid w:val="00DB4759"/>
    <w:rsid w:val="00DB6188"/>
    <w:rsid w:val="00DB6874"/>
    <w:rsid w:val="00DB72F2"/>
    <w:rsid w:val="00DC088F"/>
    <w:rsid w:val="00DC2CC1"/>
    <w:rsid w:val="00DC7D38"/>
    <w:rsid w:val="00DD075B"/>
    <w:rsid w:val="00DD2032"/>
    <w:rsid w:val="00DD56FE"/>
    <w:rsid w:val="00DD667B"/>
    <w:rsid w:val="00DD6CC2"/>
    <w:rsid w:val="00DE24CB"/>
    <w:rsid w:val="00DE332A"/>
    <w:rsid w:val="00DE3B14"/>
    <w:rsid w:val="00DE3C7F"/>
    <w:rsid w:val="00DF037F"/>
    <w:rsid w:val="00DF1691"/>
    <w:rsid w:val="00DF3395"/>
    <w:rsid w:val="00DF74F0"/>
    <w:rsid w:val="00E00E61"/>
    <w:rsid w:val="00E0315F"/>
    <w:rsid w:val="00E03A96"/>
    <w:rsid w:val="00E13F48"/>
    <w:rsid w:val="00E1422B"/>
    <w:rsid w:val="00E20308"/>
    <w:rsid w:val="00E20818"/>
    <w:rsid w:val="00E212C3"/>
    <w:rsid w:val="00E23138"/>
    <w:rsid w:val="00E2757E"/>
    <w:rsid w:val="00E34C1E"/>
    <w:rsid w:val="00E36242"/>
    <w:rsid w:val="00E41EB6"/>
    <w:rsid w:val="00E42EFD"/>
    <w:rsid w:val="00E43BF9"/>
    <w:rsid w:val="00E45A62"/>
    <w:rsid w:val="00E46181"/>
    <w:rsid w:val="00E50120"/>
    <w:rsid w:val="00E558F4"/>
    <w:rsid w:val="00E634E2"/>
    <w:rsid w:val="00E652AA"/>
    <w:rsid w:val="00E65E82"/>
    <w:rsid w:val="00E661C3"/>
    <w:rsid w:val="00E708A1"/>
    <w:rsid w:val="00E71BA9"/>
    <w:rsid w:val="00E80BAB"/>
    <w:rsid w:val="00E80D85"/>
    <w:rsid w:val="00E818D1"/>
    <w:rsid w:val="00E86A5F"/>
    <w:rsid w:val="00E870C1"/>
    <w:rsid w:val="00E873C2"/>
    <w:rsid w:val="00E91B7F"/>
    <w:rsid w:val="00E9328B"/>
    <w:rsid w:val="00EA03C9"/>
    <w:rsid w:val="00EA1878"/>
    <w:rsid w:val="00EA3766"/>
    <w:rsid w:val="00EA3C4D"/>
    <w:rsid w:val="00EA4ADB"/>
    <w:rsid w:val="00EA4E40"/>
    <w:rsid w:val="00EB25B2"/>
    <w:rsid w:val="00EB2665"/>
    <w:rsid w:val="00EB79FB"/>
    <w:rsid w:val="00EC1554"/>
    <w:rsid w:val="00EC7B9C"/>
    <w:rsid w:val="00ED2225"/>
    <w:rsid w:val="00ED3294"/>
    <w:rsid w:val="00ED515E"/>
    <w:rsid w:val="00ED56EF"/>
    <w:rsid w:val="00ED6A00"/>
    <w:rsid w:val="00EE02EA"/>
    <w:rsid w:val="00EE413D"/>
    <w:rsid w:val="00EE5778"/>
    <w:rsid w:val="00EE6CC3"/>
    <w:rsid w:val="00EF11F9"/>
    <w:rsid w:val="00EF2030"/>
    <w:rsid w:val="00EF3DB4"/>
    <w:rsid w:val="00F00C18"/>
    <w:rsid w:val="00F012AE"/>
    <w:rsid w:val="00F03A19"/>
    <w:rsid w:val="00F04DC6"/>
    <w:rsid w:val="00F06DD0"/>
    <w:rsid w:val="00F079BE"/>
    <w:rsid w:val="00F104D7"/>
    <w:rsid w:val="00F13F34"/>
    <w:rsid w:val="00F170BE"/>
    <w:rsid w:val="00F25922"/>
    <w:rsid w:val="00F2686A"/>
    <w:rsid w:val="00F37E69"/>
    <w:rsid w:val="00F408D6"/>
    <w:rsid w:val="00F42D4A"/>
    <w:rsid w:val="00F50C7B"/>
    <w:rsid w:val="00F51B87"/>
    <w:rsid w:val="00F523E5"/>
    <w:rsid w:val="00F525D7"/>
    <w:rsid w:val="00F54182"/>
    <w:rsid w:val="00F55939"/>
    <w:rsid w:val="00F702EB"/>
    <w:rsid w:val="00F71C18"/>
    <w:rsid w:val="00F72127"/>
    <w:rsid w:val="00F74217"/>
    <w:rsid w:val="00F74C73"/>
    <w:rsid w:val="00F74D3C"/>
    <w:rsid w:val="00F75283"/>
    <w:rsid w:val="00F753CF"/>
    <w:rsid w:val="00F76F11"/>
    <w:rsid w:val="00F82E0A"/>
    <w:rsid w:val="00F854E2"/>
    <w:rsid w:val="00F859D5"/>
    <w:rsid w:val="00F90260"/>
    <w:rsid w:val="00F91188"/>
    <w:rsid w:val="00F9140E"/>
    <w:rsid w:val="00F96274"/>
    <w:rsid w:val="00FB012D"/>
    <w:rsid w:val="00FB1075"/>
    <w:rsid w:val="00FB326A"/>
    <w:rsid w:val="00FB41D8"/>
    <w:rsid w:val="00FB5297"/>
    <w:rsid w:val="00FB6CB9"/>
    <w:rsid w:val="00FC03D4"/>
    <w:rsid w:val="00FC08C3"/>
    <w:rsid w:val="00FC2612"/>
    <w:rsid w:val="00FD1922"/>
    <w:rsid w:val="00FF6A3B"/>
    <w:rsid w:val="01620CCB"/>
    <w:rsid w:val="03EA5E31"/>
    <w:rsid w:val="04EB48D3"/>
    <w:rsid w:val="05CD76FE"/>
    <w:rsid w:val="094A3214"/>
    <w:rsid w:val="0B70739F"/>
    <w:rsid w:val="0CF74D52"/>
    <w:rsid w:val="0D2C77AB"/>
    <w:rsid w:val="0DCB527A"/>
    <w:rsid w:val="0F221997"/>
    <w:rsid w:val="10E16F8A"/>
    <w:rsid w:val="12C053F6"/>
    <w:rsid w:val="131E1D5C"/>
    <w:rsid w:val="14F60108"/>
    <w:rsid w:val="15084FB1"/>
    <w:rsid w:val="15451D85"/>
    <w:rsid w:val="17282A4B"/>
    <w:rsid w:val="18615BA5"/>
    <w:rsid w:val="18B24734"/>
    <w:rsid w:val="18FE6EB4"/>
    <w:rsid w:val="196271D5"/>
    <w:rsid w:val="1A18588D"/>
    <w:rsid w:val="1C2C1601"/>
    <w:rsid w:val="1D3764EC"/>
    <w:rsid w:val="1D6B3E74"/>
    <w:rsid w:val="1EAF5E80"/>
    <w:rsid w:val="1EC9725C"/>
    <w:rsid w:val="1EDF39C4"/>
    <w:rsid w:val="1F4F2893"/>
    <w:rsid w:val="207F7D53"/>
    <w:rsid w:val="22CC7118"/>
    <w:rsid w:val="22D01D28"/>
    <w:rsid w:val="230279FC"/>
    <w:rsid w:val="239E1C5C"/>
    <w:rsid w:val="24151B84"/>
    <w:rsid w:val="24EA04F1"/>
    <w:rsid w:val="24EB531E"/>
    <w:rsid w:val="27C76CCA"/>
    <w:rsid w:val="27E43805"/>
    <w:rsid w:val="298E504E"/>
    <w:rsid w:val="29AC20DC"/>
    <w:rsid w:val="2B562AEF"/>
    <w:rsid w:val="2C164A61"/>
    <w:rsid w:val="2CA93F28"/>
    <w:rsid w:val="2D11683F"/>
    <w:rsid w:val="2D371AE1"/>
    <w:rsid w:val="2E8669ED"/>
    <w:rsid w:val="2EEE5D6C"/>
    <w:rsid w:val="2EF91B96"/>
    <w:rsid w:val="319F21CD"/>
    <w:rsid w:val="31F8168C"/>
    <w:rsid w:val="3204001F"/>
    <w:rsid w:val="36C53ABF"/>
    <w:rsid w:val="375201D1"/>
    <w:rsid w:val="3B582897"/>
    <w:rsid w:val="3D382353"/>
    <w:rsid w:val="3D535F9D"/>
    <w:rsid w:val="3E555C2E"/>
    <w:rsid w:val="3FD006AE"/>
    <w:rsid w:val="40BC08F6"/>
    <w:rsid w:val="429825AE"/>
    <w:rsid w:val="42C42797"/>
    <w:rsid w:val="43E04A33"/>
    <w:rsid w:val="452B5D7F"/>
    <w:rsid w:val="45A63B54"/>
    <w:rsid w:val="49512353"/>
    <w:rsid w:val="4A245931"/>
    <w:rsid w:val="4B037537"/>
    <w:rsid w:val="4C0F7BFD"/>
    <w:rsid w:val="4C7D1D40"/>
    <w:rsid w:val="4D510618"/>
    <w:rsid w:val="4E0A1CCE"/>
    <w:rsid w:val="4E3E09D7"/>
    <w:rsid w:val="4EBA011B"/>
    <w:rsid w:val="4F66711C"/>
    <w:rsid w:val="52F73E2B"/>
    <w:rsid w:val="532D3CB8"/>
    <w:rsid w:val="550F2A2A"/>
    <w:rsid w:val="56AA5F1D"/>
    <w:rsid w:val="575A27F2"/>
    <w:rsid w:val="5818245E"/>
    <w:rsid w:val="58A85EDA"/>
    <w:rsid w:val="58F95B00"/>
    <w:rsid w:val="5C030051"/>
    <w:rsid w:val="5CE032A3"/>
    <w:rsid w:val="5D8F4085"/>
    <w:rsid w:val="5DBD65E1"/>
    <w:rsid w:val="5E875156"/>
    <w:rsid w:val="5ED53EF9"/>
    <w:rsid w:val="60A65818"/>
    <w:rsid w:val="61AC5E56"/>
    <w:rsid w:val="64CF7769"/>
    <w:rsid w:val="670A62A9"/>
    <w:rsid w:val="67B36479"/>
    <w:rsid w:val="67F07D06"/>
    <w:rsid w:val="67FA4E17"/>
    <w:rsid w:val="68B53617"/>
    <w:rsid w:val="698620E4"/>
    <w:rsid w:val="69D41D28"/>
    <w:rsid w:val="6A724213"/>
    <w:rsid w:val="6B1849CE"/>
    <w:rsid w:val="6CBB5683"/>
    <w:rsid w:val="6DAA190E"/>
    <w:rsid w:val="6EA036EA"/>
    <w:rsid w:val="6F3E5C10"/>
    <w:rsid w:val="6FA03D02"/>
    <w:rsid w:val="700774FB"/>
    <w:rsid w:val="706973C4"/>
    <w:rsid w:val="712C13B5"/>
    <w:rsid w:val="71A776FC"/>
    <w:rsid w:val="739C1580"/>
    <w:rsid w:val="73D53C4C"/>
    <w:rsid w:val="750C315D"/>
    <w:rsid w:val="755574B4"/>
    <w:rsid w:val="75826788"/>
    <w:rsid w:val="76D03031"/>
    <w:rsid w:val="76F90919"/>
    <w:rsid w:val="7762556B"/>
    <w:rsid w:val="78752C48"/>
    <w:rsid w:val="795311EB"/>
    <w:rsid w:val="7A376627"/>
    <w:rsid w:val="7AB06FCE"/>
    <w:rsid w:val="7AD0650C"/>
    <w:rsid w:val="7BCE722D"/>
    <w:rsid w:val="7EB51B3E"/>
    <w:rsid w:val="7F5B0B7E"/>
    <w:rsid w:val="7F60051F"/>
    <w:rsid w:val="7FAE7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74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174AB"/>
    <w:pPr>
      <w:ind w:leftChars="2500" w:left="100"/>
    </w:pPr>
  </w:style>
  <w:style w:type="paragraph" w:styleId="a4">
    <w:name w:val="Balloon Text"/>
    <w:basedOn w:val="a"/>
    <w:semiHidden/>
    <w:rsid w:val="003174AB"/>
    <w:rPr>
      <w:sz w:val="18"/>
      <w:szCs w:val="18"/>
    </w:rPr>
  </w:style>
  <w:style w:type="paragraph" w:styleId="a5">
    <w:name w:val="footer"/>
    <w:basedOn w:val="a"/>
    <w:rsid w:val="003174AB"/>
    <w:pPr>
      <w:tabs>
        <w:tab w:val="center" w:pos="4153"/>
        <w:tab w:val="right" w:pos="8306"/>
      </w:tabs>
      <w:snapToGrid w:val="0"/>
      <w:jc w:val="left"/>
    </w:pPr>
    <w:rPr>
      <w:sz w:val="18"/>
      <w:szCs w:val="18"/>
    </w:rPr>
  </w:style>
  <w:style w:type="paragraph" w:styleId="a6">
    <w:name w:val="header"/>
    <w:basedOn w:val="a"/>
    <w:rsid w:val="003174AB"/>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3174AB"/>
  </w:style>
  <w:style w:type="paragraph" w:customStyle="1" w:styleId="Char">
    <w:name w:val="Char"/>
    <w:basedOn w:val="a"/>
    <w:rsid w:val="003174AB"/>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rsid w:val="003174AB"/>
    <w:pPr>
      <w:widowControl/>
      <w:spacing w:after="160" w:line="240" w:lineRule="exact"/>
      <w:ind w:firstLineChars="350" w:firstLine="980"/>
      <w:jc w:val="left"/>
    </w:pPr>
    <w:rPr>
      <w:rFonts w:ascii="Verdana" w:eastAsia="仿宋_GB2312" w:hAnsi="Verdana"/>
      <w:kern w:val="0"/>
      <w:sz w:val="28"/>
      <w:szCs w:val="28"/>
      <w:lang w:eastAsia="en-US"/>
    </w:rPr>
  </w:style>
  <w:style w:type="paragraph" w:customStyle="1" w:styleId="CharCharCharCharCharCharCharCharCharCharCharCharCharCharCharChar">
    <w:name w:val="Char Char Char Char Char Char Char Char Char Char Char Char Char Char Char Char"/>
    <w:basedOn w:val="a"/>
    <w:rsid w:val="003174AB"/>
    <w:pPr>
      <w:tabs>
        <w:tab w:val="left" w:pos="360"/>
      </w:tabs>
    </w:pPr>
    <w:rPr>
      <w:sz w:val="24"/>
    </w:rPr>
  </w:style>
  <w:style w:type="paragraph" w:customStyle="1" w:styleId="5">
    <w:name w:val="单元格样式5"/>
    <w:basedOn w:val="a"/>
    <w:qFormat/>
    <w:rsid w:val="003174AB"/>
    <w:pPr>
      <w:widowControl/>
      <w:jc w:val="left"/>
    </w:pPr>
    <w:rPr>
      <w:rFonts w:ascii="方正书宋_GBK" w:eastAsia="方正书宋_GBK" w:hAnsi="方正书宋_GBK" w:cs="方正书宋_GBK"/>
      <w:b/>
      <w:kern w:val="0"/>
      <w:lang w:eastAsia="uk-UA"/>
    </w:rPr>
  </w:style>
  <w:style w:type="paragraph" w:customStyle="1" w:styleId="4">
    <w:name w:val="单元格样式4"/>
    <w:basedOn w:val="a"/>
    <w:qFormat/>
    <w:rsid w:val="003174AB"/>
    <w:pPr>
      <w:widowControl/>
      <w:jc w:val="right"/>
    </w:pPr>
    <w:rPr>
      <w:rFonts w:ascii="方正书宋_GBK" w:eastAsia="方正书宋_GBK" w:hAnsi="方正书宋_GBK" w:cs="方正书宋_GBK"/>
      <w:kern w:val="0"/>
      <w:lang w:eastAsia="uk-UA"/>
    </w:rPr>
  </w:style>
  <w:style w:type="paragraph" w:customStyle="1" w:styleId="1">
    <w:name w:val="单元格样式1"/>
    <w:basedOn w:val="a"/>
    <w:qFormat/>
    <w:rsid w:val="003174AB"/>
    <w:pPr>
      <w:widowControl/>
      <w:jc w:val="center"/>
    </w:pPr>
    <w:rPr>
      <w:rFonts w:ascii="方正书宋_GBK" w:eastAsia="方正书宋_GBK" w:hAnsi="方正书宋_GBK" w:cs="方正书宋_GBK"/>
      <w:b/>
      <w:kern w:val="0"/>
      <w:lang w:eastAsia="uk-UA"/>
    </w:rPr>
  </w:style>
  <w:style w:type="paragraph" w:customStyle="1" w:styleId="2">
    <w:name w:val="单元格样式2"/>
    <w:basedOn w:val="a"/>
    <w:qFormat/>
    <w:rsid w:val="003174AB"/>
    <w:pPr>
      <w:widowControl/>
      <w:jc w:val="left"/>
    </w:pPr>
    <w:rPr>
      <w:rFonts w:ascii="方正书宋_GBK" w:eastAsia="方正书宋_GBK" w:hAnsi="方正书宋_GBK" w:cs="方正书宋_GBK"/>
      <w:kern w:val="0"/>
      <w:lang w:eastAsia="uk-UA"/>
    </w:rPr>
  </w:style>
  <w:style w:type="paragraph" w:customStyle="1" w:styleId="3">
    <w:name w:val="单元格样式3"/>
    <w:basedOn w:val="a"/>
    <w:qFormat/>
    <w:rsid w:val="003174AB"/>
    <w:pPr>
      <w:widowControl/>
      <w:jc w:val="center"/>
    </w:pPr>
    <w:rPr>
      <w:rFonts w:ascii="方正书宋_GBK" w:eastAsia="方正书宋_GBK" w:hAnsi="方正书宋_GBK" w:cs="方正书宋_GBK"/>
      <w:kern w:val="0"/>
      <w:lang w:eastAsia="uk-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9DF1D-945C-4DC9-9112-C071A260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1245</Words>
  <Characters>7100</Characters>
  <Application>Microsoft Office Word</Application>
  <DocSecurity>0</DocSecurity>
  <PresentationFormat/>
  <Lines>59</Lines>
  <Paragraphs>16</Paragraphs>
  <Slides>0</Slides>
  <Notes>0</Notes>
  <HiddenSlides>0</HiddenSlides>
  <MMClips>0</MMClips>
  <ScaleCrop>false</ScaleCrop>
  <Company>Microsoft</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2015年***部门决算</dc:title>
  <dc:creator>Administrator</dc:creator>
  <cp:lastModifiedBy>NTKO</cp:lastModifiedBy>
  <cp:revision>26</cp:revision>
  <cp:lastPrinted>2011-02-01T08:29:00Z</cp:lastPrinted>
  <dcterms:created xsi:type="dcterms:W3CDTF">2023-01-29T06:51:00Z</dcterms:created>
  <dcterms:modified xsi:type="dcterms:W3CDTF">2023-01-30T06:40:00Z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C05CB8261AB4419FB6C9419F28756A87</vt:lpwstr>
  </property>
</Properties>
</file>