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青岛市信访局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2023年部门预算绩效目标</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宋体" w:eastAsia="宋体" w:hAnsi="宋体" w:cs="宋体"/>
          <w:color w:val="000000"/>
          <w:sz w:val="21"/>
        </w:rPr>
        <w:t xml:space="preserve"> </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pStyle w:val="TOC1"/>
        <w:tabs>
          <w:tab w:val="right" w:leader="dot" w:pos="9282"/>
        </w:tabs>
      </w:pPr>
      <w:r>
        <w:fldChar w:fldCharType="begin"/>
      </w:r>
      <w:r>
        <w:instrText xml:space="preserve">TOC \o "4-4" \h \z \u</w:instrText>
      </w:r>
      <w:r>
        <w:fldChar w:fldCharType="separate"/>
      </w:r>
      <w:hyperlink w:anchor="_Toc_4_4_0000000001" w:history="1">
        <w:r>
          <w:rPr/>
          <w:t xml:space="preserve">1.2023年市级信访积案化解资金绩效目标表</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9282"/>
        </w:tabs>
      </w:pPr>
      <w:hyperlink w:anchor="_Toc_4_4_0000000002" w:history="1">
        <w:r>
          <w:rPr/>
          <w:t xml:space="preserve">2.2023年信访专项业务费绩效目标表</w:t>
        </w:r>
        <w:r>
          <w:tab/>
        </w:r>
        <w:r>
          <w:fldChar w:fldCharType="begin"/>
        </w:r>
        <w:r>
          <w:instrText xml:space="preserve">PAGEREF _Toc_4_4_0000000002 \h</w:instrText>
        </w:r>
        <w:r>
          <w:fldChar w:fldCharType="separate"/>
        </w:r>
        <w:r>
          <w:t xml:space="preserve">2</w:t>
        </w:r>
        <w:r>
          <w:fldChar w:fldCharType="end"/>
        </w:r>
      </w:hyperlink>
    </w:p>
    <w:p>
      <w:pPr>
        <w:pStyle w:val="TOC1"/>
        <w:tabs>
          <w:tab w:val="right" w:leader="dot" w:pos="9282"/>
        </w:tabs>
      </w:pPr>
      <w:hyperlink w:anchor="_Toc_4_4_0000000003" w:history="1">
        <w:r>
          <w:rPr/>
          <w:t xml:space="preserve">3.2023年金宏视频会议系统运行维护费绩效目标表</w:t>
        </w:r>
        <w:r>
          <w:tab/>
        </w:r>
        <w:r>
          <w:fldChar w:fldCharType="begin"/>
        </w:r>
        <w:r>
          <w:instrText xml:space="preserve">PAGEREF _Toc_4_4_0000000003 \h</w:instrText>
        </w:r>
        <w:r>
          <w:fldChar w:fldCharType="separate"/>
        </w:r>
        <w:r>
          <w:t xml:space="preserve">3</w:t>
        </w:r>
        <w:r>
          <w:fldChar w:fldCharType="end"/>
        </w:r>
      </w:hyperlink>
    </w:p>
    <w:p>
      <w:pPr/>
      <w:r>
        <w:fldChar w:fldCharType="end"/>
      </w:r>
    </w:p>
    <w:p>
      <w:pPr>
        <w:sectPr>
          <w:footerReference w:type="even" r:id="rId9"/>
          <w:footerReference w:type="default" r:id="rId10"/>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0" w:name="_Toc_4_4_0000000001"/>
      <w:r>
        <w:rPr>
          <w:rFonts w:ascii="方正仿宋_GBK" w:eastAsia="方正仿宋_GBK" w:hAnsi="方正仿宋_GBK" w:cs="方正仿宋_GBK"/>
          <w:color w:val="000000"/>
          <w:sz w:val="28"/>
        </w:rPr>
        <w:t xml:space="preserve">1.2023年市级信访积案化解资金绩效目标表</w:t>
      </w:r>
      <w:bookmarkEnd w:id="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129001青岛市信访局本级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37020023P88002811184N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2023年市级信访积案化解资金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用于化解我市信访积案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180.00</w:t>
            </w:r>
          </w:p>
        </w:tc>
        <w:tc>
          <w:tcPr>
            <w:tcW w:w="0" w:type="auto"/>
            <w:hMerge/>
          </w:tcPr>
          <w:p>
            <w:pPr/>
          </w:p>
        </w:tc>
        <w:tc>
          <w:tcPr>
            <w:tcW w:w="1587" w:type="dxa"/>
            <w:vAlign w:val="center"/>
          </w:tcPr>
          <w:p>
            <w:pPr>
              <w:pStyle w:val="单元格样式3"/>
            </w:pPr>
            <w:r>
              <w:t xml:space="preserve">360.00</w:t>
            </w:r>
          </w:p>
        </w:tc>
        <w:tc>
          <w:tcPr>
            <w:tcW w:w="1304" w:type="dxa"/>
            <w:vAlign w:val="center"/>
          </w:tcPr>
          <w:p>
            <w:pPr>
              <w:pStyle w:val="单元格样式3"/>
            </w:pPr>
            <w:r>
              <w:t xml:space="preserve">540.00</w:t>
            </w:r>
          </w:p>
        </w:tc>
        <w:tc>
          <w:tcPr>
            <w:tcW w:w="3118" w:type="dxa"/>
            <w:hMerge w:val="restart"/>
            <w:vAlign w:val="center"/>
          </w:tcPr>
          <w:p>
            <w:pPr>
              <w:pStyle w:val="单元格样式3"/>
            </w:pPr>
            <w:r>
              <w:t xml:space="preserve">720.00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6.通过使用该项资金，进一步减少我市疑难复杂信访积案“存量”，确保全市信访形势稳定。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市级信访积案化解资金成本</w:t>
            </w:r>
          </w:p>
        </w:tc>
        <w:tc>
          <w:tcPr>
            <w:tcW w:w="2891" w:type="dxa"/>
            <w:hMerge w:val="restart"/>
            <w:vAlign w:val="center"/>
          </w:tcPr>
          <w:p>
            <w:pPr>
              <w:pStyle w:val="单元格样式2"/>
            </w:pPr>
            <w:r>
              <w:t xml:space="preserve">指全年市级信访积案化解资金成本</w:t>
            </w:r>
          </w:p>
        </w:tc>
        <w:tc>
          <w:tcPr>
            <w:tcW w:w="0" w:type="auto"/>
            <w:hMerge/>
            <w:vAlign w:val="center"/>
          </w:tcPr>
          <w:p>
            <w:pPr/>
          </w:p>
        </w:tc>
        <w:tc>
          <w:tcPr>
            <w:tcW w:w="1276" w:type="dxa"/>
            <w:vAlign w:val="center"/>
          </w:tcPr>
          <w:p>
            <w:pPr>
              <w:pStyle w:val="单元格样式2"/>
            </w:pPr>
            <w:r>
              <w:t xml:space="preserve">≤720万元</w:t>
            </w:r>
          </w:p>
        </w:tc>
        <w:tc>
          <w:tcPr>
            <w:tcW w:w="1843" w:type="dxa"/>
            <w:vAlign w:val="center"/>
          </w:tcPr>
          <w:p>
            <w:pPr>
              <w:pStyle w:val="单元格样式2"/>
            </w:pPr>
            <w:r>
              <w:t xml:space="preserve">历史标准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化解上级治理重复信访事项数量</w:t>
            </w:r>
          </w:p>
        </w:tc>
        <w:tc>
          <w:tcPr>
            <w:tcW w:w="2891" w:type="dxa"/>
            <w:hMerge w:val="restart"/>
            <w:vAlign w:val="center"/>
          </w:tcPr>
          <w:p>
            <w:pPr>
              <w:pStyle w:val="单元格样式2"/>
            </w:pPr>
            <w:r>
              <w:t xml:space="preserve">指用信访救助资金化解上级交办重复信访事项数量</w:t>
            </w:r>
          </w:p>
        </w:tc>
        <w:tc>
          <w:tcPr>
            <w:tcW w:w="0" w:type="auto"/>
            <w:hMerge/>
            <w:vAlign w:val="center"/>
          </w:tcPr>
          <w:p>
            <w:pPr/>
          </w:p>
        </w:tc>
        <w:tc>
          <w:tcPr>
            <w:tcW w:w="1276" w:type="dxa"/>
            <w:vAlign w:val="center"/>
          </w:tcPr>
          <w:p>
            <w:pPr>
              <w:pStyle w:val="单元格样式2"/>
            </w:pPr>
            <w:r>
              <w:t xml:space="preserve">≥5件次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解决市信访积案数量</w:t>
            </w:r>
          </w:p>
        </w:tc>
        <w:tc>
          <w:tcPr>
            <w:tcW w:w="2891" w:type="dxa"/>
            <w:hMerge w:val="restart"/>
            <w:vAlign w:val="center"/>
          </w:tcPr>
          <w:p>
            <w:pPr>
              <w:pStyle w:val="单元格样式2"/>
            </w:pPr>
            <w:r>
              <w:t xml:space="preserve">指用信访救助资金化解信访积案数量</w:t>
            </w:r>
          </w:p>
        </w:tc>
        <w:tc>
          <w:tcPr>
            <w:tcW w:w="0" w:type="auto"/>
            <w:hMerge/>
            <w:vAlign w:val="center"/>
          </w:tcPr>
          <w:p>
            <w:pPr/>
          </w:p>
        </w:tc>
        <w:tc>
          <w:tcPr>
            <w:tcW w:w="1276" w:type="dxa"/>
            <w:vAlign w:val="center"/>
          </w:tcPr>
          <w:p>
            <w:pPr>
              <w:pStyle w:val="单元格样式2"/>
            </w:pPr>
            <w:r>
              <w:t xml:space="preserve">≥25件次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上级治理重复信访事项化解率</w:t>
            </w:r>
          </w:p>
        </w:tc>
        <w:tc>
          <w:tcPr>
            <w:tcW w:w="2891" w:type="dxa"/>
            <w:hMerge w:val="restart"/>
            <w:vAlign w:val="center"/>
          </w:tcPr>
          <w:p>
            <w:pPr>
              <w:pStyle w:val="单元格样式2"/>
            </w:pPr>
            <w:r>
              <w:t xml:space="preserve">指使用资金化解上级纳入治理重复信访事项的化解率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信访积案化解率</w:t>
            </w:r>
          </w:p>
        </w:tc>
        <w:tc>
          <w:tcPr>
            <w:tcW w:w="2891" w:type="dxa"/>
            <w:hMerge w:val="restart"/>
            <w:vAlign w:val="center"/>
          </w:tcPr>
          <w:p>
            <w:pPr>
              <w:pStyle w:val="单元格样式2"/>
            </w:pPr>
            <w:r>
              <w:t xml:space="preserve">指使用资金化解信访积案化解率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资金拨付到位天数</w:t>
            </w:r>
          </w:p>
        </w:tc>
        <w:tc>
          <w:tcPr>
            <w:tcW w:w="2891" w:type="dxa"/>
            <w:hMerge w:val="restart"/>
            <w:vAlign w:val="center"/>
          </w:tcPr>
          <w:p>
            <w:pPr>
              <w:pStyle w:val="单元格样式2"/>
            </w:pPr>
            <w:r>
              <w:t xml:space="preserve">指从市级信访部门资金申请到拨付到积案化解资金申请单位的时间天数</w:t>
            </w:r>
          </w:p>
        </w:tc>
        <w:tc>
          <w:tcPr>
            <w:tcW w:w="0" w:type="auto"/>
            <w:hMerge/>
            <w:vAlign w:val="center"/>
          </w:tcPr>
          <w:p>
            <w:pPr/>
          </w:p>
        </w:tc>
        <w:tc>
          <w:tcPr>
            <w:tcW w:w="1276" w:type="dxa"/>
            <w:vAlign w:val="center"/>
          </w:tcPr>
          <w:p>
            <w:pPr>
              <w:pStyle w:val="单元格样式2"/>
            </w:pPr>
            <w:r>
              <w:t xml:space="preserve">≤20日</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非正常接待场所上访次数</w:t>
            </w:r>
          </w:p>
        </w:tc>
        <w:tc>
          <w:tcPr>
            <w:tcW w:w="2891" w:type="dxa"/>
            <w:hMerge w:val="restart"/>
            <w:vAlign w:val="center"/>
          </w:tcPr>
          <w:p>
            <w:pPr>
              <w:pStyle w:val="单元格样式2"/>
            </w:pPr>
            <w:r>
              <w:t xml:space="preserve">指使用信访积案化解资金后的社会效果，一般不再发生非正常上访。</w:t>
            </w:r>
          </w:p>
        </w:tc>
        <w:tc>
          <w:tcPr>
            <w:tcW w:w="0" w:type="auto"/>
            <w:hMerge/>
            <w:vAlign w:val="center"/>
          </w:tcPr>
          <w:p>
            <w:pPr/>
          </w:p>
        </w:tc>
        <w:tc>
          <w:tcPr>
            <w:tcW w:w="1276" w:type="dxa"/>
            <w:vAlign w:val="center"/>
          </w:tcPr>
          <w:p>
            <w:pPr>
              <w:pStyle w:val="单元格样式2"/>
            </w:pPr>
            <w:r>
              <w:t xml:space="preserve">≤5次</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被救助对象对帮扶救助工作满意率</w:t>
            </w:r>
          </w:p>
        </w:tc>
        <w:tc>
          <w:tcPr>
            <w:tcW w:w="2891" w:type="dxa"/>
            <w:hMerge w:val="restart"/>
            <w:vAlign w:val="center"/>
          </w:tcPr>
          <w:p>
            <w:pPr>
              <w:pStyle w:val="单元格样式2"/>
            </w:pPr>
            <w:r>
              <w:t xml:space="preserve">指信访救助资金使用后信访人的满意率。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bl>
    <w:p>
      <w:pPr>
        <w:sectPr>
          <w:type w:val="nextPage"/>
          <w:pgSz w:w="11900" w:h="16840" w:orient="portrait"/>
          <w:pgMar w:top="1984" w:right="1304" w:bottom="1134" w:left="1304" w:header="720" w:footer="720" w:gutter="0"/>
          <w:pgNumType w:start="1"/>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 w:name="_Toc_4_4_0000000002"/>
      <w:r>
        <w:rPr>
          <w:rFonts w:ascii="方正仿宋_GBK" w:eastAsia="方正仿宋_GBK" w:hAnsi="方正仿宋_GBK" w:cs="方正仿宋_GBK"/>
          <w:color w:val="000000"/>
          <w:sz w:val="28"/>
        </w:rPr>
        <w:t xml:space="preserve">2.2023年信访专项业务费绩效目标表</w:t>
      </w:r>
      <w:bookmarkEnd w:id="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129001青岛市信访局本级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37020023P880028111789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2023年信访专项业务费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889.00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889.00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用于与信访工作有关的运行费用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200.00</w:t>
            </w:r>
          </w:p>
        </w:tc>
        <w:tc>
          <w:tcPr>
            <w:tcW w:w="0" w:type="auto"/>
            <w:hMerge/>
          </w:tcPr>
          <w:p>
            <w:pPr/>
          </w:p>
        </w:tc>
        <w:tc>
          <w:tcPr>
            <w:tcW w:w="1587" w:type="dxa"/>
            <w:vAlign w:val="center"/>
          </w:tcPr>
          <w:p>
            <w:pPr>
              <w:pStyle w:val="单元格样式3"/>
            </w:pPr>
            <w:r>
              <w:t xml:space="preserve">400.00</w:t>
            </w:r>
          </w:p>
        </w:tc>
        <w:tc>
          <w:tcPr>
            <w:tcW w:w="1304" w:type="dxa"/>
            <w:vAlign w:val="center"/>
          </w:tcPr>
          <w:p>
            <w:pPr>
              <w:pStyle w:val="单元格样式3"/>
            </w:pPr>
            <w:r>
              <w:t xml:space="preserve">600.00</w:t>
            </w:r>
          </w:p>
        </w:tc>
        <w:tc>
          <w:tcPr>
            <w:tcW w:w="3118" w:type="dxa"/>
            <w:hMerge w:val="restart"/>
            <w:vAlign w:val="center"/>
          </w:tcPr>
          <w:p>
            <w:pPr>
              <w:pStyle w:val="单元格样式3"/>
            </w:pPr>
            <w:r>
              <w:t xml:space="preserve">889.00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6.通过使用该项费用，确保局机关信访业务顺利开展。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信访专项业务经费成本</w:t>
            </w:r>
          </w:p>
        </w:tc>
        <w:tc>
          <w:tcPr>
            <w:tcW w:w="2891" w:type="dxa"/>
            <w:hMerge w:val="restart"/>
            <w:vAlign w:val="center"/>
          </w:tcPr>
          <w:p>
            <w:pPr>
              <w:pStyle w:val="单元格样式2"/>
            </w:pPr>
            <w:r>
              <w:t xml:space="preserve">指全年信访专项业务经费成本</w:t>
            </w:r>
          </w:p>
        </w:tc>
        <w:tc>
          <w:tcPr>
            <w:tcW w:w="0" w:type="auto"/>
            <w:hMerge/>
            <w:vAlign w:val="center"/>
          </w:tcPr>
          <w:p>
            <w:pPr/>
          </w:p>
        </w:tc>
        <w:tc>
          <w:tcPr>
            <w:tcW w:w="1276" w:type="dxa"/>
            <w:vAlign w:val="center"/>
          </w:tcPr>
          <w:p>
            <w:pPr>
              <w:pStyle w:val="单元格样式2"/>
            </w:pPr>
            <w:r>
              <w:t xml:space="preserve">≤889万元</w:t>
            </w:r>
          </w:p>
        </w:tc>
        <w:tc>
          <w:tcPr>
            <w:tcW w:w="1843" w:type="dxa"/>
            <w:vAlign w:val="center"/>
          </w:tcPr>
          <w:p>
            <w:pPr>
              <w:pStyle w:val="单元格样式2"/>
            </w:pPr>
            <w:r>
              <w:t xml:space="preserve">历史标准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受理办理网上信访事项数量</w:t>
            </w:r>
          </w:p>
        </w:tc>
        <w:tc>
          <w:tcPr>
            <w:tcW w:w="2891" w:type="dxa"/>
            <w:hMerge w:val="restart"/>
            <w:vAlign w:val="center"/>
          </w:tcPr>
          <w:p>
            <w:pPr>
              <w:pStyle w:val="单元格样式2"/>
            </w:pPr>
            <w:r>
              <w:t xml:space="preserve">指全年受理办理网上信访事项数量</w:t>
            </w:r>
          </w:p>
        </w:tc>
        <w:tc>
          <w:tcPr>
            <w:tcW w:w="0" w:type="auto"/>
            <w:hMerge/>
            <w:vAlign w:val="center"/>
          </w:tcPr>
          <w:p>
            <w:pPr/>
          </w:p>
        </w:tc>
        <w:tc>
          <w:tcPr>
            <w:tcW w:w="1276" w:type="dxa"/>
            <w:vAlign w:val="center"/>
          </w:tcPr>
          <w:p>
            <w:pPr>
              <w:pStyle w:val="单元格样式2"/>
            </w:pPr>
            <w:r>
              <w:t xml:space="preserve">≥3万件次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登记办理群众来信数量</w:t>
            </w:r>
          </w:p>
        </w:tc>
        <w:tc>
          <w:tcPr>
            <w:tcW w:w="2891" w:type="dxa"/>
            <w:hMerge w:val="restart"/>
            <w:vAlign w:val="center"/>
          </w:tcPr>
          <w:p>
            <w:pPr>
              <w:pStyle w:val="单元格样式2"/>
            </w:pPr>
            <w:r>
              <w:t xml:space="preserve">指全年登记办理群众来信数量</w:t>
            </w:r>
          </w:p>
        </w:tc>
        <w:tc>
          <w:tcPr>
            <w:tcW w:w="0" w:type="auto"/>
            <w:hMerge/>
            <w:vAlign w:val="center"/>
          </w:tcPr>
          <w:p>
            <w:pPr/>
          </w:p>
        </w:tc>
        <w:tc>
          <w:tcPr>
            <w:tcW w:w="1276" w:type="dxa"/>
            <w:vAlign w:val="center"/>
          </w:tcPr>
          <w:p>
            <w:pPr>
              <w:pStyle w:val="单元格样式2"/>
            </w:pPr>
            <w:r>
              <w:t xml:space="preserve">≥1万件次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登记接待群众来访数量</w:t>
            </w:r>
          </w:p>
        </w:tc>
        <w:tc>
          <w:tcPr>
            <w:tcW w:w="2891" w:type="dxa"/>
            <w:hMerge w:val="restart"/>
            <w:vAlign w:val="center"/>
          </w:tcPr>
          <w:p>
            <w:pPr>
              <w:pStyle w:val="单元格样式2"/>
            </w:pPr>
            <w:r>
              <w:t xml:space="preserve">指全年登记接待群众来访数量</w:t>
            </w:r>
          </w:p>
        </w:tc>
        <w:tc>
          <w:tcPr>
            <w:tcW w:w="0" w:type="auto"/>
            <w:hMerge/>
            <w:vAlign w:val="center"/>
          </w:tcPr>
          <w:p>
            <w:pPr/>
          </w:p>
        </w:tc>
        <w:tc>
          <w:tcPr>
            <w:tcW w:w="1276" w:type="dxa"/>
            <w:vAlign w:val="center"/>
          </w:tcPr>
          <w:p>
            <w:pPr>
              <w:pStyle w:val="单元格样式2"/>
            </w:pPr>
            <w:r>
              <w:t xml:space="preserve">≥1万人次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群众来信处理率</w:t>
            </w:r>
          </w:p>
        </w:tc>
        <w:tc>
          <w:tcPr>
            <w:tcW w:w="2891" w:type="dxa"/>
            <w:hMerge w:val="restart"/>
            <w:vAlign w:val="center"/>
          </w:tcPr>
          <w:p>
            <w:pPr>
              <w:pStyle w:val="单元格样式2"/>
            </w:pPr>
            <w:r>
              <w:t xml:space="preserve">指全年群众来信处理率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群众来访接谈率</w:t>
            </w:r>
          </w:p>
        </w:tc>
        <w:tc>
          <w:tcPr>
            <w:tcW w:w="2891" w:type="dxa"/>
            <w:hMerge w:val="restart"/>
            <w:vAlign w:val="center"/>
          </w:tcPr>
          <w:p>
            <w:pPr>
              <w:pStyle w:val="单元格样式2"/>
            </w:pPr>
            <w:r>
              <w:t xml:space="preserve">指全年群众来访接谈率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信访事项及时受理率</w:t>
            </w:r>
          </w:p>
        </w:tc>
        <w:tc>
          <w:tcPr>
            <w:tcW w:w="2891" w:type="dxa"/>
            <w:hMerge w:val="restart"/>
            <w:vAlign w:val="center"/>
          </w:tcPr>
          <w:p>
            <w:pPr>
              <w:pStyle w:val="单元格样式2"/>
            </w:pPr>
            <w:r>
              <w:t xml:space="preserve">指全年信访事项及时受理率</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信访事项按期办结率</w:t>
            </w:r>
          </w:p>
        </w:tc>
        <w:tc>
          <w:tcPr>
            <w:tcW w:w="2891" w:type="dxa"/>
            <w:hMerge w:val="restart"/>
            <w:vAlign w:val="center"/>
          </w:tcPr>
          <w:p>
            <w:pPr>
              <w:pStyle w:val="单元格样式2"/>
            </w:pPr>
            <w:r>
              <w:t xml:space="preserve">指全年信访事项按期办结率</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区市领导接访公开率</w:t>
            </w:r>
          </w:p>
        </w:tc>
        <w:tc>
          <w:tcPr>
            <w:tcW w:w="2891" w:type="dxa"/>
            <w:hMerge w:val="restart"/>
            <w:vAlign w:val="center"/>
          </w:tcPr>
          <w:p>
            <w:pPr>
              <w:pStyle w:val="单元格样式2"/>
            </w:pPr>
            <w:r>
              <w:t xml:space="preserve">指全年区市领导接访公开率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信访事项处理群众满意率</w:t>
            </w:r>
          </w:p>
        </w:tc>
        <w:tc>
          <w:tcPr>
            <w:tcW w:w="2891" w:type="dxa"/>
            <w:hMerge w:val="restart"/>
            <w:vAlign w:val="center"/>
          </w:tcPr>
          <w:p>
            <w:pPr>
              <w:pStyle w:val="单元格样式2"/>
            </w:pPr>
            <w:r>
              <w:t xml:space="preserve">指全年信访群众对信访部门的满意率</w:t>
            </w:r>
          </w:p>
        </w:tc>
        <w:tc>
          <w:tcPr>
            <w:tcW w:w="0" w:type="auto"/>
            <w:hMerge/>
            <w:vAlign w:val="center"/>
          </w:tcPr>
          <w:p>
            <w:pPr/>
          </w:p>
        </w:tc>
        <w:tc>
          <w:tcPr>
            <w:tcW w:w="1276" w:type="dxa"/>
            <w:vAlign w:val="center"/>
          </w:tcPr>
          <w:p>
            <w:pPr>
              <w:pStyle w:val="单元格样式2"/>
            </w:pPr>
            <w:r>
              <w:t xml:space="preserve">≥70%</w:t>
            </w:r>
          </w:p>
        </w:tc>
        <w:tc>
          <w:tcPr>
            <w:tcW w:w="1843" w:type="dxa"/>
            <w:vAlign w:val="center"/>
          </w:tcPr>
          <w:p>
            <w:pPr>
              <w:pStyle w:val="单元格样式2"/>
            </w:pPr>
            <w:r>
              <w:t xml:space="preserve">历史标准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 w:name="_Toc_4_4_0000000003"/>
      <w:r>
        <w:rPr>
          <w:rFonts w:ascii="方正仿宋_GBK" w:eastAsia="方正仿宋_GBK" w:hAnsi="方正仿宋_GBK" w:cs="方正仿宋_GBK"/>
          <w:color w:val="000000"/>
          <w:sz w:val="28"/>
        </w:rPr>
        <w:t xml:space="preserve">3.2023年金宏视频会议系统运行维护费绩效目标表</w:t>
      </w:r>
      <w:bookmarkEnd w:id="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129001青岛市信访局本级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37020023P130004102147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2023年金宏视频会议系统运行维护费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用于金宏视频会议系统运行维护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9.00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6.确保金宏视频会议系统全年运转正常；</w:t>
            </w:r>
          </w:p>
          <w:p>
            <w:pPr>
              <w:pStyle w:val="单元格样式2"/>
            </w:pPr>
            <w:r>
              <w:t xml:space="preserve">7.保障各类信访视频会议正常召开。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r>
              <w:t xml:space="preserve">成本指标</w:t>
            </w:r>
          </w:p>
        </w:tc>
        <w:tc>
          <w:tcPr>
            <w:tcW w:w="1276" w:type="dxa"/>
            <w:vAlign w:val="center"/>
          </w:tcPr>
          <w:p>
            <w:pPr>
              <w:pStyle w:val="单元格样式2"/>
            </w:pPr>
            <w:r>
              <w:t xml:space="preserve">经济成本指标</w:t>
            </w:r>
          </w:p>
        </w:tc>
        <w:tc>
          <w:tcPr>
            <w:tcW w:w="1332" w:type="dxa"/>
            <w:vAlign w:val="center"/>
          </w:tcPr>
          <w:p>
            <w:pPr>
              <w:pStyle w:val="单元格样式2"/>
            </w:pPr>
            <w:r>
              <w:t xml:space="preserve">金宏视频会议系统运行维护经费成本</w:t>
            </w:r>
          </w:p>
        </w:tc>
        <w:tc>
          <w:tcPr>
            <w:tcW w:w="2891" w:type="dxa"/>
            <w:hMerge w:val="restart"/>
            <w:vAlign w:val="center"/>
          </w:tcPr>
          <w:p>
            <w:pPr>
              <w:pStyle w:val="单元格样式2"/>
            </w:pPr>
            <w:r>
              <w:t xml:space="preserve">指全年金宏视频会议系统运行维护经费成本</w:t>
            </w:r>
          </w:p>
        </w:tc>
        <w:tc>
          <w:tcPr>
            <w:tcW w:w="0" w:type="auto"/>
            <w:hMerge/>
            <w:vAlign w:val="center"/>
          </w:tcPr>
          <w:p>
            <w:pPr/>
          </w:p>
        </w:tc>
        <w:tc>
          <w:tcPr>
            <w:tcW w:w="1276" w:type="dxa"/>
            <w:vAlign w:val="center"/>
          </w:tcPr>
          <w:p>
            <w:pPr>
              <w:pStyle w:val="单元格样式2"/>
            </w:pPr>
            <w:r>
              <w:t xml:space="preserve">≤9万元</w:t>
            </w:r>
          </w:p>
        </w:tc>
        <w:tc>
          <w:tcPr>
            <w:tcW w:w="1843" w:type="dxa"/>
            <w:vAlign w:val="center"/>
          </w:tcPr>
          <w:p>
            <w:pPr>
              <w:pStyle w:val="单元格样式2"/>
            </w:pPr>
            <w:r>
              <w:t xml:space="preserve">历史标准</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维护系统数量</w:t>
            </w:r>
          </w:p>
        </w:tc>
        <w:tc>
          <w:tcPr>
            <w:tcW w:w="2891" w:type="dxa"/>
            <w:hMerge w:val="restart"/>
            <w:vAlign w:val="center"/>
          </w:tcPr>
          <w:p>
            <w:pPr>
              <w:pStyle w:val="单元格样式2"/>
            </w:pPr>
            <w:r>
              <w:t xml:space="preserve">指全年维护系统的数量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系统维护次数</w:t>
            </w:r>
          </w:p>
        </w:tc>
        <w:tc>
          <w:tcPr>
            <w:tcW w:w="2891" w:type="dxa"/>
            <w:hMerge w:val="restart"/>
            <w:vAlign w:val="center"/>
          </w:tcPr>
          <w:p>
            <w:pPr>
              <w:pStyle w:val="单元格样式2"/>
            </w:pPr>
            <w:r>
              <w:t xml:space="preserve">指全年系统维护次数</w:t>
            </w:r>
          </w:p>
        </w:tc>
        <w:tc>
          <w:tcPr>
            <w:tcW w:w="0" w:type="auto"/>
            <w:hMerge/>
            <w:vAlign w:val="center"/>
          </w:tcPr>
          <w:p>
            <w:pPr/>
          </w:p>
        </w:tc>
        <w:tc>
          <w:tcPr>
            <w:tcW w:w="1276" w:type="dxa"/>
            <w:vAlign w:val="center"/>
          </w:tcPr>
          <w:p>
            <w:pPr>
              <w:pStyle w:val="单元格样式2"/>
            </w:pPr>
            <w:r>
              <w:t xml:space="preserve">12次</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系统稳定运行率</w:t>
            </w:r>
          </w:p>
        </w:tc>
        <w:tc>
          <w:tcPr>
            <w:tcW w:w="2891" w:type="dxa"/>
            <w:hMerge w:val="restart"/>
            <w:vAlign w:val="center"/>
          </w:tcPr>
          <w:p>
            <w:pPr>
              <w:pStyle w:val="单元格样式2"/>
            </w:pPr>
            <w:r>
              <w:t xml:space="preserve">指该系统全年运行状态</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系统故障率</w:t>
            </w:r>
          </w:p>
        </w:tc>
        <w:tc>
          <w:tcPr>
            <w:tcW w:w="2891" w:type="dxa"/>
            <w:hMerge w:val="restart"/>
            <w:vAlign w:val="center"/>
          </w:tcPr>
          <w:p>
            <w:pPr>
              <w:pStyle w:val="单元格样式2"/>
            </w:pPr>
            <w:r>
              <w:t xml:space="preserve">指全年金宏视频会议系统故障率</w:t>
            </w:r>
          </w:p>
        </w:tc>
        <w:tc>
          <w:tcPr>
            <w:tcW w:w="0" w:type="auto"/>
            <w:hMerge/>
            <w:vAlign w:val="center"/>
          </w:tcPr>
          <w:p>
            <w:pPr/>
          </w:p>
        </w:tc>
        <w:tc>
          <w:tcPr>
            <w:tcW w:w="1276" w:type="dxa"/>
            <w:vAlign w:val="center"/>
          </w:tcPr>
          <w:p>
            <w:pPr>
              <w:pStyle w:val="单元格样式2"/>
            </w:pPr>
            <w:r>
              <w:t xml:space="preserve">≤3%</w:t>
            </w:r>
          </w:p>
        </w:tc>
        <w:tc>
          <w:tcPr>
            <w:tcW w:w="1843" w:type="dxa"/>
            <w:vAlign w:val="center"/>
          </w:tcPr>
          <w:p>
            <w:pPr>
              <w:pStyle w:val="单元格样式2"/>
            </w:pPr>
            <w:r>
              <w:t xml:space="preserve">历史标准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系统故障修复处理时间</w:t>
            </w:r>
          </w:p>
        </w:tc>
        <w:tc>
          <w:tcPr>
            <w:tcW w:w="2891" w:type="dxa"/>
            <w:hMerge w:val="restart"/>
            <w:vAlign w:val="center"/>
          </w:tcPr>
          <w:p>
            <w:pPr>
              <w:pStyle w:val="单元格样式2"/>
            </w:pPr>
            <w:r>
              <w:t xml:space="preserve">指金宏视频会议系统故障修复处理时间</w:t>
            </w:r>
          </w:p>
        </w:tc>
        <w:tc>
          <w:tcPr>
            <w:tcW w:w="0" w:type="auto"/>
            <w:hMerge/>
            <w:vAlign w:val="center"/>
          </w:tcPr>
          <w:p>
            <w:pPr/>
          </w:p>
        </w:tc>
        <w:tc>
          <w:tcPr>
            <w:tcW w:w="1276" w:type="dxa"/>
            <w:vAlign w:val="center"/>
          </w:tcPr>
          <w:p>
            <w:pPr>
              <w:pStyle w:val="单元格样式2"/>
            </w:pPr>
            <w:r>
              <w:t xml:space="preserve">≤24小时</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信访视频会议正常召开率</w:t>
            </w:r>
          </w:p>
        </w:tc>
        <w:tc>
          <w:tcPr>
            <w:tcW w:w="2891" w:type="dxa"/>
            <w:hMerge w:val="restart"/>
            <w:vAlign w:val="center"/>
          </w:tcPr>
          <w:p>
            <w:pPr>
              <w:pStyle w:val="单元格样式2"/>
            </w:pPr>
            <w:r>
              <w:t xml:space="preserve">指全年金宏视频会议系统保障各类信访视频会议正常召开的比率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信访部门使用满意率</w:t>
            </w:r>
          </w:p>
        </w:tc>
        <w:tc>
          <w:tcPr>
            <w:tcW w:w="2891" w:type="dxa"/>
            <w:hMerge w:val="restart"/>
            <w:vAlign w:val="center"/>
          </w:tcPr>
          <w:p>
            <w:pPr>
              <w:pStyle w:val="单元格样式2"/>
            </w:pPr>
            <w:r>
              <w:t xml:space="preserve">指信访部门对提供该系统运行维护公司的满意率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历史标准</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2023-01-20T10:44:57Z</dcterms:created>
  <dcterms:modified xsi:type="dcterms:W3CDTF">2023-01-20T02:44:57Z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2023-01-20T10:44:58Z</dcterms:created>
  <dcterms:modified xsi:type="dcterms:W3CDTF">2023-01-20T02:44:58Z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2023-01-20T10:44:58Z</dcterms:created>
  <dcterms:modified xsi:type="dcterms:W3CDTF">2023-01-20T02:44:58Z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2023-01-20T10:44:58Z</dcterms:created>
  <dcterms:modified xsi:type="dcterms:W3CDTF">2023-01-20T02:44:58Z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2023-01-20T10:44:58Z</dcterms:created>
  <dcterms:modified xsi:type="dcterms:W3CDTF">2023-01-20T02:44:59Z</dcterms:modified>
</cp:coreProperties>
</file>