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5" w:rsidRDefault="00B013E5" w:rsidP="00B013E5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市用户水龙头水质监测信息公开表（2020年第1季度）</w:t>
      </w:r>
    </w:p>
    <w:tbl>
      <w:tblPr>
        <w:tblStyle w:val="a3"/>
        <w:tblW w:w="14293" w:type="dxa"/>
        <w:jc w:val="center"/>
        <w:tblLook w:val="04A0"/>
      </w:tblPr>
      <w:tblGrid>
        <w:gridCol w:w="874"/>
        <w:gridCol w:w="2120"/>
        <w:gridCol w:w="1131"/>
        <w:gridCol w:w="1556"/>
        <w:gridCol w:w="1837"/>
        <w:gridCol w:w="1026"/>
        <w:gridCol w:w="1839"/>
        <w:gridCol w:w="1415"/>
        <w:gridCol w:w="1185"/>
        <w:gridCol w:w="1310"/>
      </w:tblGrid>
      <w:tr w:rsidR="004E6BDE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4E6BDE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E" w:rsidRPr="003220CB" w:rsidRDefault="004E6BD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</w:t>
            </w:r>
            <w:r w:rsidR="005F6A39"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</w:t>
            </w:r>
            <w:r w:rsidR="005F6A39"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4E6BDE" w:rsidRPr="003220CB" w:rsidRDefault="004E6BDE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E" w:rsidRPr="003220CB" w:rsidRDefault="004E6BD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E" w:rsidRPr="003220CB" w:rsidRDefault="003220CB" w:rsidP="00B013E5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E" w:rsidRPr="003220CB" w:rsidRDefault="003220CB" w:rsidP="00B013E5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2020.3.23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区纪委大楼（长江中路379号）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颐瑞凯莱酒店（月亮湾路1号）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中山路街道河南路社区卫生服务中心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江苏路街道黄县路社区卫生服务中心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金门路街道仙游路社区卫生服务中心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珠海路街道海口路社区卫生服务中心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八大关街道香港西路社区卫生服务中心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湛山街道延安三路社区卫生服务中心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香港中路街道闽江路社区卫生服务中心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r w:rsidRPr="003220CB">
              <w:rPr>
                <w:rFonts w:ascii="仿宋" w:eastAsia="仿宋" w:hAnsi="仿宋" w:hint="eastAsia"/>
                <w:sz w:val="18"/>
                <w:szCs w:val="18"/>
              </w:rPr>
              <w:t>八大湖街道巢湖路社区卫生服务中心</w:t>
            </w:r>
            <w:bookmarkEnd w:id="0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2020.4.10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AB041D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李沧区沧口街道振华路15号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李沧区沧口街道永平路29号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李沧区九水街道金水路678号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李沧区虎山街道金水路746号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555DB6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555DB6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即墨区墨城路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100号（市北医院）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即墨区流浩河三路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崂山区东盛花园小区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胶州市开发区加油站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胶州市渤海湾花园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琴牌乳业</w:t>
            </w:r>
          </w:p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融城小区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盛元阁酒店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市北区郑州路53号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市北区同和路78号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市北区同安二路2号乙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市北区埕口路15号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2020.3.17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20CB" w:rsidRPr="003220CB" w:rsidRDefault="003220CB" w:rsidP="00426E6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:rsidR="00B013E5" w:rsidRDefault="00B013E5" w:rsidP="00B013E5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B013E5" w:rsidRDefault="00B013E5" w:rsidP="00B013E5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:rsidR="004358AB" w:rsidRDefault="004358AB" w:rsidP="00D31D50">
      <w:pPr>
        <w:spacing w:line="220" w:lineRule="atLeast"/>
      </w:pPr>
    </w:p>
    <w:sectPr w:rsidR="004358AB" w:rsidSect="00B013E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BA" w:rsidRDefault="00135ABA" w:rsidP="00733972">
      <w:pPr>
        <w:spacing w:after="0"/>
      </w:pPr>
      <w:r>
        <w:separator/>
      </w:r>
    </w:p>
  </w:endnote>
  <w:endnote w:type="continuationSeparator" w:id="0">
    <w:p w:rsidR="00135ABA" w:rsidRDefault="00135ABA" w:rsidP="0073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BA" w:rsidRDefault="00135ABA" w:rsidP="00733972">
      <w:pPr>
        <w:spacing w:after="0"/>
      </w:pPr>
      <w:r>
        <w:separator/>
      </w:r>
    </w:p>
  </w:footnote>
  <w:footnote w:type="continuationSeparator" w:id="0">
    <w:p w:rsidR="00135ABA" w:rsidRDefault="00135ABA" w:rsidP="007339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0A"/>
    <w:rsid w:val="00135ABA"/>
    <w:rsid w:val="00295A2C"/>
    <w:rsid w:val="003220CB"/>
    <w:rsid w:val="00323B43"/>
    <w:rsid w:val="003D37D8"/>
    <w:rsid w:val="00426133"/>
    <w:rsid w:val="00426E6B"/>
    <w:rsid w:val="004358AB"/>
    <w:rsid w:val="004C4E44"/>
    <w:rsid w:val="004E17D4"/>
    <w:rsid w:val="004E6BDE"/>
    <w:rsid w:val="00555DB6"/>
    <w:rsid w:val="005F6A39"/>
    <w:rsid w:val="006B531B"/>
    <w:rsid w:val="00733972"/>
    <w:rsid w:val="007C67A7"/>
    <w:rsid w:val="008B7726"/>
    <w:rsid w:val="008F1F70"/>
    <w:rsid w:val="00AB041D"/>
    <w:rsid w:val="00B013E5"/>
    <w:rsid w:val="00C5339E"/>
    <w:rsid w:val="00CC3747"/>
    <w:rsid w:val="00D31D50"/>
    <w:rsid w:val="00D62206"/>
    <w:rsid w:val="00D9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E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39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97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9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9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2020-04-16T02:21:00Z</dcterms:modified>
</cp:coreProperties>
</file>