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rFonts w:ascii="文星简大标宋" w:eastAsia="文星简大标宋"/>
          <w:sz w:val="84"/>
          <w:szCs w:val="84"/>
        </w:rPr>
      </w:pPr>
    </w:p>
    <w:p>
      <w:pPr>
        <w:jc w:val="center"/>
        <w:rPr>
          <w:rFonts w:ascii="文星简大标宋" w:eastAsia="文星简大标宋"/>
          <w:sz w:val="84"/>
          <w:szCs w:val="84"/>
        </w:rPr>
      </w:pPr>
    </w:p>
    <w:p>
      <w:pPr>
        <w:jc w:val="center"/>
        <w:rPr>
          <w:rFonts w:ascii="文星简大标宋" w:eastAsia="文星简大标宋"/>
          <w:sz w:val="84"/>
          <w:szCs w:val="84"/>
        </w:rPr>
      </w:pPr>
      <w:r>
        <w:rPr>
          <w:rFonts w:hint="eastAsia" w:ascii="文星简大标宋" w:eastAsia="文星简大标宋"/>
          <w:sz w:val="84"/>
          <w:szCs w:val="84"/>
        </w:rPr>
        <w:t>2020年度</w:t>
      </w:r>
    </w:p>
    <w:p>
      <w:pPr>
        <w:jc w:val="center"/>
        <w:rPr>
          <w:rFonts w:ascii="文星简大标宋" w:eastAsia="文星简大标宋"/>
          <w:sz w:val="84"/>
          <w:szCs w:val="84"/>
        </w:rPr>
      </w:pPr>
      <w:r>
        <w:rPr>
          <w:rFonts w:hint="eastAsia" w:ascii="文星简大标宋" w:eastAsia="文星简大标宋"/>
          <w:sz w:val="84"/>
          <w:szCs w:val="84"/>
        </w:rPr>
        <w:t>青岛市卫生健康委员会部门决算</w:t>
      </w:r>
    </w:p>
    <w:p>
      <w:pPr>
        <w:rPr>
          <w:sz w:val="52"/>
          <w:szCs w:val="52"/>
        </w:rPr>
      </w:pPr>
    </w:p>
    <w:p/>
    <w:p>
      <w:pPr>
        <w:spacing w:line="580" w:lineRule="exact"/>
        <w:rPr>
          <w:rFonts w:ascii="文星简大标宋" w:eastAsia="文星简大标宋"/>
          <w:sz w:val="44"/>
          <w:szCs w:val="44"/>
        </w:rPr>
      </w:pPr>
    </w:p>
    <w:p>
      <w:pPr>
        <w:spacing w:line="580" w:lineRule="exact"/>
        <w:rPr>
          <w:rFonts w:ascii="文星简大标宋" w:eastAsia="文星简大标宋"/>
          <w:sz w:val="44"/>
          <w:szCs w:val="44"/>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pPr>
    </w:p>
    <w:p>
      <w:pPr>
        <w:spacing w:line="580" w:lineRule="exact"/>
        <w:jc w:val="center"/>
        <w:rPr>
          <w:rFonts w:ascii="黑体" w:eastAsia="黑体"/>
          <w:sz w:val="44"/>
          <w:szCs w:val="44"/>
        </w:rPr>
      </w:pPr>
    </w:p>
    <w:p>
      <w:pPr>
        <w:spacing w:line="580" w:lineRule="exact"/>
        <w:jc w:val="center"/>
        <w:rPr>
          <w:rFonts w:ascii="黑体" w:eastAsia="黑体"/>
          <w:sz w:val="44"/>
          <w:szCs w:val="44"/>
        </w:rPr>
      </w:pPr>
    </w:p>
    <w:p>
      <w:pPr>
        <w:spacing w:line="580" w:lineRule="exact"/>
        <w:jc w:val="center"/>
        <w:rPr>
          <w:rFonts w:ascii="方正小标宋_GBK" w:eastAsia="方正小标宋_GBK"/>
          <w:sz w:val="44"/>
          <w:szCs w:val="44"/>
        </w:rPr>
      </w:pPr>
      <w:r>
        <w:rPr>
          <w:rFonts w:hint="eastAsia" w:ascii="方正小标宋_GBK" w:eastAsia="方正小标宋_GBK"/>
          <w:sz w:val="44"/>
          <w:szCs w:val="44"/>
        </w:rPr>
        <w:t>目  录</w:t>
      </w:r>
    </w:p>
    <w:p>
      <w:pPr>
        <w:spacing w:line="580" w:lineRule="exact"/>
        <w:rPr>
          <w:rFonts w:ascii="黑体" w:eastAsia="黑体"/>
          <w:sz w:val="32"/>
          <w:szCs w:val="32"/>
        </w:rPr>
      </w:pPr>
      <w:r>
        <w:rPr>
          <w:rFonts w:hint="eastAsia" w:ascii="黑体" w:eastAsia="黑体"/>
          <w:sz w:val="32"/>
          <w:szCs w:val="32"/>
        </w:rPr>
        <w:t>第一部分 部门概况</w:t>
      </w:r>
    </w:p>
    <w:p>
      <w:pPr>
        <w:spacing w:line="580" w:lineRule="exact"/>
        <w:ind w:left="640"/>
        <w:rPr>
          <w:rFonts w:ascii="仿宋_GB2312" w:eastAsia="仿宋_GB2312"/>
          <w:sz w:val="32"/>
          <w:szCs w:val="32"/>
        </w:rPr>
      </w:pPr>
      <w:r>
        <w:rPr>
          <w:rFonts w:hint="eastAsia" w:ascii="仿宋_GB2312" w:eastAsia="仿宋_GB2312"/>
          <w:sz w:val="32"/>
          <w:szCs w:val="32"/>
        </w:rPr>
        <w:t>一、部门职责</w:t>
      </w:r>
    </w:p>
    <w:p>
      <w:pPr>
        <w:spacing w:line="580" w:lineRule="exact"/>
        <w:ind w:left="640"/>
        <w:rPr>
          <w:rFonts w:ascii="仿宋_GB2312" w:eastAsia="仿宋_GB2312"/>
          <w:sz w:val="32"/>
          <w:szCs w:val="32"/>
        </w:rPr>
      </w:pPr>
      <w:r>
        <w:rPr>
          <w:rFonts w:hint="eastAsia" w:ascii="仿宋_GB2312" w:eastAsia="仿宋_GB2312"/>
          <w:sz w:val="32"/>
          <w:szCs w:val="32"/>
        </w:rPr>
        <w:t xml:space="preserve">二、机构设置 </w:t>
      </w:r>
    </w:p>
    <w:p>
      <w:pPr>
        <w:spacing w:line="580" w:lineRule="exact"/>
        <w:rPr>
          <w:rFonts w:ascii="黑体" w:eastAsia="黑体"/>
          <w:sz w:val="32"/>
          <w:szCs w:val="32"/>
        </w:rPr>
      </w:pPr>
      <w:r>
        <w:rPr>
          <w:rFonts w:hint="eastAsia" w:ascii="黑体" w:eastAsia="黑体"/>
          <w:sz w:val="32"/>
          <w:szCs w:val="32"/>
        </w:rPr>
        <w:t>第二部分 2020年度部门决算表</w:t>
      </w:r>
    </w:p>
    <w:p>
      <w:pPr>
        <w:spacing w:line="580" w:lineRule="exact"/>
        <w:ind w:left="640"/>
        <w:rPr>
          <w:rFonts w:ascii="仿宋_GB2312" w:eastAsia="仿宋_GB2312"/>
          <w:sz w:val="32"/>
          <w:szCs w:val="32"/>
        </w:rPr>
      </w:pPr>
      <w:r>
        <w:rPr>
          <w:rFonts w:hint="eastAsia" w:ascii="仿宋_GB2312" w:eastAsia="仿宋_GB2312"/>
          <w:sz w:val="32"/>
          <w:szCs w:val="32"/>
        </w:rPr>
        <w:t>一、收入支出决算总表</w:t>
      </w:r>
    </w:p>
    <w:p>
      <w:pPr>
        <w:spacing w:line="580" w:lineRule="exact"/>
        <w:ind w:left="640"/>
        <w:rPr>
          <w:rFonts w:ascii="仿宋_GB2312" w:eastAsia="仿宋_GB2312"/>
          <w:sz w:val="32"/>
          <w:szCs w:val="32"/>
        </w:rPr>
      </w:pPr>
      <w:r>
        <w:rPr>
          <w:rFonts w:hint="eastAsia" w:ascii="仿宋_GB2312" w:eastAsia="仿宋_GB2312"/>
          <w:sz w:val="32"/>
          <w:szCs w:val="32"/>
        </w:rPr>
        <w:t>二、收入决算表</w:t>
      </w:r>
    </w:p>
    <w:p>
      <w:pPr>
        <w:spacing w:line="580" w:lineRule="exact"/>
        <w:ind w:left="640"/>
        <w:rPr>
          <w:rFonts w:ascii="仿宋_GB2312" w:eastAsia="仿宋_GB2312"/>
          <w:sz w:val="32"/>
          <w:szCs w:val="32"/>
        </w:rPr>
      </w:pPr>
      <w:r>
        <w:rPr>
          <w:rFonts w:hint="eastAsia" w:ascii="仿宋_GB2312" w:eastAsia="仿宋_GB2312"/>
          <w:sz w:val="32"/>
          <w:szCs w:val="32"/>
        </w:rPr>
        <w:t>三、支出决算表</w:t>
      </w:r>
    </w:p>
    <w:p>
      <w:pPr>
        <w:spacing w:line="580" w:lineRule="exact"/>
        <w:ind w:left="640"/>
        <w:rPr>
          <w:rFonts w:ascii="仿宋_GB2312" w:eastAsia="仿宋_GB2312"/>
          <w:sz w:val="32"/>
          <w:szCs w:val="32"/>
        </w:rPr>
      </w:pPr>
      <w:r>
        <w:rPr>
          <w:rFonts w:hint="eastAsia" w:ascii="仿宋_GB2312" w:eastAsia="仿宋_GB2312"/>
          <w:sz w:val="32"/>
          <w:szCs w:val="32"/>
        </w:rPr>
        <w:t>四、财政拨款收入支出决算总表</w:t>
      </w:r>
    </w:p>
    <w:p>
      <w:pPr>
        <w:spacing w:line="580" w:lineRule="exact"/>
        <w:ind w:left="640"/>
        <w:rPr>
          <w:rFonts w:ascii="仿宋_GB2312" w:eastAsia="仿宋_GB2312"/>
          <w:sz w:val="32"/>
          <w:szCs w:val="32"/>
        </w:rPr>
      </w:pPr>
      <w:r>
        <w:rPr>
          <w:rFonts w:hint="eastAsia" w:ascii="仿宋_GB2312" w:eastAsia="仿宋_GB2312"/>
          <w:sz w:val="32"/>
          <w:szCs w:val="32"/>
        </w:rPr>
        <w:t>五、一般公共预算财政拨款支出决算表</w:t>
      </w:r>
    </w:p>
    <w:p>
      <w:pPr>
        <w:spacing w:line="580" w:lineRule="exact"/>
        <w:ind w:left="640"/>
        <w:rPr>
          <w:rFonts w:ascii="仿宋_GB2312" w:eastAsia="仿宋_GB2312"/>
          <w:sz w:val="32"/>
          <w:szCs w:val="32"/>
        </w:rPr>
      </w:pPr>
      <w:r>
        <w:rPr>
          <w:rFonts w:hint="eastAsia" w:ascii="仿宋_GB2312" w:eastAsia="仿宋_GB2312"/>
          <w:sz w:val="32"/>
          <w:szCs w:val="32"/>
        </w:rPr>
        <w:t>六、一般公共预算财政拨款基本支出决算表</w:t>
      </w:r>
    </w:p>
    <w:p>
      <w:pPr>
        <w:spacing w:line="580" w:lineRule="exact"/>
        <w:ind w:left="640"/>
        <w:rPr>
          <w:rFonts w:ascii="仿宋_GB2312" w:eastAsia="仿宋_GB2312"/>
          <w:sz w:val="32"/>
          <w:szCs w:val="32"/>
        </w:rPr>
      </w:pPr>
      <w:r>
        <w:rPr>
          <w:rFonts w:hint="eastAsia" w:ascii="仿宋_GB2312" w:eastAsia="仿宋_GB2312"/>
          <w:sz w:val="32"/>
          <w:szCs w:val="32"/>
        </w:rPr>
        <w:t>七、一般公共预算财政拨款“三公”经费支出决算表</w:t>
      </w:r>
    </w:p>
    <w:p>
      <w:pPr>
        <w:spacing w:line="580" w:lineRule="exact"/>
        <w:ind w:left="640"/>
        <w:rPr>
          <w:rFonts w:ascii="仿宋_GB2312" w:eastAsia="仿宋_GB2312"/>
          <w:sz w:val="32"/>
          <w:szCs w:val="32"/>
        </w:rPr>
      </w:pPr>
      <w:r>
        <w:rPr>
          <w:rFonts w:hint="eastAsia" w:ascii="仿宋_GB2312" w:eastAsia="仿宋_GB2312"/>
          <w:sz w:val="32"/>
          <w:szCs w:val="32"/>
        </w:rPr>
        <w:t>八、政府性基金预算财政拨款收入支出决算表</w:t>
      </w:r>
    </w:p>
    <w:p>
      <w:pPr>
        <w:spacing w:line="580" w:lineRule="exact"/>
        <w:ind w:left="640"/>
        <w:rPr>
          <w:rFonts w:ascii="仿宋_GB2312" w:eastAsia="仿宋_GB2312"/>
          <w:sz w:val="32"/>
          <w:szCs w:val="32"/>
        </w:rPr>
      </w:pPr>
      <w:r>
        <w:rPr>
          <w:rFonts w:hint="eastAsia" w:ascii="仿宋_GB2312" w:eastAsia="仿宋_GB2312"/>
          <w:sz w:val="32"/>
          <w:szCs w:val="32"/>
        </w:rPr>
        <w:t>九、国有资本经营预算财政拨款支出决算表</w:t>
      </w:r>
    </w:p>
    <w:p>
      <w:pPr>
        <w:spacing w:line="580" w:lineRule="exact"/>
        <w:ind w:left="1406" w:hanging="1406" w:hangingChars="445"/>
        <w:rPr>
          <w:rFonts w:ascii="黑体" w:eastAsia="黑体"/>
          <w:sz w:val="32"/>
          <w:szCs w:val="32"/>
        </w:rPr>
      </w:pPr>
      <w:r>
        <w:rPr>
          <w:rFonts w:hint="eastAsia" w:ascii="黑体" w:eastAsia="黑体"/>
          <w:sz w:val="32"/>
          <w:szCs w:val="32"/>
        </w:rPr>
        <w:t>第三部分 2020年度部门决算情况说明</w:t>
      </w:r>
    </w:p>
    <w:p>
      <w:pPr>
        <w:spacing w:line="580" w:lineRule="exact"/>
        <w:ind w:left="1406" w:hanging="1406" w:hangingChars="445"/>
        <w:rPr>
          <w:rFonts w:ascii="黑体" w:eastAsia="黑体"/>
          <w:sz w:val="32"/>
          <w:szCs w:val="32"/>
        </w:rPr>
      </w:pPr>
      <w:r>
        <w:rPr>
          <w:rFonts w:hint="eastAsia" w:ascii="黑体" w:eastAsia="黑体"/>
          <w:sz w:val="32"/>
          <w:szCs w:val="32"/>
        </w:rPr>
        <w:t>第四部分 名词解释</w:t>
      </w:r>
    </w:p>
    <w:p>
      <w:pPr>
        <w:spacing w:line="580" w:lineRule="exact"/>
        <w:ind w:left="1406" w:hanging="1406" w:hangingChars="445"/>
        <w:rPr>
          <w:rFonts w:ascii="黑体" w:eastAsia="黑体"/>
          <w:szCs w:val="21"/>
        </w:rPr>
      </w:pPr>
      <w:r>
        <w:rPr>
          <w:rFonts w:hint="eastAsia" w:ascii="黑体" w:eastAsia="黑体"/>
          <w:sz w:val="32"/>
          <w:szCs w:val="32"/>
        </w:rPr>
        <w:t xml:space="preserve">第五部分 附件  </w:t>
      </w:r>
    </w:p>
    <w:p>
      <w:pPr>
        <w:spacing w:line="580" w:lineRule="exact"/>
        <w:ind w:left="1584" w:hanging="1584" w:hangingChars="445"/>
        <w:rPr>
          <w:rFonts w:ascii="黑体" w:eastAsia="黑体"/>
          <w:sz w:val="36"/>
          <w:szCs w:val="36"/>
        </w:rPr>
      </w:pPr>
    </w:p>
    <w:p>
      <w:pPr>
        <w:spacing w:line="580" w:lineRule="exact"/>
        <w:ind w:left="1584" w:hanging="1584" w:hangingChars="445"/>
        <w:rPr>
          <w:rFonts w:ascii="黑体" w:eastAsia="黑体"/>
          <w:sz w:val="36"/>
          <w:szCs w:val="36"/>
        </w:rPr>
      </w:pPr>
    </w:p>
    <w:p>
      <w:pPr>
        <w:spacing w:line="580" w:lineRule="exact"/>
        <w:ind w:left="1584" w:hanging="1584" w:hangingChars="445"/>
        <w:rPr>
          <w:rFonts w:ascii="黑体" w:eastAsia="黑体"/>
          <w:sz w:val="36"/>
          <w:szCs w:val="36"/>
        </w:rPr>
      </w:pPr>
    </w:p>
    <w:p>
      <w:pPr>
        <w:rPr>
          <w:rFonts w:ascii="黑体" w:eastAsia="黑体"/>
          <w:sz w:val="52"/>
          <w:szCs w:val="5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rPr>
          <w:rFonts w:ascii="方正小标宋简体" w:eastAsia="方正小标宋简体"/>
          <w:sz w:val="42"/>
        </w:rPr>
      </w:pPr>
    </w:p>
    <w:p>
      <w:pPr>
        <w:rPr>
          <w:rFonts w:ascii="黑体" w:eastAsia="黑体"/>
          <w:sz w:val="52"/>
          <w:szCs w:val="52"/>
        </w:rPr>
      </w:pPr>
      <w:r>
        <w:rPr>
          <w:rFonts w:hint="eastAsia" w:ascii="黑体" w:eastAsia="黑体"/>
          <w:sz w:val="52"/>
          <w:szCs w:val="52"/>
        </w:rPr>
        <w:t xml:space="preserve">  第一部分 </w:t>
      </w:r>
    </w:p>
    <w:p>
      <w:pPr>
        <w:ind w:firstLine="1032" w:firstLineChars="200"/>
        <w:rPr>
          <w:rFonts w:ascii="黑体" w:eastAsia="黑体"/>
          <w:sz w:val="52"/>
          <w:szCs w:val="52"/>
        </w:rPr>
      </w:pPr>
    </w:p>
    <w:p>
      <w:pPr>
        <w:jc w:val="center"/>
        <w:rPr>
          <w:rFonts w:ascii="黑体" w:eastAsia="黑体"/>
          <w:sz w:val="52"/>
          <w:szCs w:val="52"/>
        </w:rPr>
      </w:pPr>
      <w:r>
        <w:rPr>
          <w:rFonts w:hint="eastAsia" w:ascii="黑体" w:eastAsia="黑体"/>
          <w:sz w:val="52"/>
          <w:szCs w:val="52"/>
        </w:rPr>
        <w:t>部门概况</w:t>
      </w: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rPr>
          <w:rFonts w:ascii="黑体" w:eastAsia="黑体"/>
          <w:b/>
          <w:sz w:val="36"/>
          <w:szCs w:val="36"/>
        </w:rPr>
      </w:pPr>
    </w:p>
    <w:p>
      <w:pPr>
        <w:numPr>
          <w:ilvl w:val="0"/>
          <w:numId w:val="1"/>
        </w:numPr>
        <w:tabs>
          <w:tab w:val="clear" w:pos="720"/>
        </w:tabs>
        <w:spacing w:line="560" w:lineRule="exact"/>
        <w:ind w:left="0" w:firstLine="708" w:firstLineChars="224"/>
        <w:rPr>
          <w:rFonts w:ascii="黑体" w:eastAsia="黑体"/>
          <w:sz w:val="32"/>
          <w:szCs w:val="32"/>
        </w:rPr>
      </w:pPr>
      <w:r>
        <w:rPr>
          <w:rFonts w:hint="eastAsia" w:ascii="黑体" w:eastAsia="黑体"/>
          <w:sz w:val="32"/>
          <w:szCs w:val="32"/>
        </w:rPr>
        <w:t>部门职责</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 xml:space="preserve"> (</w:t>
      </w:r>
      <w:r>
        <w:rPr>
          <w:rFonts w:hint="eastAsia" w:ascii="仿宋_GB2312" w:hAnsi="宋体" w:eastAsia="仿宋_GB2312" w:cs="Courier New"/>
          <w:sz w:val="32"/>
          <w:szCs w:val="32"/>
        </w:rPr>
        <w:t>一)贯彻执行国民健康政策和卫生健康事业发展有关法律法规,起草卫生健康事业发展的有关地方性法规、政府规章草案,拟订相关政策、规划,拟订地方标准并组织实施。统筹规划全市卫生健康资源配置,指导区域卫生健康规划的编制和实施。制定并组织实施推进卫生健康基本公共服务均等化、普惠化、便捷化和公共资源向基层延伸等政策措施。</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 xml:space="preserve">二)负责协调推进全市深化医药卫生体制改革,研究提出深化医药卫生体制改革政策、措施的建议。组织深化公立医院综合改革,推进管办分离,健全现代医院管理制度,制定推动卫生健康公共服务主体多元化、服务方式多样化的政策措施并组织实施,提出医疗服务和药品价格政策建议。 </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三)负责制定并组织落实全市疾病预防控制规划、免疫规划以及严重危害人民健康公共卫生问题的干预措施。协调有关部门对重大疾病实施综合防控与干预。负责卫生应急工作。组织和指导全市突发公共卫生事件的预防控制和各类突发公共事件的医疗卫生救援。</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 xml:space="preserve">四)负责组织拟订并协调落实应对人口老龄化政策措施,推进老年健康服务体系建设和医养结合工作。拟订健康产业发展规划、政策措施并组织实施,协调推进健康产业与相关产业融合,推动健康新业态发展。承担卫生健康领域新旧动能转换有关工作。 </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五)负责组织实施国家药物政策,执行国家基本药物制度,组织实施国家基本药物目录。开展药品使用监测、临床综合评价和短缺药品预警。提出全市基本药物价格政策的建议。组织开展食品安全风险监测评估相关工作。</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六)负责职责范围内的职业卫生、放射卫生、环境卫生、学校卫生、公共场所卫生、饮用水卫生等公共卫生的监督管理。负责传染病防治监督。健全卫生健康综合监督体系。</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七)负责制定全市医疗机构和医疗服务行业管理办法、规范、标准并监督实施。建立医疗服务评价和监督管理体系,执行国家卫生健康专业技术人员资格标准,制定卫生健康专业技术人员执业规则、服务规范并组织实施。负责全市卫生健康系统行业作风建设工作,建设和谐医患关系。</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 xml:space="preserve">八)负责计划生育服务和管理工作,开展人口监测预警,研究提出人口和家庭发展相关政策建议,完善计划生育政策。 </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 xml:space="preserve">九)指导区(市)卫生健康工作,拟订并组织实施全市基层医疗卫生、妇幼健康发展规划和政策措施,指导基层医疗卫生、妇幼健康服务体系和全科医生队伍建设,完善基层运行机制和乡村医生管理制度。 </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十)负责中医药工作,拟订中医药中长期发展规划和政策并组织实施。继承和发展中医药文化,促进中药资源的保护、研究开发和合理利用。</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 xml:space="preserve">十一)拟订保健工作规划、政策并组织实施,负责市保健委员会确定的保健对象的医疗保健工作。负责重要会议和重大活动的医疗卫生保障工作。 </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十二)负责组织拟订卫生健康学科、人才、科技创新发展规划。负责卫生健康人才队伍建设,建立完善培训制度,组织开展住院医师、专科医师培训等毕业后医学教育和继续教育工作。组织推动卫生健康科研和成果应用工作。</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十三)负责卫生健康宣传、健康教育、健康促进和信息化建设等工作,承担有关调查统计工作。组织开展对外援助和国际交流合作,开展与港澳台的交流合作。</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 xml:space="preserve">十四)承担市保健委员会、市老龄工作委员会、市深化医药卫生体制改革领导小组、市公立医院管理委员会、市爱国卫生运动委员会、市政府卫生防病暨防治艾滋病工作委员会的日常工作。 </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十五)承担推进卫生健康领域招商引资、招才引智等相关工作。负责推动政府向社会力量购买服务。培育、引导、扶持相关行业协会发展,推进行业协会自律,发挥服务国家、服务社会、服务群众、服务行业的作用。指导市计划生育协会的业务工作。</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十六)完成市委、市政府交办的其他任务。</w:t>
      </w:r>
    </w:p>
    <w:p>
      <w:pPr>
        <w:snapToGrid w:val="0"/>
        <w:spacing w:line="560" w:lineRule="exact"/>
        <w:ind w:firstLine="632" w:firstLineChars="200"/>
        <w:rPr>
          <w:rFonts w:ascii="仿宋_GB2312" w:hAnsi="宋体" w:eastAsia="仿宋_GB2312" w:cs="Courier New"/>
          <w:sz w:val="32"/>
          <w:szCs w:val="32"/>
        </w:rPr>
      </w:pPr>
      <w:r>
        <w:rPr>
          <w:rFonts w:ascii="仿宋_GB2312" w:hAnsi="宋体" w:eastAsia="仿宋_GB2312" w:cs="Courier New"/>
          <w:sz w:val="32"/>
          <w:szCs w:val="32"/>
        </w:rPr>
        <w:t>(</w:t>
      </w:r>
      <w:r>
        <w:rPr>
          <w:rFonts w:hint="eastAsia" w:ascii="仿宋_GB2312" w:hAnsi="宋体" w:eastAsia="仿宋_GB2312" w:cs="Courier New"/>
          <w:sz w:val="32"/>
          <w:szCs w:val="32"/>
        </w:rPr>
        <w:t>十七)职能转变。按照党中央、国务院关于转变政府职能、深化放管服改革,深入推进审批服务便民化的决策部署,认真落实省委、省政府和市委、市政府深化</w:t>
      </w:r>
      <w:r>
        <w:rPr>
          <w:rFonts w:ascii="仿宋_GB2312" w:hAnsi="宋体" w:eastAsia="仿宋_GB2312" w:cs="Courier New"/>
          <w:sz w:val="32"/>
          <w:szCs w:val="32"/>
        </w:rPr>
        <w:t>“</w:t>
      </w:r>
      <w:r>
        <w:rPr>
          <w:rFonts w:hint="eastAsia" w:ascii="仿宋_GB2312" w:hAnsi="宋体" w:eastAsia="仿宋_GB2312" w:cs="Courier New"/>
          <w:sz w:val="32"/>
          <w:szCs w:val="32"/>
        </w:rPr>
        <w:t>一次办好</w:t>
      </w:r>
      <w:r>
        <w:rPr>
          <w:rFonts w:ascii="仿宋_GB2312" w:hAnsi="宋体" w:eastAsia="仿宋_GB2312" w:cs="Courier New"/>
          <w:sz w:val="32"/>
          <w:szCs w:val="32"/>
        </w:rPr>
        <w:t>”</w:t>
      </w:r>
      <w:r>
        <w:rPr>
          <w:rFonts w:hint="eastAsia" w:ascii="仿宋_GB2312" w:hAnsi="宋体" w:eastAsia="仿宋_GB2312" w:cs="Courier New"/>
          <w:sz w:val="32"/>
          <w:szCs w:val="32"/>
        </w:rPr>
        <w:t>和推进相对集中行政许可权改革要求,组织推进本系统转变政府职能,牢固树立大卫生、大健康理念,推动健康青岛建设,以改革创新为动力,坚持中西医并重,以促健康、转模式、强基层、重保障为着力点,把以治病为中心转变到以人民健康为中心,为人民群众提供全方位全周期健康服务。</w:t>
      </w:r>
      <w:r>
        <w:rPr>
          <w:rFonts w:ascii="仿宋_GB2312" w:hAnsi="宋体" w:eastAsia="仿宋_GB2312" w:cs="Courier New"/>
          <w:sz w:val="32"/>
          <w:szCs w:val="32"/>
        </w:rPr>
        <w:fldChar w:fldCharType="begin"/>
      </w:r>
      <w:r>
        <w:rPr>
          <w:rFonts w:ascii="仿宋_GB2312" w:hAnsi="宋体" w:eastAsia="仿宋_GB2312" w:cs="Courier New"/>
          <w:sz w:val="32"/>
          <w:szCs w:val="32"/>
        </w:rPr>
        <w:instrText xml:space="preserve"> </w:instrText>
      </w:r>
      <w:r>
        <w:rPr>
          <w:rFonts w:hint="eastAsia" w:ascii="仿宋_GB2312" w:hAnsi="宋体" w:eastAsia="仿宋_GB2312" w:cs="Courier New"/>
          <w:sz w:val="32"/>
          <w:szCs w:val="32"/>
        </w:rPr>
        <w:instrText xml:space="preserve">= 1 \* GB3</w:instrText>
      </w:r>
      <w:r>
        <w:rPr>
          <w:rFonts w:ascii="仿宋_GB2312" w:hAnsi="宋体" w:eastAsia="仿宋_GB2312" w:cs="Courier New"/>
          <w:sz w:val="32"/>
          <w:szCs w:val="32"/>
        </w:rPr>
        <w:instrText xml:space="preserve"> </w:instrText>
      </w:r>
      <w:r>
        <w:rPr>
          <w:rFonts w:ascii="仿宋_GB2312" w:hAnsi="宋体" w:eastAsia="仿宋_GB2312" w:cs="Courier New"/>
          <w:sz w:val="32"/>
          <w:szCs w:val="32"/>
        </w:rPr>
        <w:fldChar w:fldCharType="separate"/>
      </w:r>
      <w:r>
        <w:rPr>
          <w:rFonts w:hint="eastAsia" w:ascii="仿宋_GB2312" w:hAnsi="宋体" w:eastAsia="仿宋_GB2312" w:cs="Courier New"/>
          <w:sz w:val="32"/>
          <w:szCs w:val="32"/>
        </w:rPr>
        <w:t>①</w:t>
      </w:r>
      <w:r>
        <w:rPr>
          <w:rFonts w:ascii="仿宋_GB2312" w:hAnsi="宋体" w:eastAsia="仿宋_GB2312" w:cs="Courier New"/>
          <w:sz w:val="32"/>
          <w:szCs w:val="32"/>
        </w:rPr>
        <w:fldChar w:fldCharType="end"/>
      </w:r>
      <w:r>
        <w:rPr>
          <w:rFonts w:hint="eastAsia" w:ascii="仿宋_GB2312" w:hAnsi="宋体" w:eastAsia="仿宋_GB2312" w:cs="Courier New"/>
          <w:sz w:val="32"/>
          <w:szCs w:val="32"/>
        </w:rPr>
        <w:t>更加注重预防为主和健康促进,加强预防控制重大疾病工作,积极应对人口老龄化,健全健康服务体系。</w:t>
      </w:r>
      <w:r>
        <w:rPr>
          <w:rFonts w:ascii="仿宋_GB2312" w:hAnsi="宋体" w:eastAsia="仿宋_GB2312" w:cs="Courier New"/>
          <w:sz w:val="32"/>
          <w:szCs w:val="32"/>
        </w:rPr>
        <w:fldChar w:fldCharType="begin"/>
      </w:r>
      <w:r>
        <w:rPr>
          <w:rFonts w:ascii="仿宋_GB2312" w:hAnsi="宋体" w:eastAsia="仿宋_GB2312" w:cs="Courier New"/>
          <w:sz w:val="32"/>
          <w:szCs w:val="32"/>
        </w:rPr>
        <w:instrText xml:space="preserve"> </w:instrText>
      </w:r>
      <w:r>
        <w:rPr>
          <w:rFonts w:hint="eastAsia" w:ascii="仿宋_GB2312" w:hAnsi="宋体" w:eastAsia="仿宋_GB2312" w:cs="Courier New"/>
          <w:sz w:val="32"/>
          <w:szCs w:val="32"/>
        </w:rPr>
        <w:instrText xml:space="preserve">= 2 \* GB3</w:instrText>
      </w:r>
      <w:r>
        <w:rPr>
          <w:rFonts w:ascii="仿宋_GB2312" w:hAnsi="宋体" w:eastAsia="仿宋_GB2312" w:cs="Courier New"/>
          <w:sz w:val="32"/>
          <w:szCs w:val="32"/>
        </w:rPr>
        <w:instrText xml:space="preserve"> </w:instrText>
      </w:r>
      <w:r>
        <w:rPr>
          <w:rFonts w:ascii="仿宋_GB2312" w:hAnsi="宋体" w:eastAsia="仿宋_GB2312" w:cs="Courier New"/>
          <w:sz w:val="32"/>
          <w:szCs w:val="32"/>
        </w:rPr>
        <w:fldChar w:fldCharType="separate"/>
      </w:r>
      <w:r>
        <w:rPr>
          <w:rFonts w:hint="eastAsia" w:ascii="仿宋_GB2312" w:hAnsi="宋体" w:eastAsia="仿宋_GB2312" w:cs="Courier New"/>
          <w:sz w:val="32"/>
          <w:szCs w:val="32"/>
        </w:rPr>
        <w:t>②</w:t>
      </w:r>
      <w:r>
        <w:rPr>
          <w:rFonts w:ascii="仿宋_GB2312" w:hAnsi="宋体" w:eastAsia="仿宋_GB2312" w:cs="Courier New"/>
          <w:sz w:val="32"/>
          <w:szCs w:val="32"/>
        </w:rPr>
        <w:fldChar w:fldCharType="end"/>
      </w:r>
      <w:r>
        <w:rPr>
          <w:rFonts w:hint="eastAsia" w:ascii="仿宋_GB2312" w:hAnsi="宋体" w:eastAsia="仿宋_GB2312" w:cs="Courier New"/>
          <w:sz w:val="32"/>
          <w:szCs w:val="32"/>
        </w:rPr>
        <w:t>更加注重工作重心下移和资源下沉,推进卫生健康公共资源向基层延伸、向农村覆盖、向边远地区和生活困难群众倾斜。</w:t>
      </w:r>
      <w:r>
        <w:rPr>
          <w:rFonts w:ascii="仿宋_GB2312" w:hAnsi="宋体" w:eastAsia="仿宋_GB2312" w:cs="Courier New"/>
          <w:sz w:val="32"/>
          <w:szCs w:val="32"/>
        </w:rPr>
        <w:fldChar w:fldCharType="begin"/>
      </w:r>
      <w:r>
        <w:rPr>
          <w:rFonts w:ascii="仿宋_GB2312" w:hAnsi="宋体" w:eastAsia="仿宋_GB2312" w:cs="Courier New"/>
          <w:sz w:val="32"/>
          <w:szCs w:val="32"/>
        </w:rPr>
        <w:instrText xml:space="preserve"> </w:instrText>
      </w:r>
      <w:r>
        <w:rPr>
          <w:rFonts w:hint="eastAsia" w:ascii="仿宋_GB2312" w:hAnsi="宋体" w:eastAsia="仿宋_GB2312" w:cs="Courier New"/>
          <w:sz w:val="32"/>
          <w:szCs w:val="32"/>
        </w:rPr>
        <w:instrText xml:space="preserve">= 3 \* GB3</w:instrText>
      </w:r>
      <w:r>
        <w:rPr>
          <w:rFonts w:ascii="仿宋_GB2312" w:hAnsi="宋体" w:eastAsia="仿宋_GB2312" w:cs="Courier New"/>
          <w:sz w:val="32"/>
          <w:szCs w:val="32"/>
        </w:rPr>
        <w:instrText xml:space="preserve"> </w:instrText>
      </w:r>
      <w:r>
        <w:rPr>
          <w:rFonts w:ascii="仿宋_GB2312" w:hAnsi="宋体" w:eastAsia="仿宋_GB2312" w:cs="Courier New"/>
          <w:sz w:val="32"/>
          <w:szCs w:val="32"/>
        </w:rPr>
        <w:fldChar w:fldCharType="separate"/>
      </w:r>
      <w:r>
        <w:rPr>
          <w:rFonts w:hint="eastAsia" w:ascii="仿宋_GB2312" w:hAnsi="宋体" w:eastAsia="仿宋_GB2312" w:cs="Courier New"/>
          <w:sz w:val="32"/>
          <w:szCs w:val="32"/>
        </w:rPr>
        <w:t>③</w:t>
      </w:r>
      <w:r>
        <w:rPr>
          <w:rFonts w:ascii="仿宋_GB2312" w:hAnsi="宋体" w:eastAsia="仿宋_GB2312" w:cs="Courier New"/>
          <w:sz w:val="32"/>
          <w:szCs w:val="32"/>
        </w:rPr>
        <w:fldChar w:fldCharType="end"/>
      </w:r>
      <w:r>
        <w:rPr>
          <w:rFonts w:hint="eastAsia" w:ascii="仿宋_GB2312" w:hAnsi="宋体" w:eastAsia="仿宋_GB2312" w:cs="Courier New"/>
          <w:sz w:val="32"/>
          <w:szCs w:val="32"/>
        </w:rPr>
        <w:t>更加注重提高服务质量和水平,推进卫生健康基本公共服务均等化、普惠化、便捷化。</w:t>
      </w:r>
      <w:r>
        <w:rPr>
          <w:rFonts w:ascii="仿宋_GB2312" w:hAnsi="宋体" w:eastAsia="仿宋_GB2312" w:cs="Courier New"/>
          <w:sz w:val="32"/>
          <w:szCs w:val="32"/>
        </w:rPr>
        <w:fldChar w:fldCharType="begin"/>
      </w:r>
      <w:r>
        <w:rPr>
          <w:rFonts w:ascii="仿宋_GB2312" w:hAnsi="宋体" w:eastAsia="仿宋_GB2312" w:cs="Courier New"/>
          <w:sz w:val="32"/>
          <w:szCs w:val="32"/>
        </w:rPr>
        <w:instrText xml:space="preserve"> </w:instrText>
      </w:r>
      <w:r>
        <w:rPr>
          <w:rFonts w:hint="eastAsia" w:ascii="仿宋_GB2312" w:hAnsi="宋体" w:eastAsia="仿宋_GB2312" w:cs="Courier New"/>
          <w:sz w:val="32"/>
          <w:szCs w:val="32"/>
        </w:rPr>
        <w:instrText xml:space="preserve">= 4 \* GB3</w:instrText>
      </w:r>
      <w:r>
        <w:rPr>
          <w:rFonts w:ascii="仿宋_GB2312" w:hAnsi="宋体" w:eastAsia="仿宋_GB2312" w:cs="Courier New"/>
          <w:sz w:val="32"/>
          <w:szCs w:val="32"/>
        </w:rPr>
        <w:instrText xml:space="preserve"> </w:instrText>
      </w:r>
      <w:r>
        <w:rPr>
          <w:rFonts w:ascii="仿宋_GB2312" w:hAnsi="宋体" w:eastAsia="仿宋_GB2312" w:cs="Courier New"/>
          <w:sz w:val="32"/>
          <w:szCs w:val="32"/>
        </w:rPr>
        <w:fldChar w:fldCharType="separate"/>
      </w:r>
      <w:r>
        <w:rPr>
          <w:rFonts w:hint="eastAsia" w:ascii="仿宋_GB2312" w:hAnsi="宋体" w:eastAsia="仿宋_GB2312" w:cs="Courier New"/>
          <w:sz w:val="32"/>
          <w:szCs w:val="32"/>
        </w:rPr>
        <w:t>④</w:t>
      </w:r>
      <w:r>
        <w:rPr>
          <w:rFonts w:ascii="仿宋_GB2312" w:hAnsi="宋体" w:eastAsia="仿宋_GB2312" w:cs="Courier New"/>
          <w:sz w:val="32"/>
          <w:szCs w:val="32"/>
        </w:rPr>
        <w:fldChar w:fldCharType="end"/>
      </w:r>
      <w:r>
        <w:rPr>
          <w:rFonts w:hint="eastAsia" w:ascii="仿宋_GB2312" w:hAnsi="宋体" w:eastAsia="仿宋_GB2312" w:cs="Courier New"/>
          <w:sz w:val="32"/>
          <w:szCs w:val="32"/>
        </w:rPr>
        <w:t>协调推进全市深化医药卫生体制改革,加大公立医院改革力度,推进管办分离,推动卫生健康公共服务提供主体多元化、提供方式多样化。</w:t>
      </w:r>
      <w:r>
        <w:rPr>
          <w:rFonts w:ascii="仿宋_GB2312" w:hAnsi="宋体" w:eastAsia="仿宋_GB2312" w:cs="Courier New"/>
          <w:sz w:val="32"/>
          <w:szCs w:val="32"/>
        </w:rPr>
        <w:fldChar w:fldCharType="begin"/>
      </w:r>
      <w:r>
        <w:rPr>
          <w:rFonts w:ascii="仿宋_GB2312" w:hAnsi="宋体" w:eastAsia="仿宋_GB2312" w:cs="Courier New"/>
          <w:sz w:val="32"/>
          <w:szCs w:val="32"/>
        </w:rPr>
        <w:instrText xml:space="preserve"> </w:instrText>
      </w:r>
      <w:r>
        <w:rPr>
          <w:rFonts w:hint="eastAsia" w:ascii="仿宋_GB2312" w:hAnsi="宋体" w:eastAsia="仿宋_GB2312" w:cs="Courier New"/>
          <w:sz w:val="32"/>
          <w:szCs w:val="32"/>
        </w:rPr>
        <w:instrText xml:space="preserve">= 5 \* GB3</w:instrText>
      </w:r>
      <w:r>
        <w:rPr>
          <w:rFonts w:ascii="仿宋_GB2312" w:hAnsi="宋体" w:eastAsia="仿宋_GB2312" w:cs="Courier New"/>
          <w:sz w:val="32"/>
          <w:szCs w:val="32"/>
        </w:rPr>
        <w:instrText xml:space="preserve"> </w:instrText>
      </w:r>
      <w:r>
        <w:rPr>
          <w:rFonts w:ascii="仿宋_GB2312" w:hAnsi="宋体" w:eastAsia="仿宋_GB2312" w:cs="Courier New"/>
          <w:sz w:val="32"/>
          <w:szCs w:val="32"/>
        </w:rPr>
        <w:fldChar w:fldCharType="separate"/>
      </w:r>
      <w:r>
        <w:rPr>
          <w:rFonts w:hint="eastAsia" w:ascii="仿宋_GB2312" w:hAnsi="宋体" w:eastAsia="仿宋_GB2312" w:cs="Courier New"/>
          <w:sz w:val="32"/>
          <w:szCs w:val="32"/>
        </w:rPr>
        <w:t>⑤</w:t>
      </w:r>
      <w:r>
        <w:rPr>
          <w:rFonts w:ascii="仿宋_GB2312" w:hAnsi="宋体" w:eastAsia="仿宋_GB2312" w:cs="Courier New"/>
          <w:sz w:val="32"/>
          <w:szCs w:val="32"/>
        </w:rPr>
        <w:fldChar w:fldCharType="end"/>
      </w:r>
      <w:r>
        <w:rPr>
          <w:rFonts w:hint="eastAsia" w:ascii="仿宋_GB2312" w:hAnsi="宋体" w:eastAsia="仿宋_GB2312" w:cs="Courier New"/>
          <w:sz w:val="32"/>
          <w:szCs w:val="32"/>
        </w:rPr>
        <w:t>充分发挥中医药特色优势,加快中医药传承发展,促进全民健康。</w:t>
      </w:r>
    </w:p>
    <w:p>
      <w:pPr>
        <w:numPr>
          <w:ilvl w:val="0"/>
          <w:numId w:val="1"/>
        </w:numPr>
        <w:tabs>
          <w:tab w:val="left" w:pos="0"/>
          <w:tab w:val="clear" w:pos="720"/>
        </w:tabs>
        <w:spacing w:line="560" w:lineRule="exact"/>
        <w:ind w:left="0" w:firstLine="708" w:firstLineChars="224"/>
        <w:rPr>
          <w:rFonts w:ascii="黑体" w:eastAsia="黑体"/>
          <w:sz w:val="32"/>
          <w:szCs w:val="32"/>
        </w:rPr>
      </w:pPr>
      <w:r>
        <w:rPr>
          <w:rFonts w:hint="eastAsia" w:ascii="黑体" w:eastAsia="黑体"/>
          <w:sz w:val="32"/>
          <w:szCs w:val="32"/>
        </w:rPr>
        <w:t>机构设置</w:t>
      </w:r>
    </w:p>
    <w:p>
      <w:pPr>
        <w:snapToGrid w:val="0"/>
        <w:spacing w:line="560" w:lineRule="exact"/>
        <w:ind w:firstLine="632" w:firstLineChars="200"/>
        <w:rPr>
          <w:rFonts w:ascii="仿宋_GB2312" w:eastAsia="仿宋_GB2312" w:cs="Courier New"/>
          <w:sz w:val="32"/>
          <w:szCs w:val="32"/>
        </w:rPr>
      </w:pPr>
      <w:r>
        <w:rPr>
          <w:rFonts w:hint="eastAsia" w:ascii="仿宋_GB2312" w:hAnsi="宋体" w:eastAsia="仿宋_GB2312" w:cs="Courier New"/>
          <w:sz w:val="32"/>
          <w:szCs w:val="32"/>
        </w:rPr>
        <w:t>从决算单位构成看，青岛市卫生健康委员会部门决算包括：委本级决算、委属事业单位决算。</w:t>
      </w:r>
    </w:p>
    <w:p>
      <w:pPr>
        <w:spacing w:line="560" w:lineRule="exact"/>
        <w:ind w:firstLine="632" w:firstLineChars="200"/>
        <w:rPr>
          <w:rFonts w:ascii="仿宋_GB2312" w:hAnsi="宋体" w:eastAsia="仿宋_GB2312" w:cs="Courier New"/>
          <w:sz w:val="32"/>
          <w:szCs w:val="32"/>
        </w:rPr>
      </w:pPr>
      <w:r>
        <w:rPr>
          <w:rFonts w:hint="eastAsia" w:ascii="仿宋_GB2312" w:hAnsi="宋体" w:eastAsia="仿宋_GB2312" w:cs="Courier New"/>
          <w:sz w:val="32"/>
          <w:szCs w:val="32"/>
        </w:rPr>
        <w:t>纳入青岛市卫生健康委员会2020年度部门决算汇编范围的单位共31个，包括：</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1、青岛市卫生健康委员会（本级）</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2、青岛市卫生健康发展研究中心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3、山东大学齐鲁医院（青岛）</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4、青岛市胶州中心医院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5、青岛市卫生健康委员会综合监督执法局</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6、青岛市疾病预防控制中心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7、青岛市急救中心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8、青岛市卫生健康科技教育中心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9、青岛市中心血站</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10、青岛市卫生健康人才综合服务中心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11、青岛市妇幼保健计划生育服务中心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12、青岛市干部保健服务中心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13、青岛市计划生育协会</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14、青岛市卫生健康宣传教育中心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15、青岛市老年服务中心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16、山东省青岛卫生学校</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17、山东省青岛第二卫生学校</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18、青岛市市立医院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19、青岛市第三人民医院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20、青岛市胸科医院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21、青岛市传染病医院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22、青岛市精神卫生中心</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23、青岛市第八人民医院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24、青岛市妇女儿童医院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25、青岛市口腔医院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26、青岛市中心（肿瘤）医院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27、青岛市海慈医疗集团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28、青岛市第五人民医院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29、青岛市北九水疗养院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30、青岛市第九人民医院</w:t>
      </w:r>
    </w:p>
    <w:p>
      <w:pPr>
        <w:snapToGrid w:val="0"/>
        <w:spacing w:line="580" w:lineRule="exact"/>
        <w:ind w:firstLine="540" w:firstLineChars="171"/>
        <w:rPr>
          <w:rFonts w:ascii="仿宋_GB2312" w:hAnsi="宋体" w:eastAsia="仿宋_GB2312" w:cs="Courier New"/>
          <w:sz w:val="32"/>
          <w:szCs w:val="32"/>
        </w:rPr>
      </w:pPr>
      <w:r>
        <w:rPr>
          <w:rFonts w:hint="eastAsia" w:ascii="仿宋_GB2312" w:hAnsi="宋体" w:eastAsia="仿宋_GB2312" w:cs="Courier New"/>
          <w:sz w:val="32"/>
          <w:szCs w:val="32"/>
        </w:rPr>
        <w:t>31、青岛大学附属医院（平度）</w:t>
      </w: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rPr>
          <w:rFonts w:ascii="方正小标宋简体" w:eastAsia="方正小标宋简体"/>
          <w:sz w:val="42"/>
        </w:rPr>
      </w:pPr>
    </w:p>
    <w:p>
      <w:pPr>
        <w:rPr>
          <w:rFonts w:ascii="黑体" w:eastAsia="黑体"/>
          <w:sz w:val="52"/>
          <w:szCs w:val="52"/>
        </w:rPr>
      </w:pPr>
      <w:r>
        <w:rPr>
          <w:rFonts w:hint="eastAsia" w:ascii="黑体" w:eastAsia="黑体"/>
          <w:sz w:val="52"/>
          <w:szCs w:val="52"/>
        </w:rPr>
        <w:t xml:space="preserve">  第二部分</w:t>
      </w:r>
    </w:p>
    <w:p>
      <w:pPr>
        <w:rPr>
          <w:rFonts w:ascii="黑体" w:eastAsia="黑体"/>
          <w:sz w:val="52"/>
          <w:szCs w:val="52"/>
        </w:rPr>
      </w:pPr>
    </w:p>
    <w:p>
      <w:pPr>
        <w:jc w:val="center"/>
        <w:rPr>
          <w:rFonts w:ascii="黑体" w:eastAsia="黑体"/>
          <w:sz w:val="52"/>
          <w:szCs w:val="52"/>
        </w:rPr>
      </w:pPr>
      <w:r>
        <w:rPr>
          <w:rFonts w:hint="eastAsia" w:ascii="黑体" w:eastAsia="黑体"/>
          <w:sz w:val="52"/>
          <w:szCs w:val="52"/>
        </w:rPr>
        <w:t>2020年度部门决算表</w:t>
      </w:r>
    </w:p>
    <w:p>
      <w:pPr>
        <w:jc w:val="center"/>
        <w:rPr>
          <w:rFonts w:ascii="方正小标宋简体" w:eastAsia="方正小标宋简体"/>
          <w:spacing w:val="60"/>
          <w:sz w:val="42"/>
        </w:rPr>
        <w:sectPr>
          <w:pgSz w:w="11906" w:h="16838"/>
          <w:pgMar w:top="1701" w:right="1531" w:bottom="1701" w:left="153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收入支出决算总表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公开01表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部门：青岛市卫生健康委员会（汇总）              金额单位：万元</w:t>
      </w:r>
    </w:p>
    <w:tbl>
      <w:tblPr>
        <w:tblStyle w:val="7"/>
        <w:tblW w:w="91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3045"/>
        <w:gridCol w:w="465"/>
        <w:gridCol w:w="1276"/>
        <w:gridCol w:w="2552"/>
        <w:gridCol w:w="567"/>
        <w:gridCol w:w="12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4786"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22"/>
                <w:szCs w:val="22"/>
              </w:rPr>
            </w:pPr>
            <w:r>
              <w:rPr>
                <w:rFonts w:hint="eastAsia" w:ascii="仿宋_GB2312" w:eastAsia="仿宋_GB2312"/>
                <w:sz w:val="22"/>
                <w:szCs w:val="22"/>
              </w:rPr>
              <w:t>收 入</w:t>
            </w:r>
          </w:p>
        </w:tc>
        <w:tc>
          <w:tcPr>
            <w:tcW w:w="4394" w:type="dxa"/>
            <w:gridSpan w:val="3"/>
            <w:tcBorders>
              <w:top w:val="single" w:color="auto" w:sz="4" w:space="0"/>
              <w:left w:val="nil"/>
              <w:bottom w:val="single" w:color="auto" w:sz="4" w:space="0"/>
              <w:right w:val="single" w:color="auto" w:sz="4" w:space="0"/>
            </w:tcBorders>
            <w:vAlign w:val="center"/>
          </w:tcPr>
          <w:p>
            <w:pPr>
              <w:spacing w:line="240" w:lineRule="exact"/>
              <w:jc w:val="center"/>
              <w:rPr>
                <w:rFonts w:ascii="仿宋_GB2312" w:eastAsia="仿宋_GB2312"/>
                <w:sz w:val="22"/>
                <w:szCs w:val="22"/>
              </w:rPr>
            </w:pPr>
            <w:r>
              <w:rPr>
                <w:rFonts w:hint="eastAsia" w:ascii="仿宋_GB2312" w:eastAsia="仿宋_GB2312"/>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7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项  目</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行次</w:t>
            </w:r>
          </w:p>
        </w:tc>
        <w:tc>
          <w:tcPr>
            <w:tcW w:w="127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决算数</w:t>
            </w:r>
          </w:p>
        </w:tc>
        <w:tc>
          <w:tcPr>
            <w:tcW w:w="255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项  目</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行次</w:t>
            </w:r>
          </w:p>
        </w:tc>
        <w:tc>
          <w:tcPr>
            <w:tcW w:w="127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栏  次</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1276"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1</w:t>
            </w:r>
          </w:p>
        </w:tc>
        <w:tc>
          <w:tcPr>
            <w:tcW w:w="255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栏  次</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p>
        </w:tc>
        <w:tc>
          <w:tcPr>
            <w:tcW w:w="1275"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一、一般公共预算财政拨款收入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188,662.17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一、一般公共服务支出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31</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8"/>
                <w:szCs w:val="18"/>
              </w:rPr>
            </w:pPr>
            <w:r>
              <w:rPr>
                <w:rFonts w:ascii="仿宋_GB2312" w:eastAsia="仿宋_GB2312"/>
                <w:sz w:val="15"/>
                <w:szCs w:val="15"/>
              </w:rPr>
              <w:t>62.43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二、政府性基金预算财政拨款收入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55,000.00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二、外交支出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32</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34"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三、国有资本经营预算财政拨款收入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3</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三、国防支出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33</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2"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四、上级补助收入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4</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15.00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四、公共安全支出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34</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五、事业收入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5</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1,029,386.02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五、教育支出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35</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9,480.45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六、经营收入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6</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396.73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六、科学技术支出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36</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926.72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七、附属单位上缴收入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7</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七、文化旅游体育与传媒支出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37</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八、其他收入</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8</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13,099.56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八、社会保障和就业支出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38</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35,600.23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9</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九、卫生健康支出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39</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1,140,594.32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10</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十、节能环保支出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40</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11</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十一、城乡社区支出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41</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1,122.35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12</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十二、农林水支出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42</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13</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十三、交通运输支出</w:t>
            </w:r>
          </w:p>
        </w:tc>
        <w:tc>
          <w:tcPr>
            <w:tcW w:w="567" w:type="dxa"/>
            <w:tcBorders>
              <w:top w:val="nil"/>
              <w:left w:val="single" w:color="auto" w:sz="4" w:space="0"/>
              <w:bottom w:val="single" w:color="auto" w:sz="4" w:space="0"/>
              <w:right w:val="nil"/>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43</w:t>
            </w:r>
          </w:p>
        </w:tc>
        <w:tc>
          <w:tcPr>
            <w:tcW w:w="1275" w:type="dxa"/>
            <w:tcBorders>
              <w:top w:val="nil"/>
              <w:left w:val="single" w:color="auto" w:sz="4" w:space="0"/>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14</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5"/>
                <w:szCs w:val="15"/>
              </w:rPr>
            </w:pPr>
            <w:r>
              <w:rPr>
                <w:rFonts w:hint="eastAsia" w:ascii="仿宋_GB2312" w:eastAsia="仿宋_GB2312"/>
                <w:sz w:val="15"/>
                <w:szCs w:val="15"/>
              </w:rPr>
              <w:t>十四、资源勘探工业信息等支出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44</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15</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十五、商业服务业等支出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45</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16</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十六、金融支出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46</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17</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十七、援助其他地区支出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47</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18</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5"/>
                <w:szCs w:val="15"/>
              </w:rPr>
            </w:pPr>
            <w:r>
              <w:rPr>
                <w:rFonts w:hint="eastAsia" w:ascii="仿宋_GB2312" w:eastAsia="仿宋_GB2312"/>
                <w:sz w:val="15"/>
                <w:szCs w:val="15"/>
              </w:rPr>
              <w:t>十八、自然资源海洋气象等支出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48</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19</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十九、住房保障支出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49</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38,479.41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20</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二十、粮油物资储备支出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50</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21</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5"/>
                <w:szCs w:val="15"/>
              </w:rPr>
            </w:pPr>
            <w:r>
              <w:rPr>
                <w:rFonts w:hint="eastAsia" w:ascii="仿宋_GB2312" w:eastAsia="仿宋_GB2312"/>
                <w:sz w:val="15"/>
                <w:szCs w:val="15"/>
              </w:rPr>
              <w:t>二十一、国有资本经营预算支出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51</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22</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5"/>
                <w:szCs w:val="15"/>
              </w:rPr>
            </w:pPr>
            <w:r>
              <w:rPr>
                <w:rFonts w:hint="eastAsia" w:ascii="仿宋_GB2312" w:eastAsia="仿宋_GB2312"/>
                <w:sz w:val="15"/>
                <w:szCs w:val="15"/>
              </w:rPr>
              <w:t>二十二、灾害防治及应急管理支出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52</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23</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二十三、其他支出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53</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45,000.00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24</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二十四、债务还本支出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54</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25</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二十五、债务付息支出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55</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26</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5"/>
                <w:szCs w:val="15"/>
              </w:rPr>
            </w:pPr>
            <w:r>
              <w:rPr>
                <w:rFonts w:hint="eastAsia" w:ascii="仿宋_GB2312" w:eastAsia="仿宋_GB2312"/>
                <w:sz w:val="15"/>
                <w:szCs w:val="15"/>
              </w:rPr>
              <w:t>二十六、抗疫特别国债安排的支出</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ascii="仿宋_GB2312" w:eastAsia="仿宋_GB2312"/>
                <w:sz w:val="18"/>
                <w:szCs w:val="18"/>
              </w:rPr>
              <w:t>56</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10,000.00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sz w:val="18"/>
                <w:szCs w:val="18"/>
              </w:rPr>
            </w:pPr>
            <w:r>
              <w:rPr>
                <w:rFonts w:hint="eastAsia" w:ascii="仿宋_GB2312" w:eastAsia="仿宋_GB2312"/>
                <w:b/>
                <w:bCs/>
                <w:sz w:val="18"/>
                <w:szCs w:val="18"/>
              </w:rPr>
              <w:t>本年收入合计</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b/>
                <w:bCs/>
                <w:sz w:val="18"/>
                <w:szCs w:val="18"/>
              </w:rPr>
            </w:pPr>
            <w:r>
              <w:rPr>
                <w:rFonts w:hint="eastAsia" w:ascii="仿宋_GB2312" w:eastAsia="仿宋_GB2312"/>
                <w:sz w:val="18"/>
                <w:szCs w:val="18"/>
              </w:rPr>
              <w:t>27</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1,286,559.47 </w:t>
            </w:r>
          </w:p>
        </w:tc>
        <w:tc>
          <w:tcPr>
            <w:tcW w:w="255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b/>
                <w:bCs/>
                <w:sz w:val="18"/>
                <w:szCs w:val="18"/>
              </w:rPr>
            </w:pPr>
            <w:r>
              <w:rPr>
                <w:rFonts w:hint="eastAsia" w:ascii="仿宋_GB2312" w:eastAsia="仿宋_GB2312"/>
                <w:b/>
                <w:bCs/>
                <w:sz w:val="18"/>
                <w:szCs w:val="18"/>
              </w:rPr>
              <w:t>本年支出合计</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57</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1,281,276.23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使用非财政拨款结余</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28</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24,246.21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结余分配</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58</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31,176.12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年初结转和结余</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29</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10,954.91 </w:t>
            </w:r>
          </w:p>
        </w:tc>
        <w:tc>
          <w:tcPr>
            <w:tcW w:w="2552" w:type="dxa"/>
            <w:tcBorders>
              <w:top w:val="nil"/>
              <w:left w:val="nil"/>
              <w:bottom w:val="single" w:color="auto" w:sz="4" w:space="0"/>
              <w:right w:val="single" w:color="auto" w:sz="4" w:space="0"/>
            </w:tcBorders>
            <w:vAlign w:val="center"/>
          </w:tcPr>
          <w:p>
            <w:pPr>
              <w:spacing w:line="240" w:lineRule="exact"/>
              <w:rPr>
                <w:rFonts w:ascii="仿宋_GB2312" w:eastAsia="仿宋_GB2312"/>
                <w:sz w:val="18"/>
                <w:szCs w:val="18"/>
              </w:rPr>
            </w:pPr>
            <w:r>
              <w:rPr>
                <w:rFonts w:hint="eastAsia" w:ascii="仿宋_GB2312" w:eastAsia="仿宋_GB2312"/>
                <w:sz w:val="18"/>
                <w:szCs w:val="18"/>
              </w:rPr>
              <w:t>年末结转和结余</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59</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9,308.24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9" w:hRule="exact"/>
        </w:trPr>
        <w:tc>
          <w:tcPr>
            <w:tcW w:w="304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总计</w:t>
            </w:r>
          </w:p>
        </w:tc>
        <w:tc>
          <w:tcPr>
            <w:tcW w:w="465" w:type="dxa"/>
            <w:tcBorders>
              <w:top w:val="nil"/>
              <w:left w:val="single" w:color="auto" w:sz="4" w:space="0"/>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30</w:t>
            </w:r>
          </w:p>
        </w:tc>
        <w:tc>
          <w:tcPr>
            <w:tcW w:w="1276"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1,321,760.59 </w:t>
            </w:r>
          </w:p>
        </w:tc>
        <w:tc>
          <w:tcPr>
            <w:tcW w:w="2552"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b/>
                <w:bCs/>
                <w:sz w:val="18"/>
                <w:szCs w:val="18"/>
              </w:rPr>
              <w:t>总计</w:t>
            </w:r>
          </w:p>
        </w:tc>
        <w:tc>
          <w:tcPr>
            <w:tcW w:w="567" w:type="dxa"/>
            <w:tcBorders>
              <w:top w:val="nil"/>
              <w:left w:val="nil"/>
              <w:bottom w:val="single" w:color="auto" w:sz="4" w:space="0"/>
              <w:right w:val="single" w:color="auto" w:sz="4" w:space="0"/>
            </w:tcBorders>
            <w:vAlign w:val="center"/>
          </w:tcPr>
          <w:p>
            <w:pPr>
              <w:spacing w:line="240" w:lineRule="exact"/>
              <w:jc w:val="center"/>
              <w:rPr>
                <w:rFonts w:ascii="仿宋_GB2312" w:eastAsia="仿宋_GB2312"/>
                <w:sz w:val="18"/>
                <w:szCs w:val="18"/>
              </w:rPr>
            </w:pPr>
            <w:r>
              <w:rPr>
                <w:rFonts w:hint="eastAsia" w:ascii="仿宋_GB2312" w:eastAsia="仿宋_GB2312"/>
                <w:sz w:val="18"/>
                <w:szCs w:val="18"/>
              </w:rPr>
              <w:t>60</w:t>
            </w:r>
          </w:p>
        </w:tc>
        <w:tc>
          <w:tcPr>
            <w:tcW w:w="1275" w:type="dxa"/>
            <w:tcBorders>
              <w:top w:val="nil"/>
              <w:left w:val="nil"/>
              <w:bottom w:val="single" w:color="auto" w:sz="4" w:space="0"/>
              <w:right w:val="single" w:color="auto" w:sz="4" w:space="0"/>
            </w:tcBorders>
            <w:vAlign w:val="center"/>
          </w:tcPr>
          <w:p>
            <w:pPr>
              <w:spacing w:line="240" w:lineRule="exact"/>
              <w:jc w:val="right"/>
              <w:rPr>
                <w:rFonts w:ascii="仿宋_GB2312" w:eastAsia="仿宋_GB2312"/>
                <w:sz w:val="15"/>
                <w:szCs w:val="15"/>
              </w:rPr>
            </w:pPr>
            <w:r>
              <w:rPr>
                <w:rFonts w:hint="eastAsia" w:ascii="仿宋_GB2312" w:eastAsia="仿宋_GB2312"/>
                <w:sz w:val="15"/>
                <w:szCs w:val="15"/>
              </w:rPr>
              <w:t xml:space="preserve"> 1,321,760.59 </w:t>
            </w:r>
          </w:p>
        </w:tc>
      </w:tr>
    </w:tbl>
    <w:p>
      <w:pPr>
        <w:ind w:firstLine="88" w:firstLineChars="50"/>
        <w:rPr>
          <w:rFonts w:ascii="楷体_GB2312" w:eastAsia="楷体_GB2312"/>
          <w:sz w:val="28"/>
          <w:szCs w:val="28"/>
        </w:rPr>
        <w:sectPr>
          <w:pgSz w:w="11906" w:h="16838"/>
          <w:pgMar w:top="1701" w:right="1531" w:bottom="1701" w:left="1531" w:header="0" w:footer="1418" w:gutter="0"/>
          <w:cols w:space="720" w:num="1"/>
          <w:docGrid w:type="linesAndChars" w:linePitch="610" w:charSpace="-849"/>
        </w:sectPr>
      </w:pPr>
      <w:r>
        <w:rPr>
          <w:rFonts w:hint="eastAsia" w:ascii="仿宋_GB2312" w:hAnsi="宋体" w:eastAsia="仿宋_GB2312"/>
          <w:sz w:val="18"/>
          <w:szCs w:val="18"/>
        </w:rPr>
        <w:t>注：1.本表反映部门本年度的总收支和年末结转结余情况。2.本套报表金额单位转换时可能存在尾数误差。</w:t>
      </w:r>
    </w:p>
    <w:p>
      <w:pPr>
        <w:jc w:val="center"/>
        <w:rPr>
          <w:rFonts w:ascii="方正小标宋简体" w:eastAsia="方正小标宋简体"/>
          <w:sz w:val="44"/>
          <w:szCs w:val="44"/>
        </w:rPr>
      </w:pPr>
      <w:r>
        <w:rPr>
          <w:rFonts w:hint="eastAsia" w:ascii="方正小标宋简体" w:eastAsia="方正小标宋简体"/>
          <w:sz w:val="44"/>
          <w:szCs w:val="44"/>
        </w:rPr>
        <w:t>收入决算表</w:t>
      </w:r>
    </w:p>
    <w:p>
      <w:pPr>
        <w:wordWrap w:val="0"/>
        <w:spacing w:line="400" w:lineRule="exact"/>
        <w:jc w:val="right"/>
        <w:rPr>
          <w:rFonts w:ascii="楷体_GB2312" w:eastAsia="楷体_GB2312"/>
          <w:sz w:val="28"/>
          <w:szCs w:val="28"/>
        </w:rPr>
      </w:pPr>
      <w:r>
        <w:rPr>
          <w:rFonts w:hint="eastAsia" w:ascii="楷体_GB2312" w:eastAsia="楷体_GB2312"/>
          <w:sz w:val="28"/>
          <w:szCs w:val="28"/>
        </w:rPr>
        <w:t xml:space="preserve"> 公开02表 </w:t>
      </w:r>
    </w:p>
    <w:p>
      <w:pPr>
        <w:tabs>
          <w:tab w:val="left" w:pos="13467"/>
        </w:tabs>
        <w:wordWrap w:val="0"/>
        <w:spacing w:line="400" w:lineRule="exact"/>
        <w:ind w:right="107"/>
        <w:jc w:val="right"/>
        <w:rPr>
          <w:rFonts w:ascii="楷体_GB2312" w:eastAsia="楷体_GB2312"/>
          <w:sz w:val="28"/>
          <w:szCs w:val="28"/>
        </w:rPr>
      </w:pPr>
      <w:r>
        <w:rPr>
          <w:rFonts w:hint="eastAsia" w:ascii="楷体_GB2312" w:eastAsia="楷体_GB2312"/>
          <w:sz w:val="28"/>
          <w:szCs w:val="28"/>
        </w:rPr>
        <w:t xml:space="preserve">部门：青岛市卫生健康委员会（汇总）                             </w:t>
      </w:r>
      <w:r>
        <w:rPr>
          <w:rFonts w:ascii="楷体_GB2312" w:eastAsia="楷体_GB2312"/>
          <w:sz w:val="28"/>
          <w:szCs w:val="28"/>
        </w:rPr>
        <w:t xml:space="preserve">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金额单位：万元</w:t>
      </w:r>
    </w:p>
    <w:tbl>
      <w:tblPr>
        <w:tblStyle w:val="7"/>
        <w:tblW w:w="1394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58"/>
        <w:gridCol w:w="5310"/>
        <w:gridCol w:w="1488"/>
        <w:gridCol w:w="1301"/>
        <w:gridCol w:w="791"/>
        <w:gridCol w:w="1487"/>
        <w:gridCol w:w="884"/>
        <w:gridCol w:w="452"/>
        <w:gridCol w:w="117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blHeader/>
        </w:trPr>
        <w:tc>
          <w:tcPr>
            <w:tcW w:w="6368"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项       目</w:t>
            </w:r>
          </w:p>
        </w:tc>
        <w:tc>
          <w:tcPr>
            <w:tcW w:w="1488"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本年收入合计</w:t>
            </w:r>
          </w:p>
        </w:tc>
        <w:tc>
          <w:tcPr>
            <w:tcW w:w="1301"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财政拨款收入</w:t>
            </w:r>
          </w:p>
        </w:tc>
        <w:tc>
          <w:tcPr>
            <w:tcW w:w="791"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上级补助收入</w:t>
            </w:r>
          </w:p>
        </w:tc>
        <w:tc>
          <w:tcPr>
            <w:tcW w:w="1487"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ind w:firstLine="176" w:firstLineChars="100"/>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884"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经营收入</w:t>
            </w:r>
          </w:p>
        </w:tc>
        <w:tc>
          <w:tcPr>
            <w:tcW w:w="452"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rPr>
                <w:rFonts w:ascii="仿宋_GB2312" w:hAnsi="宋体" w:eastAsia="仿宋_GB2312" w:cs="宋体"/>
                <w:kern w:val="0"/>
                <w:sz w:val="10"/>
                <w:szCs w:val="10"/>
              </w:rPr>
            </w:pPr>
            <w:r>
              <w:rPr>
                <w:rFonts w:hint="eastAsia" w:ascii="仿宋_GB2312" w:hAnsi="宋体" w:eastAsia="仿宋_GB2312" w:cs="宋体"/>
                <w:kern w:val="0"/>
                <w:sz w:val="10"/>
                <w:szCs w:val="10"/>
              </w:rPr>
              <w:t>附属单位上缴收入</w:t>
            </w:r>
          </w:p>
        </w:tc>
        <w:tc>
          <w:tcPr>
            <w:tcW w:w="1177"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55" w:hRule="atLeast"/>
          <w:tblHeader/>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功能分类  科目编码</w:t>
            </w:r>
          </w:p>
        </w:tc>
        <w:tc>
          <w:tcPr>
            <w:tcW w:w="531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科目名称</w:t>
            </w:r>
          </w:p>
        </w:tc>
        <w:tc>
          <w:tcPr>
            <w:tcW w:w="148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30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791"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48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884"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45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17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368"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栏 次</w:t>
            </w:r>
          </w:p>
        </w:tc>
        <w:tc>
          <w:tcPr>
            <w:tcW w:w="14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301"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91"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487"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84"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452"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177"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6368"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 计</w:t>
            </w:r>
          </w:p>
        </w:tc>
        <w:tc>
          <w:tcPr>
            <w:tcW w:w="1488"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1,286,559.47 </w:t>
            </w:r>
          </w:p>
        </w:tc>
        <w:tc>
          <w:tcPr>
            <w:tcW w:w="1301"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243,662.17 </w:t>
            </w:r>
          </w:p>
        </w:tc>
        <w:tc>
          <w:tcPr>
            <w:tcW w:w="791"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15.00 </w:t>
            </w:r>
          </w:p>
        </w:tc>
        <w:tc>
          <w:tcPr>
            <w:tcW w:w="1487"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1,029,386.02 </w:t>
            </w:r>
          </w:p>
        </w:tc>
        <w:tc>
          <w:tcPr>
            <w:tcW w:w="884"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396.73 </w:t>
            </w:r>
          </w:p>
        </w:tc>
        <w:tc>
          <w:tcPr>
            <w:tcW w:w="45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13,099.56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一般公共服务支出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62.43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62.43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20132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组织事务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2013299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其他组织事务支出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20138</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市场监督管理事务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42.43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42.43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2013804</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市场主体管理</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42.43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42.43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教育支出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9,354.35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8,357.33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993.77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20503</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职业教育</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9,099.20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8,102.18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993.77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2050302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中等职业教育</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9,078.89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8,081.86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993.77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2050305</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高等职业教育</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20.31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20.31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20509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教育费附加安排的支出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255.15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255.15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2050999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其他教育费附加安排的支出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255.15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255.15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科学技术支出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976.72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976.72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20604</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技术研究与开发</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821.20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821.20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2060499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其他技术研究与开发支出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821.20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821.20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其他科学技术支出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155.53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155.53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2069901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科技奖励</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2069999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其他科学技术支出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社会保障和就业支出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35,600.28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35,600.23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20805</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行政事业单位养老支出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35,325.98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35,325.98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事业单位离退休</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7.07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7.07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2080505</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机关事业单位基本养老保险缴费支出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23,570.25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23,570.25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机关事业单位职业年金缴费支出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11,748.66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11,748.66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20810</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社会福利</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274.30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274.25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2081005</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社会福利事业单位</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274.30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274.25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卫生健康支出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1,145,953.59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140,845.31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15.00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991,600.31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396.73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13,096.25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卫生健康管理事务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5,699.55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5,695.28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2100101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行政运行</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4,875.47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4,874.19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2100199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其他卫生健康管理事务支出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824.08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821.08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公立医院</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1,058,587.49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59,169.89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15.00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986,485.18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12,917.41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综合医院</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729,919.44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28,070.05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0.00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693,153.26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8,686.13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中医（民族）医院</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135,019.18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4,698.37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127,284.52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3,036.29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2100203</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传染病医院</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32,032.79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4,942.98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27,072.54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2100205</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精神病医院</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17,891.16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870.77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16,882.71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137.68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2100207</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儿童医院</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114,921.37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2,808.23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111,109.24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1,003.90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2100208</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其他专科医院</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11,560.42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536.37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5.00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10,982.91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36.14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其他公立医院支出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17,243.13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17,243.13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21004</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公共卫生</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75,299.83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70,025.07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5,115.13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159.64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疾病预防控制机构</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13,052.92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7,838.72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5,109.63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104.58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卫生监督机构</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2,667.30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2,667.24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0.06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2100403</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妇幼保健机构</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1,446.05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1,445.91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0.14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2100405</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应急救治机构</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2,600.06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2,599.47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0.59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采供血机构</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14,574.43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14,560.13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5.50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2100407</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其他专业公共卫生机构</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904.71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887.56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2100408</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基本公共卫生服务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1,505.78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1,477.45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28.33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重大公共卫生服务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4,604.15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4,604.15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2100410</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突发公共卫生事件应急处理</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15,342.21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15,342.21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其他公共卫生支出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18,602.22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18,602.22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中医药</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130.04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130.04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2100601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中医（民族医）药专项</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130.04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130.04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21007</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计划生育事务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330.76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319.85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2100716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计划生育机构</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293.12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292.20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0.92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2100799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其他计划生育事务支出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37.64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27.64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21016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老龄卫生健康事务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272.47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272.47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2101601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老龄卫生健康事务</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272.47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272.47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其他卫生健康支出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5,633.46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5,232.72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396.73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2109901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其他卫生健康支出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5,633.46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5,232.72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396.73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4.01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1,122.35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1,122.35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城乡社区规划与管理</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22.35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22.35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2120201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城乡社区规划与管理</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22.35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22.35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21203</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城乡社区公共设施</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2120399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其他城乡社区公共设施支出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商业服务业等支出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21606</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涉外发展服务支出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2160699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其他涉外发展服务支出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住房保障支出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38,479.41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1,687.47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36,791.94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22102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住房改革支出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38,479.41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1,687.47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36,791.94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2210201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住房公积金</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38,479.41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1,687.47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36,791.94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229</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22904</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其他政府性基金及对应专项债务收入安排的支出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2290402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其他地方自行试点项目收益专项债券收入安排的支出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45,000.00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45,000.00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234</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抗疫特别国债安排的支出</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23401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基础设施建设</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2340101</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公共卫生体系建设</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6,500.00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6,500.00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58"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2340102</w:t>
            </w:r>
          </w:p>
        </w:tc>
        <w:tc>
          <w:tcPr>
            <w:tcW w:w="53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重大疫情防控救治体系建设</w:t>
            </w:r>
          </w:p>
        </w:tc>
        <w:tc>
          <w:tcPr>
            <w:tcW w:w="148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3,500.00 </w:t>
            </w:r>
          </w:p>
        </w:tc>
        <w:tc>
          <w:tcPr>
            <w:tcW w:w="130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3,500.00 </w:t>
            </w:r>
          </w:p>
        </w:tc>
        <w:tc>
          <w:tcPr>
            <w:tcW w:w="791"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48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88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45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7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ascii="仿宋_GB2312" w:hAnsi="宋体" w:eastAsia="仿宋_GB2312"/>
          <w:sz w:val="22"/>
          <w:szCs w:val="22"/>
        </w:rPr>
      </w:pPr>
      <w:r>
        <w:rPr>
          <w:rFonts w:hint="eastAsia" w:ascii="仿宋_GB2312" w:hAnsi="宋体" w:eastAsia="仿宋_GB2312"/>
          <w:sz w:val="22"/>
          <w:szCs w:val="22"/>
        </w:rPr>
        <w:t>注：本表反映部门本年度取得的各项收入情况。</w:t>
      </w:r>
    </w:p>
    <w:p>
      <w:pPr>
        <w:jc w:val="center"/>
        <w:rPr>
          <w:rFonts w:ascii="方正小标宋简体" w:eastAsia="方正小标宋简体"/>
          <w:sz w:val="44"/>
          <w:szCs w:val="44"/>
        </w:rPr>
      </w:pPr>
    </w:p>
    <w:p>
      <w:pPr>
        <w:rPr>
          <w:rFonts w:ascii="方正小标宋简体" w:eastAsia="方正小标宋简体"/>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t>支出决算表</w:t>
      </w:r>
    </w:p>
    <w:p>
      <w:pPr>
        <w:spacing w:line="400" w:lineRule="exact"/>
        <w:jc w:val="right"/>
        <w:rPr>
          <w:rFonts w:ascii="楷体_GB2312" w:eastAsia="楷体_GB2312"/>
          <w:sz w:val="28"/>
          <w:szCs w:val="28"/>
        </w:rPr>
      </w:pPr>
      <w:r>
        <w:rPr>
          <w:rFonts w:hint="eastAsia" w:ascii="楷体_GB2312" w:eastAsia="楷体_GB2312"/>
          <w:sz w:val="28"/>
          <w:szCs w:val="28"/>
        </w:rPr>
        <w:t xml:space="preserve">                                                                                   公开03表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 部门：青岛市卫生健康委员会（汇总）                                              金额单位：万元</w:t>
      </w:r>
    </w:p>
    <w:tbl>
      <w:tblPr>
        <w:tblStyle w:val="7"/>
        <w:tblW w:w="141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62"/>
        <w:gridCol w:w="4350"/>
        <w:gridCol w:w="1922"/>
        <w:gridCol w:w="1923"/>
        <w:gridCol w:w="1668"/>
        <w:gridCol w:w="1039"/>
        <w:gridCol w:w="1137"/>
        <w:gridCol w:w="10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blHeader/>
        </w:trPr>
        <w:tc>
          <w:tcPr>
            <w:tcW w:w="5412"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       目</w:t>
            </w:r>
          </w:p>
        </w:tc>
        <w:tc>
          <w:tcPr>
            <w:tcW w:w="1922"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本年支出合计</w:t>
            </w:r>
          </w:p>
        </w:tc>
        <w:tc>
          <w:tcPr>
            <w:tcW w:w="1923"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基本支出</w:t>
            </w:r>
          </w:p>
        </w:tc>
        <w:tc>
          <w:tcPr>
            <w:tcW w:w="1668"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项目支出</w:t>
            </w:r>
          </w:p>
        </w:tc>
        <w:tc>
          <w:tcPr>
            <w:tcW w:w="1039"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3"/>
                <w:szCs w:val="13"/>
              </w:rPr>
            </w:pPr>
            <w:r>
              <w:rPr>
                <w:rFonts w:hint="eastAsia" w:ascii="仿宋_GB2312" w:hAnsi="宋体" w:eastAsia="仿宋_GB2312" w:cs="宋体"/>
                <w:color w:val="000000"/>
                <w:kern w:val="0"/>
                <w:sz w:val="13"/>
                <w:szCs w:val="13"/>
              </w:rPr>
              <w:t>上缴上级支出</w:t>
            </w:r>
          </w:p>
        </w:tc>
        <w:tc>
          <w:tcPr>
            <w:tcW w:w="1137"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经营支出    </w:t>
            </w:r>
          </w:p>
        </w:tc>
        <w:tc>
          <w:tcPr>
            <w:tcW w:w="1039" w:type="dxa"/>
            <w:vMerge w:val="restart"/>
            <w:tcBorders>
              <w:top w:val="single" w:color="auto" w:sz="8" w:space="0"/>
              <w:left w:val="single" w:color="auto" w:sz="8" w:space="0"/>
              <w:bottom w:val="single" w:color="000000"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3"/>
                <w:szCs w:val="13"/>
              </w:rPr>
            </w:pPr>
            <w:r>
              <w:rPr>
                <w:rFonts w:hint="eastAsia" w:ascii="仿宋_GB2312" w:hAnsi="宋体" w:eastAsia="仿宋_GB2312" w:cs="宋体"/>
                <w:kern w:val="0"/>
                <w:sz w:val="13"/>
                <w:szCs w:val="13"/>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91" w:hRule="atLeast"/>
          <w:tblHeader/>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功能分类  科目编码</w:t>
            </w:r>
          </w:p>
        </w:tc>
        <w:tc>
          <w:tcPr>
            <w:tcW w:w="435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科目名称</w:t>
            </w:r>
          </w:p>
        </w:tc>
        <w:tc>
          <w:tcPr>
            <w:tcW w:w="1922"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923"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668"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03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137"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039"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5412"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栏 次</w:t>
            </w:r>
          </w:p>
        </w:tc>
        <w:tc>
          <w:tcPr>
            <w:tcW w:w="1922"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923"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66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39"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137"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39"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5412"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 计</w:t>
            </w:r>
          </w:p>
        </w:tc>
        <w:tc>
          <w:tcPr>
            <w:tcW w:w="1922"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1,281,276.23 </w:t>
            </w:r>
          </w:p>
        </w:tc>
        <w:tc>
          <w:tcPr>
            <w:tcW w:w="192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1,113,180.87 </w:t>
            </w:r>
          </w:p>
        </w:tc>
        <w:tc>
          <w:tcPr>
            <w:tcW w:w="166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167,672.54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422.83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一般公共服务支出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62.43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62.43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20132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组织事务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2013299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其他组织事务支出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20138</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市场监督管理事务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42.43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42.43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2013804</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市场主体管理</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42.43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42.43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教育支出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9,480.45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7,511.19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1,969.26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20503</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职业教育</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9,225.30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7,511.19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1,714.11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2050302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中等职业教育</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9,204.98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7,511.19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1,693.79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2050305</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高等职业教育</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20.31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20.31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20509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教育费附加安排的支出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255.15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255.15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2050999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其他教育费附加安排的支出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255.15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255.15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科学技术支出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926.72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926.72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20604</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技术研究与开发</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771.20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771.20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2060499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其他技术研究与开发支出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771.20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771.20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其他科学技术支出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155.53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155.53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2069901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科技奖励</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2069999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其他科学技术支出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社会保障和就业支出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35,600.23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35,600.23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20805</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行政事业单位养老支出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35,325.98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35,325.98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事业单位离退休</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7.07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7.07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2080505</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机关事业单位基本养老保险缴费支出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23,570.25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23,570.25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机关事业单位职业年金缴费支出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11,748.66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11,748.66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20810</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社会福利</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274.25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274.25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2081005</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社会福利事业单位</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274.25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274.25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卫生健康支出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1,140,594.32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1,031,590.04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108,581.45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422.83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卫生健康管理事务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5,702.34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5,656.99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45.34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2100101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行政运行</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4,874.51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4,874.51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2100199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其他卫生健康管理事务支出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827.82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782.48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45.34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公立医院</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1,053,803.26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1,005,128.70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48,674.56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综合医院</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725,880.03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704,106.54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21,773.48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中医（民族）医院</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123,362.75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122,609.12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753.63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2100203</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传染病医院</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28,149.03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24,502.32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3,646.71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2100205</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精神病医院</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18,827.37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18,605.83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221.54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2100207</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儿童医院</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127,338.90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122,550.05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4,788.85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2100208</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其他专科医院</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13,000.80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12,754.84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245.96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其他公立医院支出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17,244.38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17,244.38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21004</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公共卫生</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74,710.65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20,378.58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54,332.06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疾病预防控制机构</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12,929.32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6,815.86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6,113.47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卫生监督机构</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2,667.30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2,418.31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248.99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2100403</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妇幼保健机构</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1,445.91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1,418.79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27.12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2100405</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应急救治机构</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2,599.47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2,599.47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采供血机构</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14,562.84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6,226.06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8,336.78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2100407</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其他专业公共卫生机构</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900.09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900.09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2100408</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基本公共卫生服务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1,505.78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1,505.78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重大公共卫生服务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4,604.15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4,604.15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2100410</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突发公共卫生事件应急处理</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14,893.56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14,893.56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其他公共卫生支出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18,602.22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18,602.22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中医药</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130.04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130.04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2100601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中医（民族医）药专项</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130.04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130.04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21007</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计划生育事务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319.88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292.24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27.64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2100716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计划生育机构</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292.24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292.24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2100799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其他计划生育事务支出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27.64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27.64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21016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老龄卫生健康事务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272.47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272.47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2101601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老龄卫生健康事务</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272.47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272.47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其他卫生健康支出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5,655.68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133.53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5,099.33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422.83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2109901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其他卫生健康支出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5,655.68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133.53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5,099.33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422.83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1,122.35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1,122.35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城乡社区规划与管理</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22.35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22.35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2120201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城乡社区规划与管理</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22.35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22.35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21203</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城乡社区公共设施</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2120399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其他城乡社区公共设施支出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商业服务业等支出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21606</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涉外发展服务支出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2160699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其他涉外发展服务支出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住房保障支出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38,479.41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38,479.41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22102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住房改革支出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38,479.41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38,479.41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2210201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住房公积金</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38,479.41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38,479.41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229</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22904</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其他政府性基金及对应专项债务收入安排的支出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45,000.00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2290402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8"/>
                <w:szCs w:val="18"/>
              </w:rPr>
              <w:t xml:space="preserve">  </w:t>
            </w:r>
            <w:r>
              <w:rPr>
                <w:rFonts w:hint="eastAsia" w:ascii="仿宋_GB2312" w:hAnsi="宋体" w:eastAsia="仿宋_GB2312" w:cs="宋体"/>
                <w:kern w:val="0"/>
                <w:sz w:val="16"/>
                <w:szCs w:val="16"/>
              </w:rPr>
              <w:t>其他地方自行试点项目收益专项债券收入安排的支出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45,000.00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45,000.00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234</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抗疫特别国债安排的支出</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23401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基础设施建设</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10,000.00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2340101</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公共卫生体系建设</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6,500.00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6,500.00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062"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2340102</w:t>
            </w:r>
          </w:p>
        </w:tc>
        <w:tc>
          <w:tcPr>
            <w:tcW w:w="435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重大疫情防控救治体系建设</w:t>
            </w:r>
          </w:p>
        </w:tc>
        <w:tc>
          <w:tcPr>
            <w:tcW w:w="1922" w:type="dxa"/>
            <w:tcBorders>
              <w:top w:val="nil"/>
              <w:left w:val="nil"/>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3,500.00 </w:t>
            </w:r>
          </w:p>
        </w:tc>
        <w:tc>
          <w:tcPr>
            <w:tcW w:w="1923" w:type="dxa"/>
            <w:tcBorders>
              <w:top w:val="nil"/>
              <w:left w:val="single" w:color="auto" w:sz="8" w:space="0"/>
              <w:bottom w:val="single" w:color="auto" w:sz="8" w:space="0"/>
              <w:right w:val="nil"/>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668" w:type="dxa"/>
            <w:tcBorders>
              <w:top w:val="nil"/>
              <w:left w:val="single" w:color="auto" w:sz="8" w:space="0"/>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3,500.00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137"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3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ascii="仿宋_GB2312" w:hAnsi="宋体" w:eastAsia="仿宋_GB2312"/>
          <w:sz w:val="22"/>
          <w:szCs w:val="22"/>
        </w:rPr>
      </w:pPr>
      <w:r>
        <w:rPr>
          <w:rFonts w:hint="eastAsia" w:ascii="仿宋_GB2312" w:hAnsi="宋体" w:eastAsia="仿宋_GB2312"/>
          <w:sz w:val="22"/>
          <w:szCs w:val="22"/>
        </w:rPr>
        <w:t>注：本表反映部门本年度各项支出情况。</w:t>
      </w: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财政拨款收入支出决算总表</w:t>
      </w:r>
    </w:p>
    <w:p>
      <w:pPr>
        <w:spacing w:line="400" w:lineRule="exact"/>
        <w:jc w:val="right"/>
        <w:rPr>
          <w:rFonts w:ascii="楷体_GB2312" w:eastAsia="楷体_GB2312"/>
          <w:sz w:val="28"/>
          <w:szCs w:val="28"/>
        </w:rPr>
      </w:pPr>
      <w:r>
        <w:rPr>
          <w:rFonts w:hint="eastAsia" w:ascii="楷体_GB2312" w:eastAsia="楷体_GB2312"/>
          <w:sz w:val="28"/>
          <w:szCs w:val="28"/>
        </w:rPr>
        <w:t xml:space="preserve">     公开04表</w:t>
      </w:r>
    </w:p>
    <w:p>
      <w:pPr>
        <w:spacing w:line="400" w:lineRule="exact"/>
        <w:jc w:val="right"/>
        <w:rPr>
          <w:rFonts w:ascii="楷体_GB2312" w:eastAsia="楷体_GB2312"/>
          <w:sz w:val="28"/>
          <w:szCs w:val="28"/>
        </w:rPr>
      </w:pPr>
      <w:r>
        <w:rPr>
          <w:rFonts w:hint="eastAsia" w:ascii="楷体_GB2312" w:eastAsia="楷体_GB2312"/>
          <w:sz w:val="28"/>
          <w:szCs w:val="28"/>
        </w:rPr>
        <w:t>部门：青岛市卫生健康委员会（汇总）                                               金额单位：万元</w:t>
      </w:r>
    </w:p>
    <w:tbl>
      <w:tblPr>
        <w:tblStyle w:val="7"/>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2847"/>
        <w:gridCol w:w="570"/>
        <w:gridCol w:w="1418"/>
        <w:gridCol w:w="2672"/>
        <w:gridCol w:w="588"/>
        <w:gridCol w:w="1559"/>
        <w:gridCol w:w="1276"/>
        <w:gridCol w:w="1276"/>
        <w:gridCol w:w="12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blHeader/>
        </w:trPr>
        <w:tc>
          <w:tcPr>
            <w:tcW w:w="4835" w:type="dxa"/>
            <w:gridSpan w:val="3"/>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收 入</w:t>
            </w:r>
          </w:p>
        </w:tc>
        <w:tc>
          <w:tcPr>
            <w:tcW w:w="8647" w:type="dxa"/>
            <w:gridSpan w:val="6"/>
            <w:tcBorders>
              <w:top w:val="single" w:color="auto" w:sz="8" w:space="0"/>
              <w:left w:val="nil"/>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90" w:hRule="atLeast"/>
          <w:tblHeader/>
        </w:trPr>
        <w:tc>
          <w:tcPr>
            <w:tcW w:w="2847"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   目</w:t>
            </w:r>
          </w:p>
        </w:tc>
        <w:tc>
          <w:tcPr>
            <w:tcW w:w="570"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行次</w:t>
            </w:r>
          </w:p>
        </w:tc>
        <w:tc>
          <w:tcPr>
            <w:tcW w:w="141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金额 </w:t>
            </w:r>
          </w:p>
        </w:tc>
        <w:tc>
          <w:tcPr>
            <w:tcW w:w="2672"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    目</w:t>
            </w:r>
          </w:p>
        </w:tc>
        <w:tc>
          <w:tcPr>
            <w:tcW w:w="588"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行次</w:t>
            </w:r>
          </w:p>
        </w:tc>
        <w:tc>
          <w:tcPr>
            <w:tcW w:w="1559"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合计</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一般公共预算财政拨款</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政府性基金预算财政拨款</w:t>
            </w:r>
          </w:p>
        </w:tc>
        <w:tc>
          <w:tcPr>
            <w:tcW w:w="1276" w:type="dxa"/>
            <w:tcBorders>
              <w:top w:val="nil"/>
              <w:left w:val="nil"/>
              <w:bottom w:val="single" w:color="auto" w:sz="8" w:space="0"/>
              <w:right w:val="single" w:color="auto" w:sz="8" w:space="0"/>
            </w:tcBorders>
            <w:vAlign w:val="top"/>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4"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栏  次</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p>
        </w:tc>
        <w:tc>
          <w:tcPr>
            <w:tcW w:w="141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672"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栏  次</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p>
        </w:tc>
        <w:tc>
          <w:tcPr>
            <w:tcW w:w="1559"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276"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276" w:type="dxa"/>
            <w:tcBorders>
              <w:top w:val="nil"/>
              <w:left w:val="nil"/>
              <w:bottom w:val="single" w:color="auto" w:sz="8" w:space="0"/>
              <w:right w:val="single" w:color="auto" w:sz="8" w:space="0"/>
            </w:tcBorders>
            <w:vAlign w:val="top"/>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一、一般公共预算财政拨款</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188,662.17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一、一般公共服务支出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33</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62.43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62.43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二、政府性基金预算财政拨款</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55,000.00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二、外交支出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34</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三、国有资本经营预算财政拨款</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三、国防支出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35</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四、公共安全支出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36</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五、教育支出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37</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8,357.33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8,357.33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六、科学技术支出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38</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926.72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926.72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七、文化旅游体育与传媒支出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39</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八、社会保障和就业支出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35,600.23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35,600.23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9</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九、卫生健康支出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41</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143,864.30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143,864.30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十、节能环保支出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42</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11</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十一、城乡社区支出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43</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1,122.35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1,122.35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十二、农林水支出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44</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13</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十三、交通运输支出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45</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14</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十四、资源勘探工业信息等支出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46</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十五、商业服务业等支出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47</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16</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十六、金融支出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48</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17</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十七、援助其他地区支出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49</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18</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十八、自然资源海洋气象等支出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50</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19</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十九、住房保障支出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51</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1,687.47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1,687.47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二十、粮油物资储备支出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52</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21</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二十一、国有资本经营预算支出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53</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22</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二十二、灾害防治及应急管理支出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54</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23</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二十三、其他支出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45,000.00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45,000.00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24</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二十四、债务还本支出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56</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二十五、债务付息支出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57</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26</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6"/>
                <w:szCs w:val="16"/>
              </w:rPr>
            </w:pPr>
            <w:r>
              <w:rPr>
                <w:rFonts w:hint="eastAsia" w:ascii="仿宋_GB2312" w:hAnsi="宋体" w:eastAsia="仿宋_GB2312" w:cs="宋体"/>
                <w:kern w:val="0"/>
                <w:sz w:val="16"/>
                <w:szCs w:val="16"/>
              </w:rPr>
              <w:t>二十六、抗疫特别国债安排的支出</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58</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10,000.00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10,000.00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本年收入合计</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27</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243,662.17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本年支出合计</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59</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246,631.15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191,631.15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55,000.00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年初财政拨款结转和结余</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28</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7,154.95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年末财政拨款结转和结余</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60</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4,185.96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4,185.96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一般公共预算财政拨款</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29</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7,154.95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61</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政府性基金预算财政拨款</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30</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62</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国有资本经营预算财政拨款</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31</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63</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2847"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总计</w:t>
            </w:r>
          </w:p>
        </w:tc>
        <w:tc>
          <w:tcPr>
            <w:tcW w:w="57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32</w:t>
            </w:r>
          </w:p>
        </w:tc>
        <w:tc>
          <w:tcPr>
            <w:tcW w:w="1418"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250,817.12 </w:t>
            </w:r>
          </w:p>
        </w:tc>
        <w:tc>
          <w:tcPr>
            <w:tcW w:w="267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总计</w:t>
            </w:r>
          </w:p>
        </w:tc>
        <w:tc>
          <w:tcPr>
            <w:tcW w:w="588"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64</w:t>
            </w:r>
          </w:p>
        </w:tc>
        <w:tc>
          <w:tcPr>
            <w:tcW w:w="1559"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250,817.12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195,817.12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55,000.00 </w:t>
            </w:r>
          </w:p>
        </w:tc>
        <w:tc>
          <w:tcPr>
            <w:tcW w:w="127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r>
        <w:rPr>
          <w:rFonts w:hint="eastAsia" w:ascii="仿宋_GB2312" w:hAnsi="宋体" w:eastAsia="仿宋_GB2312"/>
          <w:sz w:val="22"/>
          <w:szCs w:val="22"/>
        </w:rPr>
        <w:t>注：本表反映部门本年度一般公共预算财政拨款、政府性基金预算财政拨款和国有资本经营预算财政拨款的总收支和年末结转结余情况。</w:t>
      </w: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公开05表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部门：青岛市卫生健康委员会（汇总）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7"/>
        <w:tblW w:w="13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16"/>
        <w:gridCol w:w="3402"/>
        <w:gridCol w:w="2694"/>
        <w:gridCol w:w="2835"/>
        <w:gridCol w:w="26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11" w:hRule="atLeast"/>
          <w:tblHeader/>
        </w:trPr>
        <w:tc>
          <w:tcPr>
            <w:tcW w:w="5118"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8222" w:type="dxa"/>
            <w:gridSpan w:val="3"/>
            <w:tcBorders>
              <w:top w:val="single" w:color="auto" w:sz="8" w:space="0"/>
              <w:left w:val="nil"/>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05" w:hRule="atLeast"/>
          <w:tblHeader/>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功能分类科目编码</w:t>
            </w:r>
          </w:p>
        </w:tc>
        <w:tc>
          <w:tcPr>
            <w:tcW w:w="3402"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科目名称</w:t>
            </w:r>
          </w:p>
        </w:tc>
        <w:tc>
          <w:tcPr>
            <w:tcW w:w="2694"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小计</w:t>
            </w:r>
          </w:p>
        </w:tc>
        <w:tc>
          <w:tcPr>
            <w:tcW w:w="2835"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基本支出</w:t>
            </w:r>
          </w:p>
        </w:tc>
        <w:tc>
          <w:tcPr>
            <w:tcW w:w="2693"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5118" w:type="dxa"/>
            <w:gridSpan w:val="2"/>
            <w:tcBorders>
              <w:top w:val="nil"/>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栏  次</w:t>
            </w:r>
          </w:p>
        </w:tc>
        <w:tc>
          <w:tcPr>
            <w:tcW w:w="2694"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835"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693"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5118"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color w:val="000000"/>
                <w:kern w:val="0"/>
                <w:sz w:val="18"/>
                <w:szCs w:val="18"/>
              </w:rPr>
            </w:pPr>
            <w:r>
              <w:rPr>
                <w:rFonts w:hint="eastAsia" w:ascii="仿宋_GB2312" w:hAnsi="宋体" w:eastAsia="仿宋_GB2312" w:cs="宋体"/>
                <w:kern w:val="0"/>
                <w:sz w:val="18"/>
                <w:szCs w:val="18"/>
              </w:rPr>
              <w:t>合  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191,631.15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94,240.80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97,390.35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一般公共服务支出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62.43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20132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组织事务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20.00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2013299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其他组织事务支出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20138</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市场监督管理事务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42.43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2013804</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市场主体管理</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42.43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42.43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教育支出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8,357.33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6,388.07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1,969.26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20503</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职业教育</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8,102.18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6,388.07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1,714.11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2050302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中等职业教育</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8,081.86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6,388.07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1,693.79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2050305</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高等职业教育</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20.31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20.31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20509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教育费附加安排的支出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255.15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255.15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2050999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其他教育费附加安排的支出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255.15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255.15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科学技术支出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926.72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926.72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20604</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技术研究与开发</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771.20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771.20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2060499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其他技术研究与开发支出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771.20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771.20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20699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其他科学技术支出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155.53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155.53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2069901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科技奖励</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150.00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2069999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其他科学技术支出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5.53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社会保障和就业支出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35,600.23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35,600.23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20805</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行政事业单位养老支出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35,325.98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35,325.98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事业单位离退休</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7.07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7.07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2080505</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机关事业单位基本养老保险缴费支出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23,570.25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23,570.25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2080506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机关事业单位职业年金缴费支出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11,748.66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11,748.66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20810</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社会福利</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274.25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274.25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2081005</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社会福利事业单位</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274.25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274.25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卫生健康支出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143,864.30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50,565.04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93,299.26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卫生健康管理事务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5,695.28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5,656.67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2100101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行政运行</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4,874.19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4,874.19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2100199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其他卫生健康管理事务支出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821.08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782.48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38.61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公立医院</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62,637.53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24,118.28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38,519.25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综合医院</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31,536.43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15,537.61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15,998.83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中医（民族）医院</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4,698.37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3,948.97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749.40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2100203</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传染病医院</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4,942.98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1,296.27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3,646.71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2100205</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精神病医院</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870.77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649.23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221.54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2100207</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儿童医院</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2,808.23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2,363.87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444.36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2100208</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其他专科医院</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536.37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322.33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214.04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2100299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其他公立医院支出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17,244.38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17,244.38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21004</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公共卫生</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69,576.42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20,364.50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49,211.92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疾病预防控制机构</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7,838.72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6,815.86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1,022.86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卫生监督机构</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2,667.24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2,418.25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248.99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2100403</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妇幼保健机构</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1,445.91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1,418.79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27.12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2100405</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应急救治机构</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2,599.47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2,599.47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采供血机构</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14,560.13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6,224.57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8,335.57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2100407</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其他专业公共卫生机构</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887.56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887.56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2100408</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基本公共卫生服务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1,477.45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1,477.45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2100409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重大公共卫生服务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4,604.15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4,604.15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2100410</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突发公共卫生事件应急处理</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14,893.56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14,893.56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2100499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其他公共卫生支出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18,602.22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18,602.22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中医药</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130.04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2100601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中医（民族医）药专项</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130.04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130.04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21007</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计划生育事务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319.85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292.20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2100716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计划生育机构</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292.20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292.20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2100799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其他计划生育事务支出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27.64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27.64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21016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老龄卫生健康事务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272.47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272.47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2101601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老龄卫生健康事务</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272.47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272.47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21099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其他卫生健康支出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5,232.72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133.39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5,099.33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2109901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其他卫生健康支出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5,232.72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133.39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5,099.33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1,122.35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1,122.35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21202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城乡社区规划与管理</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22.35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22.35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2120201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城乡社区规划与管理</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22.35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22.35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21203</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城乡社区公共设施</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1,100.00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2120399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其他城乡社区公共设施支出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1,100.00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1,100.00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商业服务业等支出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21606</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涉外发展服务支出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2160699</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其他涉外发展服务支出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10.33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住房保障支出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1,687.47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1,687.47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85"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22102</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住房改革支出</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1,687.47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 1,687.47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23" w:hRule="atLeast"/>
        </w:trPr>
        <w:tc>
          <w:tcPr>
            <w:tcW w:w="171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2210201</w:t>
            </w:r>
          </w:p>
        </w:tc>
        <w:tc>
          <w:tcPr>
            <w:tcW w:w="3402"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住房公积金</w:t>
            </w:r>
          </w:p>
        </w:tc>
        <w:tc>
          <w:tcPr>
            <w:tcW w:w="269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1,687.47 </w:t>
            </w:r>
          </w:p>
        </w:tc>
        <w:tc>
          <w:tcPr>
            <w:tcW w:w="2835"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1,687.47 </w:t>
            </w:r>
          </w:p>
        </w:tc>
        <w:tc>
          <w:tcPr>
            <w:tcW w:w="2693"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spacing w:line="400" w:lineRule="exact"/>
        <w:jc w:val="left"/>
        <w:rPr>
          <w:rFonts w:ascii="仿宋_GB2312" w:hAnsi="宋体" w:eastAsia="仿宋_GB2312"/>
          <w:sz w:val="22"/>
          <w:szCs w:val="22"/>
        </w:rPr>
      </w:pPr>
      <w:r>
        <w:rPr>
          <w:rFonts w:hint="eastAsia" w:ascii="仿宋_GB2312" w:hAnsi="宋体" w:eastAsia="仿宋_GB2312"/>
          <w:sz w:val="22"/>
          <w:szCs w:val="22"/>
        </w:rPr>
        <w:t>注：本表反映部门本年度一般公共预算财政拨款支出情况。</w:t>
      </w:r>
    </w:p>
    <w:p>
      <w:pPr>
        <w:spacing w:line="400" w:lineRule="exact"/>
        <w:jc w:val="left"/>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一般公共预算财政拨款基本支出决算表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公开06表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部门：青岛市卫生健康委员会（汇总）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7"/>
        <w:tblW w:w="132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008"/>
        <w:gridCol w:w="2456"/>
        <w:gridCol w:w="1414"/>
        <w:gridCol w:w="1138"/>
        <w:gridCol w:w="1701"/>
        <w:gridCol w:w="1116"/>
        <w:gridCol w:w="1010"/>
        <w:gridCol w:w="2268"/>
        <w:gridCol w:w="11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69" w:hRule="atLeast"/>
          <w:tblHeader/>
          <w:jc w:val="center"/>
        </w:trPr>
        <w:tc>
          <w:tcPr>
            <w:tcW w:w="4878" w:type="dxa"/>
            <w:gridSpan w:val="3"/>
            <w:tcBorders>
              <w:top w:val="single" w:color="auto" w:sz="8" w:space="0"/>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w:t>
            </w:r>
          </w:p>
        </w:tc>
        <w:tc>
          <w:tcPr>
            <w:tcW w:w="8397" w:type="dxa"/>
            <w:gridSpan w:val="6"/>
            <w:tcBorders>
              <w:top w:val="single" w:color="auto" w:sz="8" w:space="0"/>
              <w:left w:val="nil"/>
              <w:bottom w:val="single" w:color="auto" w:sz="4" w:space="0"/>
              <w:right w:val="single" w:color="000000"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blHeader/>
          <w:jc w:val="center"/>
        </w:trPr>
        <w:tc>
          <w:tcPr>
            <w:tcW w:w="1008"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 科目编码</w:t>
            </w:r>
          </w:p>
        </w:tc>
        <w:tc>
          <w:tcPr>
            <w:tcW w:w="245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1414"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13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1701"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1116"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c>
          <w:tcPr>
            <w:tcW w:w="1010"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经济分类科目编码</w:t>
            </w:r>
          </w:p>
        </w:tc>
        <w:tc>
          <w:tcPr>
            <w:tcW w:w="2268"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科目名称</w:t>
            </w:r>
          </w:p>
        </w:tc>
        <w:tc>
          <w:tcPr>
            <w:tcW w:w="1164" w:type="dxa"/>
            <w:vMerge w:val="restart"/>
            <w:tcBorders>
              <w:top w:val="nil"/>
              <w:left w:val="single" w:color="auto" w:sz="4" w:space="0"/>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00" w:hRule="atLeast"/>
          <w:tblHeader/>
          <w:jc w:val="center"/>
        </w:trPr>
        <w:tc>
          <w:tcPr>
            <w:tcW w:w="1008"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245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414"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13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701"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116"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010"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2268"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color w:val="000000"/>
                <w:kern w:val="0"/>
                <w:sz w:val="22"/>
                <w:szCs w:val="22"/>
              </w:rPr>
            </w:pPr>
          </w:p>
        </w:tc>
        <w:tc>
          <w:tcPr>
            <w:tcW w:w="1164" w:type="dxa"/>
            <w:vMerge w:val="continue"/>
            <w:tcBorders>
              <w:top w:val="nil"/>
              <w:left w:val="single" w:color="auto" w:sz="4" w:space="0"/>
              <w:bottom w:val="single" w:color="auto" w:sz="4" w:space="0"/>
              <w:right w:val="single" w:color="auto" w:sz="8" w:space="0"/>
            </w:tcBorders>
            <w:vAlign w:val="center"/>
          </w:tcPr>
          <w:p>
            <w:pPr>
              <w:widowControl/>
              <w:spacing w:line="300" w:lineRule="exact"/>
              <w:jc w:val="left"/>
              <w:rPr>
                <w:rFonts w:ascii="仿宋_GB2312" w:hAnsi="宋体" w:eastAsia="仿宋_GB2312" w:cs="宋体"/>
                <w:color w:val="000000"/>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24"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工资福利支出</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76,476.59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商品和服务支出</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12,380.76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债务利息及费用支出</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30101</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基本工资</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6,019.96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30201</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44.76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30701</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国内债务付息</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30102</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津贴补贴</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4,049.13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30202</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印刷费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5.31</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30702</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国外债务付息</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30103</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奖金</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270.14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30203</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咨询费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7.71</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30703</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国内债务发行费用</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30106</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伙食补助费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30204</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手续费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1.91</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30704</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国外债务发行费用</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30107</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绩效工资</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6,710.69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30205</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水费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20.78</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资本性支出</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130.20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30108</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机关事业单位基本养老保险缴费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23,463.14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30206</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电费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97.23</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31001</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房屋建筑物购建</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30109</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职业年金缴费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12,374.37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30207</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邮电费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107.05</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31002</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办公设备购置</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72.34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30110</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职工基本医疗保险缴费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14,683.13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30208</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取暖费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110.28</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31003</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专用设备购置</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14.60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30111</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公务员医疗补助缴费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4,063.80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30209</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物业管理费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300.41</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31005</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基础设施建设</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30112</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其他社会保障缴费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2,088.08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30211</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差旅费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79.17</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31006</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大型修缮</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30113</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住房公积金</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1,687.47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30212</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因公出国（境）费用</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31007</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信息网络及软件购置更新</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4.20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30114</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30213</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维修(护)费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166.42</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31008</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物资储备</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30199</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其他工资福利支出</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1,066.68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30214</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租赁费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88.76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31009</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土地补偿</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对个人和家庭的补助</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5,253.25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30215</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会议费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1.99</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31010</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安置补助</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30301</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离休费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1,233.57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30216</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培训费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58.3</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31011</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地上附着物和青苗补偿</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30302</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退休费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2,451.25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30217</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公务接待费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9.23</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31012</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拆迁补偿</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30303</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退职（役）费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2.79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30218</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专用材料费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58.94</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31013</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公务用车购置</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36.89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30304</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抚恤金</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29.01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30224</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被装购置费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31019</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其他交通工具购置</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30305</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生活补助</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12.37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30225</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专用燃料费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31021</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文物和陈列品购置</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30306</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救济费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30226</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劳务费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159.02</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31022</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无形资产购置</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0.90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30307</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医疗费补助</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738.98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30227</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委托业务费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10.17</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31099</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其他资本性支出</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30308</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助学金</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30228</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工会经费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230.95</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对企业补助</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30309</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奖励金</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30229</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福利费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7.2</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31201</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资本金注入</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30310</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个人农业生产补贴</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30231</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公务用车运行维护费</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144.76</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31203</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政府投资基金股权投资</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30311</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代缴社会保险费</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30239</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其他交通费用</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298.75</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31204</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费用补贴</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30399</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其他对个人和家庭的补助</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xml:space="preserve"> 785.28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30240</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税金及附加费用</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3.33</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31205</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利息补贴</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30299</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其他商品和服务支出</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10,342.32</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31299</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其他对企业补助</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414"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16" w:type="dxa"/>
            <w:tcBorders>
              <w:top w:val="nil"/>
              <w:left w:val="nil"/>
              <w:bottom w:val="single" w:color="auto" w:sz="4"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39906</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赠与</w:t>
            </w:r>
          </w:p>
        </w:tc>
        <w:tc>
          <w:tcPr>
            <w:tcW w:w="1164" w:type="dxa"/>
            <w:tcBorders>
              <w:top w:val="nil"/>
              <w:left w:val="nil"/>
              <w:bottom w:val="single" w:color="auto" w:sz="4" w:space="0"/>
              <w:right w:val="single" w:color="auto" w:sz="8"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41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1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39907</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国家赔偿费用支出</w:t>
            </w:r>
          </w:p>
        </w:tc>
        <w:tc>
          <w:tcPr>
            <w:tcW w:w="1164" w:type="dxa"/>
            <w:tcBorders>
              <w:top w:val="nil"/>
              <w:left w:val="nil"/>
              <w:bottom w:val="single" w:color="auto" w:sz="4" w:space="0"/>
              <w:right w:val="single" w:color="auto" w:sz="8"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41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1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39908</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对民间非营利组织和群众性自治组织补贴</w:t>
            </w:r>
          </w:p>
        </w:tc>
        <w:tc>
          <w:tcPr>
            <w:tcW w:w="1164" w:type="dxa"/>
            <w:tcBorders>
              <w:top w:val="nil"/>
              <w:left w:val="nil"/>
              <w:bottom w:val="single" w:color="auto" w:sz="4" w:space="0"/>
              <w:right w:val="single" w:color="auto" w:sz="8"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1008" w:type="dxa"/>
            <w:tcBorders>
              <w:top w:val="nil"/>
              <w:left w:val="single" w:color="auto" w:sz="8" w:space="0"/>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245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414"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3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701"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116"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c>
          <w:tcPr>
            <w:tcW w:w="1010"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39999</w:t>
            </w:r>
          </w:p>
        </w:tc>
        <w:tc>
          <w:tcPr>
            <w:tcW w:w="2268" w:type="dxa"/>
            <w:tcBorders>
              <w:top w:val="nil"/>
              <w:left w:val="nil"/>
              <w:bottom w:val="single" w:color="auto" w:sz="4" w:space="0"/>
              <w:right w:val="single" w:color="auto" w:sz="4"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其他支出</w:t>
            </w:r>
          </w:p>
        </w:tc>
        <w:tc>
          <w:tcPr>
            <w:tcW w:w="1164" w:type="dxa"/>
            <w:tcBorders>
              <w:top w:val="nil"/>
              <w:left w:val="nil"/>
              <w:bottom w:val="single" w:color="auto" w:sz="4" w:space="0"/>
              <w:right w:val="single" w:color="auto" w:sz="8" w:space="0"/>
            </w:tcBorders>
            <w:vAlign w:val="center"/>
          </w:tcPr>
          <w:p>
            <w:pPr>
              <w:widowControl/>
              <w:spacing w:line="300" w:lineRule="exac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jc w:val="center"/>
        </w:trPr>
        <w:tc>
          <w:tcPr>
            <w:tcW w:w="3464" w:type="dxa"/>
            <w:gridSpan w:val="2"/>
            <w:tcBorders>
              <w:top w:val="single" w:color="auto" w:sz="4" w:space="0"/>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人员经费合计</w:t>
            </w:r>
          </w:p>
        </w:tc>
        <w:tc>
          <w:tcPr>
            <w:tcW w:w="1414" w:type="dxa"/>
            <w:tcBorders>
              <w:top w:val="nil"/>
              <w:left w:val="nil"/>
              <w:bottom w:val="single" w:color="auto" w:sz="8" w:space="0"/>
              <w:right w:val="single" w:color="auto" w:sz="4" w:space="0"/>
            </w:tcBorders>
            <w:vAlign w:val="center"/>
          </w:tcPr>
          <w:p>
            <w:pPr>
              <w:widowControl/>
              <w:spacing w:line="300" w:lineRule="exact"/>
              <w:jc w:val="righ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81</w:t>
            </w:r>
            <w:r>
              <w:rPr>
                <w:rFonts w:hint="eastAsia" w:ascii="仿宋_GB2312" w:hAnsi="宋体" w:eastAsia="仿宋_GB2312" w:cs="宋体"/>
                <w:color w:val="000000"/>
                <w:kern w:val="0"/>
                <w:sz w:val="20"/>
                <w:szCs w:val="20"/>
              </w:rPr>
              <w:t>,</w:t>
            </w:r>
            <w:r>
              <w:rPr>
                <w:rFonts w:ascii="仿宋_GB2312" w:hAnsi="宋体" w:eastAsia="仿宋_GB2312" w:cs="宋体"/>
                <w:color w:val="000000"/>
                <w:kern w:val="0"/>
                <w:sz w:val="20"/>
                <w:szCs w:val="20"/>
              </w:rPr>
              <w:t>729.85</w:t>
            </w:r>
          </w:p>
        </w:tc>
        <w:tc>
          <w:tcPr>
            <w:tcW w:w="7233" w:type="dxa"/>
            <w:gridSpan w:val="5"/>
            <w:tcBorders>
              <w:top w:val="single" w:color="auto" w:sz="4" w:space="0"/>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公用经费合计</w:t>
            </w:r>
          </w:p>
        </w:tc>
        <w:tc>
          <w:tcPr>
            <w:tcW w:w="11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color w:val="000000"/>
                <w:kern w:val="0"/>
                <w:sz w:val="20"/>
                <w:szCs w:val="20"/>
              </w:rPr>
            </w:pPr>
            <w:r>
              <w:rPr>
                <w:rFonts w:ascii="仿宋_GB2312" w:hAnsi="宋体" w:eastAsia="仿宋_GB2312" w:cs="宋体"/>
                <w:color w:val="000000"/>
                <w:kern w:val="0"/>
                <w:sz w:val="20"/>
                <w:szCs w:val="20"/>
              </w:rPr>
              <w:t>12</w:t>
            </w:r>
            <w:r>
              <w:rPr>
                <w:rFonts w:hint="eastAsia" w:ascii="仿宋_GB2312" w:hAnsi="宋体" w:eastAsia="仿宋_GB2312" w:cs="宋体"/>
                <w:color w:val="000000"/>
                <w:kern w:val="0"/>
                <w:sz w:val="20"/>
                <w:szCs w:val="20"/>
              </w:rPr>
              <w:t>,</w:t>
            </w:r>
            <w:r>
              <w:rPr>
                <w:rFonts w:ascii="仿宋_GB2312" w:hAnsi="宋体" w:eastAsia="仿宋_GB2312" w:cs="宋体"/>
                <w:color w:val="000000"/>
                <w:kern w:val="0"/>
                <w:sz w:val="20"/>
                <w:szCs w:val="20"/>
              </w:rPr>
              <w:t>510.96</w:t>
            </w:r>
          </w:p>
        </w:tc>
      </w:tr>
    </w:tbl>
    <w:p>
      <w:pPr>
        <w:spacing w:line="400" w:lineRule="exact"/>
        <w:ind w:firstLine="108" w:firstLineChars="50"/>
        <w:jc w:val="left"/>
        <w:rPr>
          <w:rFonts w:ascii="仿宋_GB2312" w:hAnsi="宋体" w:eastAsia="仿宋_GB2312"/>
          <w:sz w:val="22"/>
          <w:szCs w:val="22"/>
        </w:rPr>
      </w:pPr>
      <w:r>
        <w:rPr>
          <w:rFonts w:hint="eastAsia" w:ascii="仿宋_GB2312" w:hAnsi="宋体" w:eastAsia="仿宋_GB2312"/>
          <w:sz w:val="22"/>
          <w:szCs w:val="22"/>
        </w:rPr>
        <w:t>注:本表反映部门本年度一般公共预算财政拨款基本支出明细情况。</w:t>
      </w: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一般公共预算财政拨款“三公”经费支出决算表</w:t>
      </w:r>
    </w:p>
    <w:p>
      <w:pPr>
        <w:wordWrap w:val="0"/>
        <w:spacing w:line="400" w:lineRule="exact"/>
        <w:jc w:val="right"/>
        <w:rPr>
          <w:rFonts w:ascii="楷体_GB2312" w:eastAsia="楷体_GB2312"/>
          <w:sz w:val="28"/>
          <w:szCs w:val="28"/>
        </w:rPr>
      </w:pPr>
      <w:r>
        <w:rPr>
          <w:rFonts w:hint="eastAsia" w:ascii="方正小标宋简体" w:eastAsia="方正小标宋简体"/>
          <w:sz w:val="44"/>
          <w:szCs w:val="44"/>
        </w:rPr>
        <w:t>　</w:t>
      </w:r>
      <w:r>
        <w:rPr>
          <w:rFonts w:hint="eastAsia" w:ascii="楷体_GB2312" w:eastAsia="楷体_GB2312"/>
          <w:sz w:val="28"/>
          <w:szCs w:val="28"/>
        </w:rPr>
        <w:t xml:space="preserve">   </w:t>
      </w:r>
      <w:r>
        <w:rPr>
          <w:rFonts w:ascii="楷体_GB2312" w:eastAsia="楷体_GB2312"/>
          <w:sz w:val="28"/>
          <w:szCs w:val="28"/>
        </w:rPr>
        <w:t xml:space="preserve">          </w:t>
      </w:r>
      <w:r>
        <w:rPr>
          <w:rFonts w:hint="eastAsia" w:ascii="楷体_GB2312" w:eastAsia="楷体_GB2312"/>
          <w:sz w:val="28"/>
          <w:szCs w:val="28"/>
        </w:rPr>
        <w:t>公开07表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部门：青岛市卫生健康委员会（汇总）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7"/>
        <w:tblW w:w="1325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179"/>
        <w:gridCol w:w="999"/>
        <w:gridCol w:w="1134"/>
        <w:gridCol w:w="1276"/>
        <w:gridCol w:w="1276"/>
        <w:gridCol w:w="1020"/>
        <w:gridCol w:w="1098"/>
        <w:gridCol w:w="1000"/>
        <w:gridCol w:w="994"/>
        <w:gridCol w:w="1132"/>
        <w:gridCol w:w="1164"/>
        <w:gridCol w:w="9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62" w:hRule="atLeast"/>
          <w:jc w:val="center"/>
        </w:trPr>
        <w:tc>
          <w:tcPr>
            <w:tcW w:w="6884" w:type="dxa"/>
            <w:gridSpan w:val="6"/>
            <w:tcBorders>
              <w:top w:val="single" w:color="auto" w:sz="8" w:space="0"/>
              <w:left w:val="single" w:color="auto" w:sz="8" w:space="0"/>
              <w:bottom w:val="single" w:color="auto" w:sz="4"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预 算 数</w:t>
            </w:r>
          </w:p>
        </w:tc>
        <w:tc>
          <w:tcPr>
            <w:tcW w:w="6372" w:type="dxa"/>
            <w:gridSpan w:val="6"/>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决 算 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62" w:hRule="atLeast"/>
          <w:jc w:val="center"/>
        </w:trPr>
        <w:tc>
          <w:tcPr>
            <w:tcW w:w="1179" w:type="dxa"/>
            <w:vMerge w:val="restart"/>
            <w:tcBorders>
              <w:top w:val="nil"/>
              <w:left w:val="single" w:color="auto" w:sz="8"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999" w:type="dxa"/>
            <w:vMerge w:val="restart"/>
            <w:tcBorders>
              <w:top w:val="nil"/>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686" w:type="dxa"/>
            <w:gridSpan w:val="3"/>
            <w:tcBorders>
              <w:top w:val="single" w:color="auto" w:sz="4" w:space="0"/>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1020" w:type="dxa"/>
            <w:vMerge w:val="restart"/>
            <w:tcBorders>
              <w:top w:val="nil"/>
              <w:left w:val="single" w:color="auto" w:sz="4" w:space="0"/>
              <w:bottom w:val="single" w:color="auto" w:sz="4"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接待费</w:t>
            </w:r>
          </w:p>
        </w:tc>
        <w:tc>
          <w:tcPr>
            <w:tcW w:w="1098" w:type="dxa"/>
            <w:vMerge w:val="restart"/>
            <w:tcBorders>
              <w:top w:val="single" w:color="000000" w:sz="8" w:space="0"/>
              <w:left w:val="single" w:color="000000" w:sz="8" w:space="0"/>
              <w:bottom w:val="single" w:color="000000" w:sz="8" w:space="0"/>
              <w:right w:val="single" w:color="000000" w:sz="8" w:space="0"/>
            </w:tcBorders>
            <w:vAlign w:val="center"/>
          </w:tcPr>
          <w:p>
            <w:pPr>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1000"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因公出国（境）费</w:t>
            </w:r>
          </w:p>
        </w:tc>
        <w:tc>
          <w:tcPr>
            <w:tcW w:w="3290" w:type="dxa"/>
            <w:gridSpan w:val="3"/>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公务用车购置及运行维护费</w:t>
            </w:r>
          </w:p>
        </w:tc>
        <w:tc>
          <w:tcPr>
            <w:tcW w:w="984" w:type="dxa"/>
            <w:vMerge w:val="restart"/>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62" w:hRule="atLeast"/>
          <w:jc w:val="center"/>
        </w:trPr>
        <w:tc>
          <w:tcPr>
            <w:tcW w:w="1179" w:type="dxa"/>
            <w:vMerge w:val="continue"/>
            <w:tcBorders>
              <w:top w:val="nil"/>
              <w:left w:val="single" w:color="auto" w:sz="8"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999" w:type="dxa"/>
            <w:vMerge w:val="continue"/>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1134"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27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1020" w:type="dxa"/>
            <w:vMerge w:val="continue"/>
            <w:tcBorders>
              <w:top w:val="nil"/>
              <w:left w:val="single" w:color="auto" w:sz="4" w:space="0"/>
              <w:bottom w:val="single" w:color="auto" w:sz="4" w:space="0"/>
              <w:right w:val="single" w:color="000000" w:sz="8" w:space="0"/>
            </w:tcBorders>
            <w:vAlign w:val="center"/>
          </w:tcPr>
          <w:p>
            <w:pPr>
              <w:widowControl/>
              <w:spacing w:line="300" w:lineRule="exact"/>
              <w:jc w:val="left"/>
              <w:rPr>
                <w:rFonts w:ascii="仿宋_GB2312" w:hAnsi="宋体" w:eastAsia="仿宋_GB2312" w:cs="宋体"/>
                <w:kern w:val="0"/>
                <w:sz w:val="22"/>
                <w:szCs w:val="22"/>
              </w:rPr>
            </w:pPr>
          </w:p>
        </w:tc>
        <w:tc>
          <w:tcPr>
            <w:tcW w:w="1098"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宋体" w:eastAsia="仿宋_GB2312" w:cs="宋体"/>
                <w:kern w:val="0"/>
                <w:sz w:val="22"/>
                <w:szCs w:val="22"/>
              </w:rPr>
            </w:pPr>
          </w:p>
        </w:tc>
        <w:tc>
          <w:tcPr>
            <w:tcW w:w="1000" w:type="dxa"/>
            <w:vMerge w:val="continue"/>
            <w:tcBorders>
              <w:top w:val="single" w:color="000000" w:sz="8" w:space="0"/>
              <w:left w:val="single" w:color="000000" w:sz="8" w:space="0"/>
              <w:bottom w:val="single" w:color="000000" w:sz="8" w:space="0"/>
              <w:right w:val="single" w:color="000000" w:sz="8" w:space="0"/>
            </w:tcBorders>
            <w:vAlign w:val="center"/>
          </w:tcPr>
          <w:p>
            <w:pPr>
              <w:spacing w:line="300" w:lineRule="exact"/>
              <w:jc w:val="left"/>
              <w:rPr>
                <w:rFonts w:ascii="仿宋_GB2312" w:hAnsi="宋体" w:eastAsia="仿宋_GB2312" w:cs="宋体"/>
                <w:kern w:val="0"/>
                <w:sz w:val="22"/>
                <w:szCs w:val="22"/>
              </w:rPr>
            </w:pPr>
          </w:p>
        </w:tc>
        <w:tc>
          <w:tcPr>
            <w:tcW w:w="99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公务用车购置费</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公务用车运行维护费</w:t>
            </w:r>
          </w:p>
        </w:tc>
        <w:tc>
          <w:tcPr>
            <w:tcW w:w="984" w:type="dxa"/>
            <w:vMerge w:val="continue"/>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left"/>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521" w:hRule="atLeast"/>
          <w:jc w:val="center"/>
        </w:trPr>
        <w:tc>
          <w:tcPr>
            <w:tcW w:w="1179" w:type="dxa"/>
            <w:tcBorders>
              <w:top w:val="nil"/>
              <w:left w:val="single" w:color="auto" w:sz="8" w:space="0"/>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999"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1134"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c>
          <w:tcPr>
            <w:tcW w:w="1276"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4</w:t>
            </w:r>
          </w:p>
        </w:tc>
        <w:tc>
          <w:tcPr>
            <w:tcW w:w="1276" w:type="dxa"/>
            <w:tcBorders>
              <w:top w:val="nil"/>
              <w:left w:val="nil"/>
              <w:bottom w:val="single" w:color="auto" w:sz="8"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5</w:t>
            </w:r>
          </w:p>
        </w:tc>
        <w:tc>
          <w:tcPr>
            <w:tcW w:w="1020" w:type="dxa"/>
            <w:tcBorders>
              <w:top w:val="nil"/>
              <w:left w:val="nil"/>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6</w:t>
            </w:r>
          </w:p>
        </w:tc>
        <w:tc>
          <w:tcPr>
            <w:tcW w:w="1098"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7</w:t>
            </w:r>
          </w:p>
        </w:tc>
        <w:tc>
          <w:tcPr>
            <w:tcW w:w="1000"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8</w:t>
            </w:r>
          </w:p>
        </w:tc>
        <w:tc>
          <w:tcPr>
            <w:tcW w:w="99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9</w:t>
            </w:r>
          </w:p>
        </w:tc>
        <w:tc>
          <w:tcPr>
            <w:tcW w:w="1132"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10</w:t>
            </w:r>
          </w:p>
        </w:tc>
        <w:tc>
          <w:tcPr>
            <w:tcW w:w="116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11</w:t>
            </w:r>
          </w:p>
        </w:tc>
        <w:tc>
          <w:tcPr>
            <w:tcW w:w="984" w:type="dxa"/>
            <w:tcBorders>
              <w:top w:val="single" w:color="000000" w:sz="8" w:space="0"/>
              <w:left w:val="single" w:color="000000" w:sz="8" w:space="0"/>
              <w:bottom w:val="single" w:color="000000" w:sz="8" w:space="0"/>
              <w:right w:val="single" w:color="000000" w:sz="8"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871" w:hRule="atLeast"/>
          <w:jc w:val="center"/>
        </w:trPr>
        <w:tc>
          <w:tcPr>
            <w:tcW w:w="1179" w:type="dxa"/>
            <w:tcBorders>
              <w:top w:val="nil"/>
              <w:left w:val="single" w:color="auto" w:sz="8" w:space="0"/>
              <w:bottom w:val="single" w:color="auto" w:sz="8"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1,400.14 </w:t>
            </w:r>
          </w:p>
        </w:tc>
        <w:tc>
          <w:tcPr>
            <w:tcW w:w="999" w:type="dxa"/>
            <w:tcBorders>
              <w:top w:val="nil"/>
              <w:left w:val="nil"/>
              <w:bottom w:val="single" w:color="auto" w:sz="8"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117.79 </w:t>
            </w:r>
          </w:p>
        </w:tc>
        <w:tc>
          <w:tcPr>
            <w:tcW w:w="1134" w:type="dxa"/>
            <w:tcBorders>
              <w:top w:val="nil"/>
              <w:left w:val="nil"/>
              <w:bottom w:val="single" w:color="auto" w:sz="8"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1,262.15 </w:t>
            </w:r>
          </w:p>
        </w:tc>
        <w:tc>
          <w:tcPr>
            <w:tcW w:w="1276" w:type="dxa"/>
            <w:tcBorders>
              <w:top w:val="nil"/>
              <w:left w:val="nil"/>
              <w:bottom w:val="single" w:color="auto" w:sz="8"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990.79 </w:t>
            </w:r>
          </w:p>
        </w:tc>
        <w:tc>
          <w:tcPr>
            <w:tcW w:w="1276" w:type="dxa"/>
            <w:tcBorders>
              <w:top w:val="nil"/>
              <w:left w:val="nil"/>
              <w:bottom w:val="single" w:color="auto" w:sz="8" w:space="0"/>
              <w:right w:val="single" w:color="auto" w:sz="4"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271.36 </w:t>
            </w:r>
          </w:p>
        </w:tc>
        <w:tc>
          <w:tcPr>
            <w:tcW w:w="1020" w:type="dxa"/>
            <w:tcBorders>
              <w:top w:val="nil"/>
              <w:left w:val="nil"/>
              <w:bottom w:val="single" w:color="auto" w:sz="8" w:space="0"/>
              <w:right w:val="single" w:color="000000" w:sz="8"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20.20 </w:t>
            </w:r>
          </w:p>
        </w:tc>
        <w:tc>
          <w:tcPr>
            <w:tcW w:w="1098" w:type="dxa"/>
            <w:tcBorders>
              <w:top w:val="single" w:color="000000" w:sz="8" w:space="0"/>
              <w:left w:val="single" w:color="000000" w:sz="8" w:space="0"/>
              <w:bottom w:val="single" w:color="000000" w:sz="8" w:space="0"/>
              <w:right w:val="single" w:color="000000" w:sz="8"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1,610.81 </w:t>
            </w:r>
          </w:p>
        </w:tc>
        <w:tc>
          <w:tcPr>
            <w:tcW w:w="1000" w:type="dxa"/>
            <w:tcBorders>
              <w:top w:val="single" w:color="000000" w:sz="8" w:space="0"/>
              <w:left w:val="single" w:color="000000" w:sz="8" w:space="0"/>
              <w:bottom w:val="single" w:color="000000" w:sz="8" w:space="0"/>
              <w:right w:val="single" w:color="000000" w:sz="8"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87.78 </w:t>
            </w:r>
          </w:p>
        </w:tc>
        <w:tc>
          <w:tcPr>
            <w:tcW w:w="994" w:type="dxa"/>
            <w:tcBorders>
              <w:top w:val="single" w:color="000000" w:sz="8" w:space="0"/>
              <w:left w:val="single" w:color="000000" w:sz="8" w:space="0"/>
              <w:bottom w:val="single" w:color="000000" w:sz="8" w:space="0"/>
              <w:right w:val="single" w:color="000000" w:sz="8"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1,513.51 </w:t>
            </w:r>
          </w:p>
        </w:tc>
        <w:tc>
          <w:tcPr>
            <w:tcW w:w="1132" w:type="dxa"/>
            <w:tcBorders>
              <w:top w:val="single" w:color="000000" w:sz="8" w:space="0"/>
              <w:left w:val="single" w:color="000000" w:sz="8" w:space="0"/>
              <w:bottom w:val="single" w:color="000000" w:sz="8" w:space="0"/>
              <w:right w:val="single" w:color="000000" w:sz="8"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1,352.63 </w:t>
            </w:r>
          </w:p>
        </w:tc>
        <w:tc>
          <w:tcPr>
            <w:tcW w:w="1164" w:type="dxa"/>
            <w:tcBorders>
              <w:top w:val="single" w:color="000000" w:sz="8" w:space="0"/>
              <w:left w:val="single" w:color="000000" w:sz="8" w:space="0"/>
              <w:bottom w:val="single" w:color="000000" w:sz="8" w:space="0"/>
              <w:right w:val="single" w:color="000000" w:sz="8"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160.87 </w:t>
            </w:r>
          </w:p>
        </w:tc>
        <w:tc>
          <w:tcPr>
            <w:tcW w:w="984" w:type="dxa"/>
            <w:tcBorders>
              <w:top w:val="single" w:color="000000" w:sz="8" w:space="0"/>
              <w:left w:val="single" w:color="000000" w:sz="8" w:space="0"/>
              <w:bottom w:val="single" w:color="000000" w:sz="8" w:space="0"/>
              <w:right w:val="single" w:color="000000" w:sz="8" w:space="0"/>
            </w:tcBorders>
            <w:vAlign w:val="center"/>
          </w:tcPr>
          <w:p>
            <w:pPr>
              <w:jc w:val="right"/>
              <w:rPr>
                <w:rFonts w:ascii="仿宋_GB2312" w:hAnsi="宋体" w:eastAsia="仿宋_GB2312" w:cs="宋体"/>
                <w:color w:val="000000"/>
                <w:sz w:val="18"/>
                <w:szCs w:val="18"/>
              </w:rPr>
            </w:pPr>
            <w:r>
              <w:rPr>
                <w:rFonts w:hint="eastAsia" w:ascii="仿宋_GB2312" w:eastAsia="仿宋_GB2312"/>
                <w:color w:val="000000"/>
                <w:sz w:val="18"/>
                <w:szCs w:val="18"/>
              </w:rPr>
              <w:t xml:space="preserve">    9.53 </w:t>
            </w:r>
          </w:p>
        </w:tc>
      </w:tr>
    </w:tbl>
    <w:p>
      <w:pPr>
        <w:spacing w:line="360" w:lineRule="exact"/>
        <w:ind w:firstLine="108" w:firstLineChars="50"/>
        <w:rPr>
          <w:rFonts w:ascii="仿宋_GB2312" w:hAnsi="宋体" w:eastAsia="仿宋_GB2312"/>
          <w:sz w:val="22"/>
          <w:szCs w:val="22"/>
        </w:rPr>
      </w:pPr>
      <w:r>
        <w:rPr>
          <w:rFonts w:hint="eastAsia" w:ascii="仿宋_GB2312" w:hAnsi="宋体" w:eastAsia="仿宋_GB2312"/>
          <w:sz w:val="22"/>
          <w:szCs w:val="22"/>
        </w:rPr>
        <w:t>注：本表反映部门本年度“三公”经费支出预决算情况。其中，预算数为“三公”经费年初预算数；决算数是包括当年一般公共预算财政拨款和以前年度结转资金安排的实际支出。</w:t>
      </w:r>
    </w:p>
    <w:p>
      <w:pPr>
        <w:spacing w:line="440" w:lineRule="exact"/>
        <w:ind w:firstLine="108" w:firstLineChars="50"/>
        <w:rPr>
          <w:rFonts w:ascii="仿宋_GB2312" w:hAnsi="宋体" w:eastAsia="仿宋_GB2312"/>
          <w:sz w:val="22"/>
          <w:szCs w:val="22"/>
          <w:highlight w:val="yellow"/>
        </w:rPr>
      </w:pPr>
    </w:p>
    <w:p>
      <w:pPr>
        <w:ind w:firstLine="108" w:firstLineChars="50"/>
        <w:rPr>
          <w:rFonts w:ascii="仿宋_GB2312" w:hAnsi="宋体" w:eastAsia="仿宋_GB2312"/>
          <w:sz w:val="22"/>
          <w:szCs w:val="22"/>
        </w:rPr>
      </w:pPr>
    </w:p>
    <w:p>
      <w:pPr>
        <w:jc w:val="center"/>
        <w:rPr>
          <w:rFonts w:ascii="方正小标宋简体" w:eastAsia="方正小标宋简体"/>
          <w:sz w:val="44"/>
          <w:szCs w:val="44"/>
        </w:rPr>
      </w:pPr>
      <w:r>
        <w:rPr>
          <w:rFonts w:hint="eastAsia" w:ascii="方正小标宋简体" w:eastAsia="方正小标宋简体"/>
          <w:sz w:val="44"/>
          <w:szCs w:val="44"/>
        </w:rPr>
        <w:t>政府性基金预算财政拨款收入支出决算表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公开08表</w:t>
      </w:r>
    </w:p>
    <w:p>
      <w:pPr>
        <w:spacing w:line="400" w:lineRule="exact"/>
        <w:ind w:firstLine="138" w:firstLineChars="50"/>
        <w:jc w:val="right"/>
        <w:rPr>
          <w:rFonts w:ascii="楷体_GB2312" w:eastAsia="楷体_GB2312"/>
          <w:sz w:val="28"/>
          <w:szCs w:val="28"/>
        </w:rPr>
      </w:pPr>
      <w:r>
        <w:rPr>
          <w:rFonts w:hint="eastAsia" w:ascii="楷体_GB2312" w:eastAsia="楷体_GB2312"/>
          <w:sz w:val="28"/>
          <w:szCs w:val="28"/>
        </w:rPr>
        <w:t>部门：青岛市卫生健康委员会（汇总）                                                金额单位：万元</w:t>
      </w:r>
    </w:p>
    <w:tbl>
      <w:tblPr>
        <w:tblStyle w:val="7"/>
        <w:tblW w:w="1365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526"/>
        <w:gridCol w:w="4999"/>
        <w:gridCol w:w="1515"/>
        <w:gridCol w:w="1046"/>
        <w:gridCol w:w="1046"/>
        <w:gridCol w:w="964"/>
        <w:gridCol w:w="1046"/>
        <w:gridCol w:w="15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6525" w:type="dxa"/>
            <w:gridSpan w:val="2"/>
            <w:tcBorders>
              <w:top w:val="single" w:color="auto" w:sz="8" w:space="0"/>
              <w:left w:val="single" w:color="auto" w:sz="8" w:space="0"/>
              <w:bottom w:val="single" w:color="auto" w:sz="8" w:space="0"/>
              <w:right w:val="single" w:color="000000"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       目</w:t>
            </w:r>
          </w:p>
        </w:tc>
        <w:tc>
          <w:tcPr>
            <w:tcW w:w="1515"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年初结转和结余</w:t>
            </w:r>
          </w:p>
        </w:tc>
        <w:tc>
          <w:tcPr>
            <w:tcW w:w="1046"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本年收入</w:t>
            </w:r>
          </w:p>
        </w:tc>
        <w:tc>
          <w:tcPr>
            <w:tcW w:w="3056" w:type="dxa"/>
            <w:gridSpan w:val="3"/>
            <w:tcBorders>
              <w:top w:val="single" w:color="auto" w:sz="8" w:space="0"/>
              <w:left w:val="nil"/>
              <w:bottom w:val="single" w:color="auto" w:sz="8" w:space="0"/>
              <w:right w:val="single" w:color="000000"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本年支出</w:t>
            </w:r>
          </w:p>
        </w:tc>
        <w:tc>
          <w:tcPr>
            <w:tcW w:w="1510" w:type="dxa"/>
            <w:vMerge w:val="restart"/>
            <w:tcBorders>
              <w:top w:val="single" w:color="auto" w:sz="8" w:space="0"/>
              <w:left w:val="single" w:color="auto" w:sz="8" w:space="0"/>
              <w:bottom w:val="single" w:color="000000"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功能分类         科目编码</w:t>
            </w:r>
          </w:p>
        </w:tc>
        <w:tc>
          <w:tcPr>
            <w:tcW w:w="4999"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科目名称</w:t>
            </w:r>
          </w:p>
        </w:tc>
        <w:tc>
          <w:tcPr>
            <w:tcW w:w="1515"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046"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c>
          <w:tcPr>
            <w:tcW w:w="104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小计</w:t>
            </w:r>
          </w:p>
        </w:tc>
        <w:tc>
          <w:tcPr>
            <w:tcW w:w="964"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基本支出</w:t>
            </w:r>
          </w:p>
        </w:tc>
        <w:tc>
          <w:tcPr>
            <w:tcW w:w="1046" w:type="dxa"/>
            <w:tcBorders>
              <w:top w:val="nil"/>
              <w:left w:val="nil"/>
              <w:bottom w:val="single" w:color="auto" w:sz="8" w:space="0"/>
              <w:right w:val="single" w:color="auto" w:sz="8" w:space="0"/>
            </w:tcBorders>
            <w:vAlign w:val="center"/>
          </w:tcPr>
          <w:p>
            <w:pPr>
              <w:widowControl/>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项目支出</w:t>
            </w:r>
          </w:p>
        </w:tc>
        <w:tc>
          <w:tcPr>
            <w:tcW w:w="1510" w:type="dxa"/>
            <w:vMerge w:val="continue"/>
            <w:tcBorders>
              <w:top w:val="single" w:color="auto" w:sz="8" w:space="0"/>
              <w:left w:val="single" w:color="auto" w:sz="8" w:space="0"/>
              <w:bottom w:val="single" w:color="000000" w:sz="8" w:space="0"/>
              <w:right w:val="single" w:color="auto" w:sz="8" w:space="0"/>
            </w:tcBorders>
            <w:vAlign w:val="center"/>
          </w:tcPr>
          <w:p>
            <w:pPr>
              <w:widowControl/>
              <w:jc w:val="left"/>
              <w:rPr>
                <w:rFonts w:ascii="仿宋_GB2312" w:hAnsi="宋体" w:eastAsia="仿宋_GB2312" w:cs="宋体"/>
                <w:color w:val="000000"/>
                <w:kern w:val="0"/>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88" w:hRule="atLeast"/>
        </w:trPr>
        <w:tc>
          <w:tcPr>
            <w:tcW w:w="6525"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栏  次</w:t>
            </w:r>
          </w:p>
        </w:tc>
        <w:tc>
          <w:tcPr>
            <w:tcW w:w="1515"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1046"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46"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964"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46"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510" w:type="dxa"/>
            <w:tcBorders>
              <w:top w:val="nil"/>
              <w:left w:val="nil"/>
              <w:bottom w:val="single" w:color="auto" w:sz="8" w:space="0"/>
              <w:right w:val="single" w:color="auto"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359" w:hRule="atLeast"/>
        </w:trPr>
        <w:tc>
          <w:tcPr>
            <w:tcW w:w="6525" w:type="dxa"/>
            <w:gridSpan w:val="2"/>
            <w:tcBorders>
              <w:top w:val="single" w:color="auto" w:sz="8" w:space="0"/>
              <w:left w:val="single" w:color="auto" w:sz="8" w:space="0"/>
              <w:bottom w:val="single" w:color="auto" w:sz="8" w:space="0"/>
              <w:right w:val="single" w:color="000000" w:sz="8" w:space="0"/>
            </w:tcBorders>
            <w:vAlign w:val="center"/>
          </w:tcPr>
          <w:p>
            <w:pPr>
              <w:widowControl/>
              <w:spacing w:line="30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  计</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55,000.00 </w:t>
            </w:r>
          </w:p>
        </w:tc>
        <w:tc>
          <w:tcPr>
            <w:tcW w:w="1046"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55,000.00 </w:t>
            </w:r>
          </w:p>
        </w:tc>
        <w:tc>
          <w:tcPr>
            <w:tcW w:w="964"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55,000.00 </w:t>
            </w:r>
          </w:p>
        </w:tc>
        <w:tc>
          <w:tcPr>
            <w:tcW w:w="1510"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229</w:t>
            </w:r>
          </w:p>
        </w:tc>
        <w:tc>
          <w:tcPr>
            <w:tcW w:w="4999"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其他支出</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45,000.00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45,000.00 </w:t>
            </w:r>
          </w:p>
        </w:tc>
        <w:tc>
          <w:tcPr>
            <w:tcW w:w="9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45,000.00 </w:t>
            </w:r>
          </w:p>
        </w:tc>
        <w:tc>
          <w:tcPr>
            <w:tcW w:w="1510"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22904</w:t>
            </w:r>
          </w:p>
        </w:tc>
        <w:tc>
          <w:tcPr>
            <w:tcW w:w="4999"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其他政府性基金及对应专项债务收入安排的支出</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45,000.00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45,000.00 </w:t>
            </w:r>
          </w:p>
        </w:tc>
        <w:tc>
          <w:tcPr>
            <w:tcW w:w="9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45,000.00 </w:t>
            </w:r>
          </w:p>
        </w:tc>
        <w:tc>
          <w:tcPr>
            <w:tcW w:w="1510"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2290402</w:t>
            </w:r>
          </w:p>
        </w:tc>
        <w:tc>
          <w:tcPr>
            <w:tcW w:w="4999"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其他地方自行试点项目收益专项债券收入安排的支出</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45,000.00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45,000.00 </w:t>
            </w:r>
          </w:p>
        </w:tc>
        <w:tc>
          <w:tcPr>
            <w:tcW w:w="9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45,000.00 </w:t>
            </w:r>
          </w:p>
        </w:tc>
        <w:tc>
          <w:tcPr>
            <w:tcW w:w="1510"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234</w:t>
            </w:r>
          </w:p>
        </w:tc>
        <w:tc>
          <w:tcPr>
            <w:tcW w:w="4999"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抗疫特别国债安排的支出</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10,000.00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10,000.00 </w:t>
            </w:r>
          </w:p>
        </w:tc>
        <w:tc>
          <w:tcPr>
            <w:tcW w:w="9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10,000.00 </w:t>
            </w:r>
          </w:p>
        </w:tc>
        <w:tc>
          <w:tcPr>
            <w:tcW w:w="1510"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23401</w:t>
            </w:r>
          </w:p>
        </w:tc>
        <w:tc>
          <w:tcPr>
            <w:tcW w:w="4999"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基础设施建设</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10,000.00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10,000.00 </w:t>
            </w:r>
          </w:p>
        </w:tc>
        <w:tc>
          <w:tcPr>
            <w:tcW w:w="9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xml:space="preserve">10,000.00 </w:t>
            </w:r>
          </w:p>
        </w:tc>
        <w:tc>
          <w:tcPr>
            <w:tcW w:w="1510"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b/>
                <w:kern w:val="0"/>
                <w:sz w:val="18"/>
                <w:szCs w:val="18"/>
              </w:rPr>
            </w:pPr>
            <w:r>
              <w:rPr>
                <w:rFonts w:hint="eastAsia" w:ascii="仿宋_GB2312" w:hAnsi="宋体" w:eastAsia="仿宋_GB2312" w:cs="宋体"/>
                <w:b/>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2340101</w:t>
            </w:r>
          </w:p>
        </w:tc>
        <w:tc>
          <w:tcPr>
            <w:tcW w:w="4999"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公共卫生体系建设</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6,500.00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6,500.00 </w:t>
            </w:r>
          </w:p>
        </w:tc>
        <w:tc>
          <w:tcPr>
            <w:tcW w:w="9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6,500.00 </w:t>
            </w:r>
          </w:p>
        </w:tc>
        <w:tc>
          <w:tcPr>
            <w:tcW w:w="1510"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20" w:hRule="atLeast"/>
        </w:trPr>
        <w:tc>
          <w:tcPr>
            <w:tcW w:w="1526" w:type="dxa"/>
            <w:tcBorders>
              <w:top w:val="nil"/>
              <w:left w:val="single" w:color="auto" w:sz="8" w:space="0"/>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2340102</w:t>
            </w:r>
          </w:p>
        </w:tc>
        <w:tc>
          <w:tcPr>
            <w:tcW w:w="4999"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重大疫情防控救治体系建设</w:t>
            </w:r>
          </w:p>
        </w:tc>
        <w:tc>
          <w:tcPr>
            <w:tcW w:w="1515" w:type="dxa"/>
            <w:tcBorders>
              <w:top w:val="nil"/>
              <w:left w:val="nil"/>
              <w:bottom w:val="single" w:color="auto" w:sz="8" w:space="0"/>
              <w:right w:val="single" w:color="auto" w:sz="8" w:space="0"/>
            </w:tcBorders>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3,500.00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3,500.00 </w:t>
            </w:r>
          </w:p>
        </w:tc>
        <w:tc>
          <w:tcPr>
            <w:tcW w:w="964"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046"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3,500.00 </w:t>
            </w:r>
          </w:p>
        </w:tc>
        <w:tc>
          <w:tcPr>
            <w:tcW w:w="1510" w:type="dxa"/>
            <w:tcBorders>
              <w:top w:val="nil"/>
              <w:left w:val="nil"/>
              <w:bottom w:val="single" w:color="auto" w:sz="8" w:space="0"/>
              <w:right w:val="single" w:color="auto" w:sz="8" w:space="0"/>
            </w:tcBorders>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bl>
    <w:p>
      <w:pPr>
        <w:rPr>
          <w:rFonts w:ascii="仿宋_GB2312" w:hAnsi="宋体" w:eastAsia="仿宋_GB2312"/>
          <w:sz w:val="22"/>
          <w:szCs w:val="22"/>
        </w:rPr>
      </w:pPr>
      <w:r>
        <w:rPr>
          <w:rFonts w:hint="eastAsia" w:ascii="仿宋_GB2312" w:hAnsi="宋体" w:eastAsia="仿宋_GB2312"/>
          <w:sz w:val="22"/>
          <w:szCs w:val="22"/>
        </w:rPr>
        <w:t>注：本表反映部门本年度政府性基金预算财政拨款收入、支出及结转和结余情况。</w:t>
      </w:r>
    </w:p>
    <w:p>
      <w:pPr>
        <w:rPr>
          <w:rFonts w:ascii="仿宋_GB2312" w:hAnsi="宋体" w:eastAsia="仿宋_GB2312"/>
          <w:sz w:val="22"/>
          <w:szCs w:val="22"/>
        </w:rPr>
        <w:sectPr>
          <w:pgSz w:w="16838" w:h="11906" w:orient="landscape"/>
          <w:pgMar w:top="1531" w:right="1701" w:bottom="1531" w:left="1701" w:header="0" w:footer="1418" w:gutter="0"/>
          <w:cols w:space="720" w:num="1"/>
          <w:docGrid w:type="linesAndChars" w:linePitch="610" w:charSpace="-849"/>
        </w:sectPr>
      </w:pPr>
    </w:p>
    <w:p>
      <w:pPr>
        <w:jc w:val="center"/>
        <w:rPr>
          <w:rFonts w:ascii="方正小标宋简体" w:eastAsia="方正小标宋简体"/>
          <w:sz w:val="44"/>
          <w:szCs w:val="44"/>
        </w:rPr>
      </w:pPr>
      <w:r>
        <w:rPr>
          <w:rFonts w:hint="eastAsia" w:ascii="方正小标宋简体" w:eastAsia="方正小标宋简体"/>
          <w:sz w:val="44"/>
          <w:szCs w:val="44"/>
        </w:rPr>
        <w:t>国有资本经营预算财政拨款支出决算表</w:t>
      </w:r>
    </w:p>
    <w:p>
      <w:pPr>
        <w:spacing w:line="400" w:lineRule="exact"/>
        <w:jc w:val="right"/>
        <w:rPr>
          <w:rFonts w:ascii="楷体_GB2312" w:eastAsia="楷体_GB2312"/>
          <w:sz w:val="28"/>
          <w:szCs w:val="28"/>
        </w:rPr>
      </w:pPr>
      <w:r>
        <w:rPr>
          <w:rFonts w:hint="eastAsia" w:ascii="楷体_GB2312" w:eastAsia="楷体_GB2312"/>
          <w:sz w:val="28"/>
          <w:szCs w:val="28"/>
        </w:rPr>
        <w:t>公开09表</w:t>
      </w:r>
    </w:p>
    <w:p>
      <w:pPr>
        <w:wordWrap w:val="0"/>
        <w:spacing w:line="400" w:lineRule="exact"/>
        <w:ind w:firstLine="138" w:firstLineChars="50"/>
        <w:jc w:val="right"/>
        <w:rPr>
          <w:rFonts w:ascii="楷体_GB2312" w:eastAsia="楷体_GB2312"/>
          <w:sz w:val="28"/>
          <w:szCs w:val="28"/>
        </w:rPr>
      </w:pPr>
      <w:r>
        <w:rPr>
          <w:rFonts w:hint="eastAsia" w:ascii="楷体_GB2312" w:eastAsia="楷体_GB2312"/>
          <w:sz w:val="28"/>
          <w:szCs w:val="28"/>
        </w:rPr>
        <w:t xml:space="preserve">部门：青岛市卫生健康委员会（汇总）                            </w:t>
      </w:r>
      <w:r>
        <w:rPr>
          <w:rFonts w:ascii="楷体_GB2312" w:eastAsia="楷体_GB2312"/>
          <w:sz w:val="28"/>
          <w:szCs w:val="28"/>
        </w:rPr>
        <w:t xml:space="preserve">  </w:t>
      </w:r>
      <w:r>
        <w:rPr>
          <w:rFonts w:hint="eastAsia" w:ascii="楷体_GB2312" w:eastAsia="楷体_GB2312"/>
          <w:sz w:val="28"/>
          <w:szCs w:val="28"/>
        </w:rPr>
        <w:t xml:space="preserve">                 金额单位：万元</w:t>
      </w:r>
    </w:p>
    <w:tbl>
      <w:tblPr>
        <w:tblStyle w:val="7"/>
        <w:tblW w:w="1365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
      <w:tblGrid>
        <w:gridCol w:w="1766"/>
        <w:gridCol w:w="3290"/>
        <w:gridCol w:w="2889"/>
        <w:gridCol w:w="3091"/>
        <w:gridCol w:w="26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28" w:hRule="atLeast"/>
          <w:jc w:val="center"/>
        </w:trPr>
        <w:tc>
          <w:tcPr>
            <w:tcW w:w="50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       目</w:t>
            </w:r>
          </w:p>
        </w:tc>
        <w:tc>
          <w:tcPr>
            <w:tcW w:w="8596" w:type="dxa"/>
            <w:gridSpan w:val="3"/>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675" w:hRule="exact"/>
          <w:jc w:val="center"/>
        </w:trPr>
        <w:tc>
          <w:tcPr>
            <w:tcW w:w="176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功能分类</w:t>
            </w:r>
          </w:p>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科目编码</w:t>
            </w:r>
          </w:p>
        </w:tc>
        <w:tc>
          <w:tcPr>
            <w:tcW w:w="3290"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科目名称</w:t>
            </w:r>
          </w:p>
        </w:tc>
        <w:tc>
          <w:tcPr>
            <w:tcW w:w="2889"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小计</w:t>
            </w:r>
          </w:p>
        </w:tc>
        <w:tc>
          <w:tcPr>
            <w:tcW w:w="3091"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基本支出</w:t>
            </w:r>
          </w:p>
        </w:tc>
        <w:tc>
          <w:tcPr>
            <w:tcW w:w="2616" w:type="dxa"/>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exact"/>
          <w:jc w:val="center"/>
        </w:trPr>
        <w:tc>
          <w:tcPr>
            <w:tcW w:w="50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栏  次</w:t>
            </w:r>
          </w:p>
        </w:tc>
        <w:tc>
          <w:tcPr>
            <w:tcW w:w="2889"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1</w:t>
            </w:r>
          </w:p>
        </w:tc>
        <w:tc>
          <w:tcPr>
            <w:tcW w:w="30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2</w:t>
            </w:r>
          </w:p>
        </w:tc>
        <w:tc>
          <w:tcPr>
            <w:tcW w:w="261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exact"/>
          <w:jc w:val="center"/>
        </w:trPr>
        <w:tc>
          <w:tcPr>
            <w:tcW w:w="5056" w:type="dxa"/>
            <w:gridSpan w:val="2"/>
            <w:tcBorders>
              <w:top w:val="single" w:color="auto" w:sz="4" w:space="0"/>
              <w:left w:val="single" w:color="auto" w:sz="4" w:space="0"/>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r>
              <w:rPr>
                <w:rFonts w:hint="eastAsia" w:ascii="仿宋_GB2312" w:hAnsi="宋体" w:eastAsia="仿宋_GB2312" w:cs="宋体"/>
                <w:kern w:val="0"/>
                <w:sz w:val="22"/>
                <w:szCs w:val="22"/>
              </w:rPr>
              <w:t>合  计</w:t>
            </w:r>
          </w:p>
        </w:tc>
        <w:tc>
          <w:tcPr>
            <w:tcW w:w="2889"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3091"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c>
          <w:tcPr>
            <w:tcW w:w="2616" w:type="dxa"/>
            <w:tcBorders>
              <w:top w:val="nil"/>
              <w:left w:val="nil"/>
              <w:bottom w:val="single" w:color="auto" w:sz="4" w:space="0"/>
              <w:right w:val="single" w:color="auto" w:sz="4" w:space="0"/>
            </w:tcBorders>
            <w:vAlign w:val="center"/>
          </w:tcPr>
          <w:p>
            <w:pPr>
              <w:widowControl/>
              <w:spacing w:line="300" w:lineRule="exact"/>
              <w:jc w:val="center"/>
              <w:rPr>
                <w:rFonts w:ascii="仿宋_GB2312" w:hAnsi="宋体" w:eastAsia="仿宋_GB2312" w:cs="宋体"/>
                <w:kern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exact"/>
          <w:jc w:val="center"/>
        </w:trPr>
        <w:tc>
          <w:tcPr>
            <w:tcW w:w="176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p>
        </w:tc>
        <w:tc>
          <w:tcPr>
            <w:tcW w:w="329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889"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09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616"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exact"/>
          <w:jc w:val="center"/>
        </w:trPr>
        <w:tc>
          <w:tcPr>
            <w:tcW w:w="176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29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889"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091"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616"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108" w:type="dxa"/>
            <w:right w:w="108" w:type="dxa"/>
          </w:tblCellMar>
        </w:tblPrEx>
        <w:trPr>
          <w:trHeight w:val="454" w:hRule="exact"/>
          <w:jc w:val="center"/>
        </w:trPr>
        <w:tc>
          <w:tcPr>
            <w:tcW w:w="1766" w:type="dxa"/>
            <w:tcBorders>
              <w:top w:val="nil"/>
              <w:left w:val="single" w:color="auto" w:sz="4" w:space="0"/>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290"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889"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3091" w:type="dxa"/>
            <w:tcBorders>
              <w:top w:val="single" w:color="auto" w:sz="4" w:space="0"/>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c>
          <w:tcPr>
            <w:tcW w:w="2616" w:type="dxa"/>
            <w:tcBorders>
              <w:top w:val="nil"/>
              <w:left w:val="nil"/>
              <w:bottom w:val="single" w:color="auto" w:sz="4" w:space="0"/>
              <w:right w:val="single" w:color="auto" w:sz="4" w:space="0"/>
            </w:tcBorders>
            <w:vAlign w:val="center"/>
          </w:tcPr>
          <w:p>
            <w:pPr>
              <w:widowControl/>
              <w:spacing w:line="300" w:lineRule="exact"/>
              <w:jc w:val="left"/>
              <w:rPr>
                <w:rFonts w:ascii="仿宋_GB2312" w:hAnsi="宋体" w:eastAsia="仿宋_GB2312" w:cs="宋体"/>
                <w:kern w:val="0"/>
                <w:sz w:val="22"/>
                <w:szCs w:val="22"/>
              </w:rPr>
            </w:pPr>
            <w:r>
              <w:rPr>
                <w:rFonts w:hint="eastAsia" w:ascii="仿宋_GB2312" w:hAnsi="宋体" w:eastAsia="仿宋_GB2312" w:cs="宋体"/>
                <w:kern w:val="0"/>
                <w:sz w:val="22"/>
                <w:szCs w:val="22"/>
              </w:rPr>
              <w:t>　</w:t>
            </w:r>
          </w:p>
        </w:tc>
      </w:tr>
    </w:tbl>
    <w:p>
      <w:pPr>
        <w:spacing w:line="400" w:lineRule="exact"/>
        <w:ind w:firstLine="108" w:firstLineChars="50"/>
        <w:jc w:val="left"/>
        <w:rPr>
          <w:rFonts w:ascii="仿宋_GB2312" w:hAnsi="宋体" w:eastAsia="仿宋_GB2312"/>
          <w:sz w:val="22"/>
          <w:szCs w:val="22"/>
        </w:rPr>
      </w:pPr>
      <w:r>
        <w:rPr>
          <w:rFonts w:hint="eastAsia" w:ascii="仿宋_GB2312" w:hAnsi="宋体" w:eastAsia="仿宋_GB2312"/>
          <w:sz w:val="22"/>
          <w:szCs w:val="22"/>
        </w:rPr>
        <w:t>注：本表反映部门本年度国有资本经营预算财政拨款支出情况。本部门没有使用国有资本经营预算安排的支出，故本表无数据。</w:t>
      </w:r>
    </w:p>
    <w:p>
      <w:pPr>
        <w:rPr>
          <w:rFonts w:ascii="仿宋_GB2312" w:hAnsi="宋体" w:eastAsia="仿宋_GB2312"/>
          <w:sz w:val="22"/>
          <w:szCs w:val="22"/>
        </w:rPr>
        <w:sectPr>
          <w:footerReference r:id="rId4" w:type="default"/>
          <w:footerReference r:id="rId5" w:type="even"/>
          <w:pgSz w:w="16838" w:h="11906" w:orient="landscape"/>
          <w:pgMar w:top="1531" w:right="1701" w:bottom="1531" w:left="1701" w:header="0" w:footer="1418" w:gutter="0"/>
          <w:cols w:space="720" w:num="1"/>
          <w:docGrid w:type="linesAndChars" w:linePitch="610" w:charSpace="-849"/>
        </w:sect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rPr>
          <w:rFonts w:ascii="方正小标宋简体" w:eastAsia="方正小标宋简体"/>
          <w:sz w:val="42"/>
        </w:rPr>
      </w:pPr>
    </w:p>
    <w:p>
      <w:pPr>
        <w:rPr>
          <w:rFonts w:ascii="仿宋_GB2312" w:hAnsi="宋体" w:eastAsia="仿宋_GB2312"/>
          <w:sz w:val="22"/>
          <w:szCs w:val="22"/>
        </w:rPr>
      </w:pPr>
      <w:r>
        <w:rPr>
          <w:rFonts w:hint="eastAsia" w:ascii="黑体" w:eastAsia="黑体"/>
          <w:sz w:val="52"/>
          <w:szCs w:val="52"/>
        </w:rPr>
        <w:t xml:space="preserve">  第三部分</w:t>
      </w:r>
    </w:p>
    <w:p>
      <w:pPr>
        <w:rPr>
          <w:rFonts w:ascii="黑体" w:eastAsia="黑体"/>
          <w:sz w:val="52"/>
          <w:szCs w:val="52"/>
        </w:rPr>
      </w:pPr>
    </w:p>
    <w:p>
      <w:pPr>
        <w:rPr>
          <w:rFonts w:ascii="黑体" w:eastAsia="黑体"/>
          <w:sz w:val="52"/>
          <w:szCs w:val="52"/>
        </w:rPr>
      </w:pPr>
    </w:p>
    <w:p>
      <w:pPr>
        <w:ind w:left="277" w:leftChars="8" w:hanging="260" w:hangingChars="50"/>
        <w:jc w:val="center"/>
        <w:rPr>
          <w:rFonts w:ascii="黑体" w:eastAsia="黑体"/>
          <w:sz w:val="52"/>
          <w:szCs w:val="52"/>
        </w:rPr>
      </w:pPr>
      <w:r>
        <w:rPr>
          <w:rFonts w:hint="eastAsia" w:ascii="黑体" w:eastAsia="黑体"/>
          <w:sz w:val="52"/>
          <w:szCs w:val="52"/>
        </w:rPr>
        <w:t>2020度部门决算情况说明</w:t>
      </w: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rPr>
          <w:rFonts w:ascii="黑体" w:eastAsia="黑体"/>
          <w:b/>
          <w:sz w:val="30"/>
          <w:szCs w:val="30"/>
        </w:rPr>
      </w:pPr>
    </w:p>
    <w:p>
      <w:pPr>
        <w:spacing w:line="560" w:lineRule="exact"/>
        <w:ind w:firstLine="640" w:firstLineChars="200"/>
        <w:rPr>
          <w:rFonts w:ascii="黑体" w:hAnsi="黑体" w:eastAsia="黑体"/>
          <w:sz w:val="32"/>
          <w:szCs w:val="32"/>
        </w:rPr>
      </w:pPr>
      <w:r>
        <w:rPr>
          <w:rFonts w:hint="eastAsia" w:ascii="黑体" w:hAnsi="黑体" w:eastAsia="黑体"/>
          <w:sz w:val="32"/>
          <w:szCs w:val="32"/>
        </w:rPr>
        <w:t>一、2020年度收入支出决算情况说明</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（一）收入支出决算总体情况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2020年度收入总计</w:t>
      </w:r>
      <w:r>
        <w:rPr>
          <w:rFonts w:ascii="仿宋_GB2312" w:eastAsia="仿宋_GB2312"/>
          <w:sz w:val="32"/>
          <w:szCs w:val="32"/>
        </w:rPr>
        <w:t>1321760.59</w:t>
      </w:r>
      <w:r>
        <w:rPr>
          <w:rFonts w:hint="eastAsia" w:ascii="仿宋_GB2312" w:eastAsia="仿宋_GB2312"/>
          <w:sz w:val="32"/>
          <w:szCs w:val="32"/>
        </w:rPr>
        <w:t>万元，支出总计</w:t>
      </w:r>
      <w:r>
        <w:rPr>
          <w:rFonts w:ascii="仿宋_GB2312" w:eastAsia="仿宋_GB2312"/>
          <w:sz w:val="32"/>
          <w:szCs w:val="32"/>
        </w:rPr>
        <w:t>1321760.59</w:t>
      </w:r>
      <w:r>
        <w:rPr>
          <w:rFonts w:hint="eastAsia" w:ascii="仿宋_GB2312" w:eastAsia="仿宋_GB2312"/>
          <w:sz w:val="32"/>
          <w:szCs w:val="32"/>
        </w:rPr>
        <w:t>万元。与2019年度相比，收、支总计各增加</w:t>
      </w:r>
      <w:r>
        <w:rPr>
          <w:rFonts w:ascii="仿宋_GB2312" w:eastAsia="仿宋_GB2312"/>
          <w:sz w:val="32"/>
          <w:szCs w:val="32"/>
        </w:rPr>
        <w:t>80063.83</w:t>
      </w:r>
      <w:r>
        <w:rPr>
          <w:rFonts w:hint="eastAsia" w:ascii="仿宋_GB2312" w:eastAsia="仿宋_GB2312"/>
          <w:sz w:val="32"/>
          <w:szCs w:val="32"/>
        </w:rPr>
        <w:t>万元，增长6.45%，主要是一般公共预算财政拨款收入、政府性基金预算财政拨款收入和其他支出、抗疫特别国债安排的支出增加。</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（二）收入决算情况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本年收入合计</w:t>
      </w:r>
      <w:r>
        <w:rPr>
          <w:rFonts w:ascii="仿宋_GB2312" w:eastAsia="仿宋_GB2312"/>
          <w:sz w:val="32"/>
          <w:szCs w:val="32"/>
        </w:rPr>
        <w:t>1286559.47</w:t>
      </w:r>
      <w:r>
        <w:rPr>
          <w:rFonts w:hint="eastAsia" w:ascii="仿宋_GB2312" w:eastAsia="仿宋_GB2312"/>
          <w:sz w:val="32"/>
          <w:szCs w:val="32"/>
        </w:rPr>
        <w:t>万元，其中：财政拨款收入</w:t>
      </w:r>
      <w:r>
        <w:rPr>
          <w:rFonts w:ascii="仿宋_GB2312" w:eastAsia="仿宋_GB2312"/>
          <w:sz w:val="32"/>
          <w:szCs w:val="32"/>
        </w:rPr>
        <w:t>188662.17</w:t>
      </w:r>
      <w:r>
        <w:rPr>
          <w:rFonts w:hint="eastAsia" w:ascii="仿宋_GB2312" w:eastAsia="仿宋_GB2312"/>
          <w:sz w:val="32"/>
          <w:szCs w:val="32"/>
        </w:rPr>
        <w:t>万元，占14.7%；政府性基金预算财政拨款收入</w:t>
      </w:r>
      <w:r>
        <w:rPr>
          <w:rFonts w:ascii="仿宋_GB2312" w:eastAsia="仿宋_GB2312"/>
          <w:sz w:val="32"/>
          <w:szCs w:val="32"/>
        </w:rPr>
        <w:t>55000</w:t>
      </w:r>
      <w:r>
        <w:rPr>
          <w:rFonts w:hint="eastAsia" w:ascii="仿宋_GB2312" w:eastAsia="仿宋_GB2312"/>
          <w:sz w:val="32"/>
          <w:szCs w:val="32"/>
        </w:rPr>
        <w:t>万元，占4.3%；事业收入</w:t>
      </w:r>
      <w:r>
        <w:rPr>
          <w:rFonts w:ascii="仿宋_GB2312" w:eastAsia="仿宋_GB2312"/>
          <w:sz w:val="32"/>
          <w:szCs w:val="32"/>
        </w:rPr>
        <w:t>1029386.02</w:t>
      </w:r>
      <w:r>
        <w:rPr>
          <w:rFonts w:hint="eastAsia" w:ascii="仿宋_GB2312" w:eastAsia="仿宋_GB2312"/>
          <w:sz w:val="32"/>
          <w:szCs w:val="32"/>
        </w:rPr>
        <w:t>万元，占80%；经营收入</w:t>
      </w:r>
      <w:r>
        <w:rPr>
          <w:rFonts w:ascii="仿宋_GB2312" w:eastAsia="仿宋_GB2312"/>
          <w:sz w:val="32"/>
          <w:szCs w:val="32"/>
        </w:rPr>
        <w:t>396.73</w:t>
      </w:r>
      <w:r>
        <w:rPr>
          <w:rFonts w:hint="eastAsia" w:ascii="仿宋_GB2312" w:eastAsia="仿宋_GB2312"/>
          <w:sz w:val="32"/>
          <w:szCs w:val="32"/>
        </w:rPr>
        <w:t>万元；上级补助收入15万元；其他收入</w:t>
      </w:r>
      <w:r>
        <w:rPr>
          <w:rFonts w:ascii="仿宋_GB2312" w:eastAsia="仿宋_GB2312"/>
          <w:sz w:val="32"/>
          <w:szCs w:val="32"/>
        </w:rPr>
        <w:t>13099.56</w:t>
      </w:r>
      <w:r>
        <w:rPr>
          <w:rFonts w:hint="eastAsia" w:ascii="仿宋_GB2312" w:eastAsia="仿宋_GB2312"/>
          <w:sz w:val="32"/>
          <w:szCs w:val="32"/>
        </w:rPr>
        <w:t>万元，占1%。</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（三）支出决算情况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本年支出合计</w:t>
      </w:r>
      <w:r>
        <w:rPr>
          <w:rFonts w:ascii="仿宋_GB2312" w:eastAsia="仿宋_GB2312"/>
          <w:sz w:val="32"/>
          <w:szCs w:val="32"/>
        </w:rPr>
        <w:t>1281276.23</w:t>
      </w:r>
      <w:r>
        <w:rPr>
          <w:rFonts w:hint="eastAsia" w:ascii="仿宋_GB2312" w:eastAsia="仿宋_GB2312"/>
          <w:sz w:val="32"/>
          <w:szCs w:val="32"/>
        </w:rPr>
        <w:t>万元，其中：基本支出</w:t>
      </w:r>
      <w:r>
        <w:rPr>
          <w:rFonts w:ascii="仿宋_GB2312" w:eastAsia="仿宋_GB2312"/>
          <w:sz w:val="32"/>
          <w:szCs w:val="32"/>
        </w:rPr>
        <w:t>1113180.87</w:t>
      </w:r>
      <w:r>
        <w:rPr>
          <w:rFonts w:hint="eastAsia" w:ascii="仿宋_GB2312" w:eastAsia="仿宋_GB2312"/>
          <w:sz w:val="32"/>
          <w:szCs w:val="32"/>
        </w:rPr>
        <w:t>万元，占86.9%；项目支出</w:t>
      </w:r>
      <w:r>
        <w:rPr>
          <w:rFonts w:ascii="仿宋_GB2312" w:eastAsia="仿宋_GB2312"/>
          <w:sz w:val="32"/>
          <w:szCs w:val="32"/>
        </w:rPr>
        <w:t>167672.54</w:t>
      </w:r>
      <w:r>
        <w:rPr>
          <w:rFonts w:hint="eastAsia" w:ascii="仿宋_GB2312" w:eastAsia="仿宋_GB2312"/>
          <w:sz w:val="32"/>
          <w:szCs w:val="32"/>
        </w:rPr>
        <w:t>万元，占13.1%；经营支出</w:t>
      </w:r>
      <w:r>
        <w:rPr>
          <w:rFonts w:ascii="仿宋_GB2312" w:eastAsia="仿宋_GB2312"/>
          <w:sz w:val="32"/>
          <w:szCs w:val="32"/>
        </w:rPr>
        <w:t>422.83</w:t>
      </w:r>
      <w:r>
        <w:rPr>
          <w:rFonts w:hint="eastAsia" w:ascii="仿宋_GB2312" w:eastAsia="仿宋_GB2312"/>
          <w:sz w:val="32"/>
          <w:szCs w:val="32"/>
        </w:rPr>
        <w:t>万元。</w:t>
      </w:r>
    </w:p>
    <w:p>
      <w:pPr>
        <w:spacing w:line="560" w:lineRule="exact"/>
        <w:ind w:firstLine="709"/>
        <w:rPr>
          <w:rFonts w:ascii="仿宋_GB2312" w:eastAsia="仿宋_GB2312"/>
          <w:b/>
          <w:sz w:val="32"/>
          <w:szCs w:val="32"/>
        </w:rPr>
      </w:pPr>
      <w:r>
        <w:rPr>
          <w:rFonts w:hint="eastAsia" w:ascii="楷体_GB2312" w:eastAsia="楷体_GB2312"/>
          <w:sz w:val="32"/>
          <w:szCs w:val="32"/>
        </w:rPr>
        <w:t>（四）财政拨款收入支出决算总体情况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2020年度财政拨款收、支总计分别为</w:t>
      </w:r>
      <w:r>
        <w:rPr>
          <w:rFonts w:ascii="仿宋_GB2312" w:eastAsia="仿宋_GB2312"/>
          <w:sz w:val="32"/>
          <w:szCs w:val="32"/>
        </w:rPr>
        <w:t>250817.12</w:t>
      </w:r>
      <w:r>
        <w:rPr>
          <w:rFonts w:hint="eastAsia" w:ascii="仿宋_GB2312" w:eastAsia="仿宋_GB2312"/>
          <w:sz w:val="32"/>
          <w:szCs w:val="32"/>
        </w:rPr>
        <w:t>万元。与2019年度相比，财政拨款收、支总计分别增加</w:t>
      </w:r>
      <w:r>
        <w:rPr>
          <w:rFonts w:ascii="仿宋_GB2312" w:eastAsia="仿宋_GB2312"/>
          <w:sz w:val="32"/>
          <w:szCs w:val="32"/>
        </w:rPr>
        <w:t>111136.6</w:t>
      </w:r>
      <w:r>
        <w:rPr>
          <w:rFonts w:hint="eastAsia" w:ascii="仿宋_GB2312" w:eastAsia="仿宋_GB2312"/>
          <w:sz w:val="32"/>
          <w:szCs w:val="32"/>
        </w:rPr>
        <w:t>8万元，增长79.6%，主要是一般公共预算财政拨款和政府性基金预算财政拨款增加。</w:t>
      </w:r>
    </w:p>
    <w:p>
      <w:pPr>
        <w:spacing w:line="560" w:lineRule="exact"/>
        <w:ind w:firstLine="709"/>
        <w:rPr>
          <w:rFonts w:ascii="楷体_GB2312" w:eastAsia="楷体_GB2312"/>
          <w:sz w:val="32"/>
          <w:szCs w:val="32"/>
        </w:rPr>
      </w:pPr>
      <w:r>
        <w:rPr>
          <w:rFonts w:hint="eastAsia" w:ascii="楷体_GB2312" w:eastAsia="楷体_GB2312"/>
          <w:sz w:val="32"/>
          <w:szCs w:val="32"/>
        </w:rPr>
        <w:t>（五）一般公共预算财政拨款支出决算情况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1.一般公共预算财政拨款支出决算总体情况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2020年度一般公共预算财政拨款支出</w:t>
      </w:r>
      <w:r>
        <w:rPr>
          <w:rFonts w:ascii="仿宋_GB2312" w:eastAsia="仿宋_GB2312"/>
          <w:sz w:val="32"/>
          <w:szCs w:val="32"/>
        </w:rPr>
        <w:t>191631.15</w:t>
      </w:r>
      <w:r>
        <w:rPr>
          <w:rFonts w:hint="eastAsia" w:ascii="仿宋_GB2312" w:eastAsia="仿宋_GB2312"/>
          <w:sz w:val="32"/>
          <w:szCs w:val="32"/>
        </w:rPr>
        <w:t xml:space="preserve">万元，占本年支出合计的15%。与2019年度相比，一般公共预算财政拨款支出增加 </w:t>
      </w:r>
      <w:r>
        <w:rPr>
          <w:rFonts w:ascii="仿宋_GB2312" w:eastAsia="仿宋_GB2312"/>
          <w:sz w:val="32"/>
          <w:szCs w:val="32"/>
        </w:rPr>
        <w:t>52105.6</w:t>
      </w:r>
      <w:r>
        <w:rPr>
          <w:rFonts w:hint="eastAsia" w:ascii="仿宋_GB2312" w:eastAsia="仿宋_GB2312"/>
          <w:sz w:val="32"/>
          <w:szCs w:val="32"/>
        </w:rPr>
        <w:t>6万元，增长37.3%。主要是卫生健康支出增加。</w:t>
      </w:r>
    </w:p>
    <w:p>
      <w:pPr>
        <w:spacing w:line="560" w:lineRule="exact"/>
        <w:ind w:firstLine="640" w:firstLineChars="200"/>
        <w:rPr>
          <w:rFonts w:ascii="仿宋_GB2312" w:eastAsia="仿宋_GB2312"/>
          <w:sz w:val="32"/>
          <w:szCs w:val="32"/>
        </w:rPr>
      </w:pPr>
      <w:r>
        <w:rPr>
          <w:rFonts w:hint="eastAsia" w:ascii="仿宋_GB2312" w:eastAsia="仿宋_GB2312"/>
          <w:bCs/>
          <w:sz w:val="32"/>
          <w:szCs w:val="32"/>
        </w:rPr>
        <w:t>2.</w:t>
      </w:r>
      <w:r>
        <w:rPr>
          <w:rFonts w:hint="eastAsia" w:ascii="仿宋_GB2312" w:eastAsia="仿宋_GB2312"/>
          <w:sz w:val="32"/>
          <w:szCs w:val="32"/>
        </w:rPr>
        <w:t>一般公共预算财政拨款支出决算结构情况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2020年度一般公共预算财政拨款支出</w:t>
      </w:r>
      <w:r>
        <w:rPr>
          <w:rFonts w:ascii="仿宋_GB2312" w:eastAsia="仿宋_GB2312"/>
          <w:sz w:val="32"/>
          <w:szCs w:val="32"/>
        </w:rPr>
        <w:t>191631.15</w:t>
      </w:r>
      <w:r>
        <w:rPr>
          <w:rFonts w:hint="eastAsia" w:ascii="仿宋_GB2312" w:eastAsia="仿宋_GB2312"/>
          <w:sz w:val="32"/>
          <w:szCs w:val="32"/>
        </w:rPr>
        <w:t>万元，主要用于以下方面：一般公共服务支出</w:t>
      </w:r>
      <w:r>
        <w:rPr>
          <w:rFonts w:ascii="仿宋_GB2312" w:eastAsia="仿宋_GB2312"/>
          <w:sz w:val="32"/>
          <w:szCs w:val="32"/>
        </w:rPr>
        <w:t>62.43</w:t>
      </w:r>
      <w:r>
        <w:rPr>
          <w:rFonts w:hint="eastAsia" w:ascii="仿宋_GB2312" w:eastAsia="仿宋_GB2312"/>
          <w:sz w:val="32"/>
          <w:szCs w:val="32"/>
        </w:rPr>
        <w:t>万元；教育支出</w:t>
      </w:r>
      <w:r>
        <w:rPr>
          <w:rFonts w:ascii="仿宋_GB2312" w:eastAsia="仿宋_GB2312"/>
          <w:sz w:val="32"/>
          <w:szCs w:val="32"/>
        </w:rPr>
        <w:t>8357.33</w:t>
      </w:r>
      <w:r>
        <w:rPr>
          <w:rFonts w:hint="eastAsia" w:ascii="仿宋_GB2312" w:eastAsia="仿宋_GB2312"/>
          <w:sz w:val="32"/>
          <w:szCs w:val="32"/>
        </w:rPr>
        <w:t>万元，占4.4%；科学技术支出</w:t>
      </w:r>
      <w:r>
        <w:rPr>
          <w:rFonts w:ascii="仿宋_GB2312" w:eastAsia="仿宋_GB2312"/>
          <w:sz w:val="32"/>
          <w:szCs w:val="32"/>
        </w:rPr>
        <w:t>926.72</w:t>
      </w:r>
      <w:r>
        <w:rPr>
          <w:rFonts w:hint="eastAsia" w:ascii="仿宋_GB2312" w:eastAsia="仿宋_GB2312"/>
          <w:sz w:val="32"/>
          <w:szCs w:val="32"/>
        </w:rPr>
        <w:t>万元，占0.5%；社会保障和就业支出</w:t>
      </w:r>
      <w:r>
        <w:rPr>
          <w:rFonts w:ascii="仿宋_GB2312" w:eastAsia="仿宋_GB2312"/>
          <w:sz w:val="32"/>
          <w:szCs w:val="32"/>
        </w:rPr>
        <w:t>35600.23</w:t>
      </w:r>
      <w:r>
        <w:rPr>
          <w:rFonts w:hint="eastAsia" w:ascii="仿宋_GB2312" w:eastAsia="仿宋_GB2312"/>
          <w:sz w:val="32"/>
          <w:szCs w:val="32"/>
        </w:rPr>
        <w:t>万元，占18.6%；卫生健康支出</w:t>
      </w:r>
      <w:r>
        <w:rPr>
          <w:rFonts w:ascii="仿宋_GB2312" w:eastAsia="仿宋_GB2312"/>
          <w:sz w:val="32"/>
          <w:szCs w:val="32"/>
        </w:rPr>
        <w:t>143864.3</w:t>
      </w:r>
      <w:r>
        <w:rPr>
          <w:rFonts w:hint="eastAsia" w:ascii="仿宋_GB2312" w:eastAsia="仿宋_GB2312"/>
          <w:sz w:val="32"/>
          <w:szCs w:val="32"/>
        </w:rPr>
        <w:t>万元，占75.1%；城乡社区支出</w:t>
      </w:r>
      <w:r>
        <w:rPr>
          <w:rFonts w:ascii="仿宋_GB2312" w:eastAsia="仿宋_GB2312"/>
          <w:sz w:val="32"/>
          <w:szCs w:val="32"/>
        </w:rPr>
        <w:t>1122.35</w:t>
      </w:r>
      <w:r>
        <w:rPr>
          <w:rFonts w:hint="eastAsia" w:ascii="仿宋_GB2312" w:eastAsia="仿宋_GB2312"/>
          <w:sz w:val="32"/>
          <w:szCs w:val="32"/>
        </w:rPr>
        <w:t>万元，占0.6%；住房保障支出</w:t>
      </w:r>
      <w:r>
        <w:rPr>
          <w:rFonts w:ascii="仿宋_GB2312" w:eastAsia="仿宋_GB2312"/>
          <w:sz w:val="32"/>
          <w:szCs w:val="32"/>
        </w:rPr>
        <w:t>1687.47</w:t>
      </w:r>
      <w:r>
        <w:rPr>
          <w:rFonts w:hint="eastAsia" w:ascii="仿宋_GB2312" w:eastAsia="仿宋_GB2312"/>
          <w:sz w:val="32"/>
          <w:szCs w:val="32"/>
        </w:rPr>
        <w:t>万元，占0.9%；商业服务业等支出</w:t>
      </w:r>
      <w:r>
        <w:rPr>
          <w:rFonts w:ascii="仿宋_GB2312" w:eastAsia="仿宋_GB2312"/>
          <w:sz w:val="32"/>
          <w:szCs w:val="32"/>
        </w:rPr>
        <w:t>10.33</w:t>
      </w:r>
      <w:r>
        <w:rPr>
          <w:rFonts w:hint="eastAsia" w:ascii="仿宋_GB2312" w:eastAsia="仿宋_GB2312"/>
          <w:sz w:val="32"/>
          <w:szCs w:val="32"/>
        </w:rPr>
        <w:t>万元。</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3.一般公共预算财政拨款支出决算具体情况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2020年度一般公共预算财政拨款支出年初预算为</w:t>
      </w:r>
      <w:r>
        <w:rPr>
          <w:rFonts w:ascii="仿宋_GB2312" w:eastAsia="仿宋_GB2312"/>
          <w:sz w:val="32"/>
          <w:szCs w:val="32"/>
        </w:rPr>
        <w:t>132924.66</w:t>
      </w:r>
      <w:r>
        <w:rPr>
          <w:rFonts w:hint="eastAsia" w:ascii="仿宋_GB2312" w:eastAsia="仿宋_GB2312"/>
          <w:sz w:val="32"/>
          <w:szCs w:val="32"/>
        </w:rPr>
        <w:t>万元，支出决算为</w:t>
      </w:r>
      <w:r>
        <w:rPr>
          <w:rFonts w:ascii="仿宋_GB2312" w:eastAsia="仿宋_GB2312"/>
          <w:sz w:val="32"/>
          <w:szCs w:val="32"/>
        </w:rPr>
        <w:t>191631.15</w:t>
      </w:r>
      <w:r>
        <w:rPr>
          <w:rFonts w:hint="eastAsia" w:ascii="仿宋_GB2312" w:eastAsia="仿宋_GB2312"/>
          <w:sz w:val="32"/>
          <w:szCs w:val="32"/>
        </w:rPr>
        <w:t>万元，完成年初预算的144.2%。决算数大于预算数的主要原因卫生健康支出增加。其中：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（1）一般公共服务（类）组织事务（款）其他组织事务支出（项）。年初预算为0万元，支出决算为</w:t>
      </w:r>
      <w:r>
        <w:rPr>
          <w:rFonts w:ascii="仿宋_GB2312" w:eastAsia="仿宋_GB2312"/>
          <w:sz w:val="32"/>
          <w:szCs w:val="32"/>
        </w:rPr>
        <w:t>20</w:t>
      </w:r>
      <w:r>
        <w:rPr>
          <w:rFonts w:hint="eastAsia" w:ascii="仿宋_GB2312" w:eastAsia="仿宋_GB2312"/>
          <w:sz w:val="32"/>
          <w:szCs w:val="32"/>
        </w:rPr>
        <w:t>万元。决算数大于预算数主要原因是年初预算数不包含本年度收到的外单位专项拨款。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（2）一般公共服务（类）市场监督管理事务（款）市场主体管理（项）。年初预算为0万元，支出决算为</w:t>
      </w:r>
      <w:r>
        <w:rPr>
          <w:rFonts w:ascii="仿宋_GB2312" w:eastAsia="仿宋_GB2312"/>
          <w:sz w:val="32"/>
          <w:szCs w:val="32"/>
        </w:rPr>
        <w:t>42.43</w:t>
      </w:r>
      <w:r>
        <w:rPr>
          <w:rFonts w:hint="eastAsia" w:ascii="仿宋_GB2312" w:eastAsia="仿宋_GB2312"/>
          <w:sz w:val="32"/>
          <w:szCs w:val="32"/>
        </w:rPr>
        <w:t>万元。决算数大于预算数主要原因是年初预算数不包含本年度收到的上级专款。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（3）教育支出（类）职业教育（款）中等职业教育（项）。年初预算为</w:t>
      </w:r>
      <w:r>
        <w:rPr>
          <w:rFonts w:ascii="仿宋_GB2312" w:eastAsia="仿宋_GB2312"/>
          <w:sz w:val="32"/>
          <w:szCs w:val="32"/>
        </w:rPr>
        <w:t>6984.95</w:t>
      </w:r>
      <w:r>
        <w:rPr>
          <w:rFonts w:hint="eastAsia" w:ascii="仿宋_GB2312" w:eastAsia="仿宋_GB2312"/>
          <w:sz w:val="32"/>
          <w:szCs w:val="32"/>
        </w:rPr>
        <w:t>万元，支出决算为</w:t>
      </w:r>
      <w:r>
        <w:rPr>
          <w:rFonts w:ascii="仿宋_GB2312" w:eastAsia="仿宋_GB2312"/>
          <w:sz w:val="32"/>
          <w:szCs w:val="32"/>
        </w:rPr>
        <w:t>8081.86</w:t>
      </w:r>
      <w:r>
        <w:rPr>
          <w:rFonts w:hint="eastAsia" w:ascii="仿宋_GB2312" w:eastAsia="仿宋_GB2312"/>
          <w:sz w:val="32"/>
          <w:szCs w:val="32"/>
        </w:rPr>
        <w:t>万元，完成年初预算的</w:t>
      </w:r>
      <w:r>
        <w:rPr>
          <w:rFonts w:ascii="仿宋_GB2312" w:eastAsia="仿宋_GB2312"/>
          <w:sz w:val="32"/>
          <w:szCs w:val="32"/>
        </w:rPr>
        <w:t>115.7</w:t>
      </w:r>
      <w:r>
        <w:rPr>
          <w:rFonts w:hint="eastAsia" w:ascii="仿宋_GB2312" w:eastAsia="仿宋_GB2312"/>
          <w:sz w:val="32"/>
          <w:szCs w:val="32"/>
        </w:rPr>
        <w:t>%。决算数大于预算数主要原因是商品和服务支出增加。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（4）教育支出（类）职业教育（款）高等职业教育（项）。年初预算为0万元，支出决算为20.31万元。决算数大于预算数主要原因是年初预算数不含本年度收到的外部门拨款。</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（5）教育支出（类）教育费附加安排的支出（款）其他教育费附加安排的支出（项）。年初预算为</w:t>
      </w:r>
      <w:r>
        <w:rPr>
          <w:rFonts w:ascii="仿宋_GB2312" w:eastAsia="仿宋_GB2312"/>
          <w:sz w:val="32"/>
          <w:szCs w:val="32"/>
        </w:rPr>
        <w:t>255.39</w:t>
      </w:r>
      <w:r>
        <w:rPr>
          <w:rFonts w:hint="eastAsia" w:ascii="仿宋_GB2312" w:eastAsia="仿宋_GB2312"/>
          <w:sz w:val="32"/>
          <w:szCs w:val="32"/>
        </w:rPr>
        <w:t>万元，支出决算为</w:t>
      </w:r>
      <w:r>
        <w:rPr>
          <w:rFonts w:ascii="仿宋_GB2312" w:eastAsia="仿宋_GB2312"/>
          <w:sz w:val="32"/>
          <w:szCs w:val="32"/>
        </w:rPr>
        <w:t>255.15</w:t>
      </w:r>
      <w:r>
        <w:rPr>
          <w:rFonts w:hint="eastAsia" w:ascii="仿宋_GB2312" w:eastAsia="仿宋_GB2312"/>
          <w:sz w:val="32"/>
          <w:szCs w:val="32"/>
        </w:rPr>
        <w:t>万元，完成年初预算的99.9%。决算数与年初预算基本持平。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（6）科学技术支出（类）技术研究与开发（款）其他技术研究与开发支出（项）。年初预算为900万元，支出决算为</w:t>
      </w:r>
      <w:r>
        <w:rPr>
          <w:rFonts w:ascii="仿宋_GB2312" w:eastAsia="仿宋_GB2312"/>
          <w:sz w:val="32"/>
          <w:szCs w:val="32"/>
        </w:rPr>
        <w:t>771.2</w:t>
      </w:r>
      <w:r>
        <w:rPr>
          <w:rFonts w:hint="eastAsia" w:ascii="仿宋_GB2312" w:eastAsia="仿宋_GB2312"/>
          <w:sz w:val="32"/>
          <w:szCs w:val="32"/>
        </w:rPr>
        <w:t>万元，完成年初预算的</w:t>
      </w:r>
      <w:r>
        <w:rPr>
          <w:rFonts w:ascii="仿宋_GB2312" w:eastAsia="仿宋_GB2312"/>
          <w:sz w:val="32"/>
          <w:szCs w:val="32"/>
        </w:rPr>
        <w:t>85.7</w:t>
      </w:r>
      <w:r>
        <w:rPr>
          <w:rFonts w:hint="eastAsia" w:ascii="仿宋_GB2312" w:eastAsia="仿宋_GB2312"/>
          <w:sz w:val="32"/>
          <w:szCs w:val="32"/>
        </w:rPr>
        <w:t>%。决算数小于预算数主要原因是科学技术类项目资金可结转下年使用。</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（7）科学技术支出（类）其他科学技术支出（款）科技奖励（项）。年初预算为</w:t>
      </w:r>
      <w:r>
        <w:rPr>
          <w:rFonts w:ascii="仿宋_GB2312" w:eastAsia="仿宋_GB2312"/>
          <w:sz w:val="32"/>
          <w:szCs w:val="32"/>
        </w:rPr>
        <w:t>150</w:t>
      </w:r>
      <w:r>
        <w:rPr>
          <w:rFonts w:hint="eastAsia" w:ascii="仿宋_GB2312" w:eastAsia="仿宋_GB2312"/>
          <w:sz w:val="32"/>
          <w:szCs w:val="32"/>
        </w:rPr>
        <w:t>万元，支出决算为</w:t>
      </w:r>
      <w:r>
        <w:rPr>
          <w:rFonts w:ascii="仿宋_GB2312" w:eastAsia="仿宋_GB2312"/>
          <w:sz w:val="32"/>
          <w:szCs w:val="32"/>
        </w:rPr>
        <w:t>150</w:t>
      </w:r>
      <w:r>
        <w:rPr>
          <w:rFonts w:hint="eastAsia" w:ascii="仿宋_GB2312" w:eastAsia="仿宋_GB2312"/>
          <w:sz w:val="32"/>
          <w:szCs w:val="32"/>
        </w:rPr>
        <w:t>万元，完成年初预算的100%。决算数与年初预算持平。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（8）科学技术支出（类）其他科学技术支出（款）其他科学技术支出（项）。年初预算为0万元，支出决算为</w:t>
      </w:r>
      <w:r>
        <w:rPr>
          <w:rFonts w:ascii="仿宋_GB2312" w:eastAsia="仿宋_GB2312"/>
          <w:sz w:val="32"/>
          <w:szCs w:val="32"/>
        </w:rPr>
        <w:t>5.53</w:t>
      </w:r>
      <w:r>
        <w:rPr>
          <w:rFonts w:hint="eastAsia" w:ascii="仿宋_GB2312" w:eastAsia="仿宋_GB2312"/>
          <w:sz w:val="32"/>
          <w:szCs w:val="32"/>
        </w:rPr>
        <w:t>万元。决算数大于预算数主要原因是年初预算数不包含本年度收到的上级专款。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（9）社会保障和就业支出（类）行政事业单位养老支出（款）事业单位离退休（项）。年初预算为0万元，支出决算为</w:t>
      </w:r>
      <w:r>
        <w:rPr>
          <w:rFonts w:ascii="仿宋_GB2312" w:eastAsia="仿宋_GB2312"/>
          <w:sz w:val="32"/>
          <w:szCs w:val="32"/>
        </w:rPr>
        <w:t>7.07</w:t>
      </w:r>
      <w:r>
        <w:rPr>
          <w:rFonts w:hint="eastAsia" w:ascii="仿宋_GB2312" w:eastAsia="仿宋_GB2312"/>
          <w:sz w:val="32"/>
          <w:szCs w:val="32"/>
        </w:rPr>
        <w:t>万元。决算数大于预算数主要原因是年初预算数不含本年度收到的事业单位离退休人员费用。</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（10）社会保障和就业支出（类）行政事业单位养老支出（款）机关事业单位基本养老保险缴费支出（项）。年初预算为</w:t>
      </w:r>
      <w:r>
        <w:rPr>
          <w:rFonts w:ascii="仿宋_GB2312" w:eastAsia="仿宋_GB2312"/>
          <w:sz w:val="32"/>
          <w:szCs w:val="32"/>
        </w:rPr>
        <w:t>23493.04</w:t>
      </w:r>
      <w:r>
        <w:rPr>
          <w:rFonts w:hint="eastAsia" w:ascii="仿宋_GB2312" w:eastAsia="仿宋_GB2312"/>
          <w:sz w:val="32"/>
          <w:szCs w:val="32"/>
        </w:rPr>
        <w:t>万元，支出决算为</w:t>
      </w:r>
      <w:r>
        <w:rPr>
          <w:rFonts w:ascii="仿宋_GB2312" w:eastAsia="仿宋_GB2312"/>
          <w:sz w:val="32"/>
          <w:szCs w:val="32"/>
        </w:rPr>
        <w:t>23570.25</w:t>
      </w:r>
      <w:r>
        <w:rPr>
          <w:rFonts w:hint="eastAsia" w:ascii="仿宋_GB2312" w:eastAsia="仿宋_GB2312"/>
          <w:sz w:val="32"/>
          <w:szCs w:val="32"/>
        </w:rPr>
        <w:t>万元，完成年初预算的</w:t>
      </w:r>
      <w:r>
        <w:rPr>
          <w:rFonts w:ascii="仿宋_GB2312" w:eastAsia="仿宋_GB2312"/>
          <w:sz w:val="32"/>
          <w:szCs w:val="32"/>
        </w:rPr>
        <w:t>100.3</w:t>
      </w:r>
      <w:r>
        <w:rPr>
          <w:rFonts w:hint="eastAsia" w:ascii="仿宋_GB2312" w:eastAsia="仿宋_GB2312"/>
          <w:sz w:val="32"/>
          <w:szCs w:val="32"/>
        </w:rPr>
        <w:t>%。决算数与年初预算基本持平。</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（11）社会保障和就业支出（类）行政事业单位养老支出（款）机关事业单位职业年金缴费支出（项）。年初预算为</w:t>
      </w:r>
      <w:r>
        <w:rPr>
          <w:rFonts w:ascii="仿宋_GB2312" w:eastAsia="仿宋_GB2312"/>
          <w:sz w:val="32"/>
          <w:szCs w:val="32"/>
        </w:rPr>
        <w:t>11710.05</w:t>
      </w:r>
      <w:r>
        <w:rPr>
          <w:rFonts w:hint="eastAsia" w:ascii="仿宋_GB2312" w:eastAsia="仿宋_GB2312"/>
          <w:sz w:val="32"/>
          <w:szCs w:val="32"/>
        </w:rPr>
        <w:t>万元，支出决算为</w:t>
      </w:r>
      <w:r>
        <w:rPr>
          <w:rFonts w:ascii="仿宋_GB2312" w:eastAsia="仿宋_GB2312"/>
          <w:sz w:val="32"/>
          <w:szCs w:val="32"/>
        </w:rPr>
        <w:t>11748.66</w:t>
      </w:r>
      <w:r>
        <w:rPr>
          <w:rFonts w:hint="eastAsia" w:ascii="仿宋_GB2312" w:eastAsia="仿宋_GB2312"/>
          <w:sz w:val="32"/>
          <w:szCs w:val="32"/>
        </w:rPr>
        <w:t>万元，完成年初预算的</w:t>
      </w:r>
      <w:r>
        <w:rPr>
          <w:rFonts w:ascii="仿宋_GB2312" w:eastAsia="仿宋_GB2312"/>
          <w:sz w:val="32"/>
          <w:szCs w:val="32"/>
        </w:rPr>
        <w:t>100.3</w:t>
      </w:r>
      <w:r>
        <w:rPr>
          <w:rFonts w:hint="eastAsia" w:ascii="仿宋_GB2312" w:eastAsia="仿宋_GB2312"/>
          <w:sz w:val="32"/>
          <w:szCs w:val="32"/>
        </w:rPr>
        <w:t>%。决算数与年初预算基本持平。</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（12）社会保障和就业支出（类）社会福利（款）社会福利事业单位（项）。年初预算为</w:t>
      </w:r>
      <w:r>
        <w:rPr>
          <w:rFonts w:ascii="仿宋_GB2312" w:eastAsia="仿宋_GB2312"/>
          <w:sz w:val="32"/>
          <w:szCs w:val="32"/>
        </w:rPr>
        <w:t>256.8</w:t>
      </w:r>
      <w:r>
        <w:rPr>
          <w:rFonts w:hint="eastAsia" w:ascii="仿宋_GB2312" w:eastAsia="仿宋_GB2312"/>
          <w:sz w:val="32"/>
          <w:szCs w:val="32"/>
        </w:rPr>
        <w:t>万元，支出决算为</w:t>
      </w:r>
      <w:r>
        <w:rPr>
          <w:rFonts w:ascii="仿宋_GB2312" w:eastAsia="仿宋_GB2312"/>
          <w:sz w:val="32"/>
          <w:szCs w:val="32"/>
        </w:rPr>
        <w:t>274.25</w:t>
      </w:r>
      <w:r>
        <w:rPr>
          <w:rFonts w:hint="eastAsia" w:ascii="仿宋_GB2312" w:eastAsia="仿宋_GB2312"/>
          <w:sz w:val="32"/>
          <w:szCs w:val="32"/>
        </w:rPr>
        <w:t>万元，完成年初预算的</w:t>
      </w:r>
      <w:r>
        <w:rPr>
          <w:rFonts w:ascii="仿宋_GB2312" w:eastAsia="仿宋_GB2312"/>
          <w:sz w:val="32"/>
          <w:szCs w:val="32"/>
        </w:rPr>
        <w:t>106.</w:t>
      </w:r>
      <w:r>
        <w:rPr>
          <w:rFonts w:hint="eastAsia" w:ascii="仿宋_GB2312" w:eastAsia="仿宋_GB2312"/>
          <w:sz w:val="32"/>
          <w:szCs w:val="32"/>
        </w:rPr>
        <w:t>8%。决算数与年初预算基本持平。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（13）卫生健康支出（类）卫生健康管理事务（款）行政运行（项）。年初预算为</w:t>
      </w:r>
      <w:r>
        <w:rPr>
          <w:rFonts w:ascii="仿宋_GB2312" w:eastAsia="仿宋_GB2312"/>
          <w:sz w:val="32"/>
          <w:szCs w:val="32"/>
        </w:rPr>
        <w:t>3948.34</w:t>
      </w:r>
      <w:r>
        <w:rPr>
          <w:rFonts w:hint="eastAsia" w:ascii="仿宋_GB2312" w:eastAsia="仿宋_GB2312"/>
          <w:sz w:val="32"/>
          <w:szCs w:val="32"/>
        </w:rPr>
        <w:t>万元，支出决算为</w:t>
      </w:r>
      <w:r>
        <w:rPr>
          <w:rFonts w:ascii="仿宋_GB2312" w:eastAsia="仿宋_GB2312"/>
          <w:sz w:val="32"/>
          <w:szCs w:val="32"/>
        </w:rPr>
        <w:t>4874.19</w:t>
      </w:r>
      <w:r>
        <w:rPr>
          <w:rFonts w:hint="eastAsia" w:ascii="仿宋_GB2312" w:eastAsia="仿宋_GB2312"/>
          <w:sz w:val="32"/>
          <w:szCs w:val="32"/>
        </w:rPr>
        <w:t>万元，完成年初预算的</w:t>
      </w:r>
      <w:r>
        <w:rPr>
          <w:rFonts w:ascii="仿宋_GB2312" w:eastAsia="仿宋_GB2312"/>
          <w:sz w:val="32"/>
          <w:szCs w:val="32"/>
        </w:rPr>
        <w:t>123.4</w:t>
      </w:r>
      <w:r>
        <w:rPr>
          <w:rFonts w:hint="eastAsia" w:ascii="仿宋_GB2312" w:eastAsia="仿宋_GB2312"/>
          <w:sz w:val="32"/>
          <w:szCs w:val="32"/>
        </w:rPr>
        <w:t>%。决算数大于预算数主要原因是商品服务支出增加。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（14）卫生健康支出（类）卫生健康管理事务（款）其他卫生健康管理事务支出（项）。年初预算为</w:t>
      </w:r>
      <w:r>
        <w:rPr>
          <w:rFonts w:ascii="仿宋_GB2312" w:eastAsia="仿宋_GB2312"/>
          <w:sz w:val="32"/>
          <w:szCs w:val="32"/>
        </w:rPr>
        <w:t>723.92</w:t>
      </w:r>
      <w:r>
        <w:rPr>
          <w:rFonts w:hint="eastAsia" w:ascii="仿宋_GB2312" w:eastAsia="仿宋_GB2312"/>
          <w:sz w:val="32"/>
          <w:szCs w:val="32"/>
        </w:rPr>
        <w:t>万元，支出决算为</w:t>
      </w:r>
      <w:r>
        <w:rPr>
          <w:rFonts w:ascii="仿宋_GB2312" w:eastAsia="仿宋_GB2312"/>
          <w:sz w:val="32"/>
          <w:szCs w:val="32"/>
        </w:rPr>
        <w:t>821.08</w:t>
      </w:r>
      <w:r>
        <w:rPr>
          <w:rFonts w:hint="eastAsia" w:ascii="仿宋_GB2312" w:eastAsia="仿宋_GB2312"/>
          <w:sz w:val="32"/>
          <w:szCs w:val="32"/>
        </w:rPr>
        <w:t>万元，完成年初预算的</w:t>
      </w:r>
      <w:r>
        <w:rPr>
          <w:rFonts w:ascii="仿宋_GB2312" w:eastAsia="仿宋_GB2312"/>
          <w:sz w:val="32"/>
          <w:szCs w:val="32"/>
        </w:rPr>
        <w:t>113.4</w:t>
      </w:r>
      <w:r>
        <w:rPr>
          <w:rFonts w:hint="eastAsia" w:ascii="仿宋_GB2312" w:eastAsia="仿宋_GB2312"/>
          <w:sz w:val="32"/>
          <w:szCs w:val="32"/>
        </w:rPr>
        <w:t>%。决算数大于预算数主要原因是商品和服务支出增加。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（15）卫生健康支出（类）公立医院（款）综合医院（项）。年初预算为</w:t>
      </w:r>
      <w:r>
        <w:rPr>
          <w:rFonts w:ascii="仿宋_GB2312" w:eastAsia="仿宋_GB2312"/>
          <w:sz w:val="32"/>
          <w:szCs w:val="32"/>
        </w:rPr>
        <w:t>20154.77</w:t>
      </w:r>
      <w:r>
        <w:rPr>
          <w:rFonts w:hint="eastAsia" w:ascii="仿宋_GB2312" w:eastAsia="仿宋_GB2312"/>
          <w:sz w:val="32"/>
          <w:szCs w:val="32"/>
        </w:rPr>
        <w:t>万元，支出决算为</w:t>
      </w:r>
      <w:r>
        <w:rPr>
          <w:rFonts w:ascii="仿宋_GB2312" w:eastAsia="仿宋_GB2312"/>
          <w:sz w:val="32"/>
          <w:szCs w:val="32"/>
        </w:rPr>
        <w:t>31536.43</w:t>
      </w:r>
      <w:r>
        <w:rPr>
          <w:rFonts w:hint="eastAsia" w:ascii="仿宋_GB2312" w:eastAsia="仿宋_GB2312"/>
          <w:sz w:val="32"/>
          <w:szCs w:val="32"/>
        </w:rPr>
        <w:t>万元，完成年初预算的</w:t>
      </w:r>
      <w:r>
        <w:rPr>
          <w:rFonts w:ascii="仿宋_GB2312" w:eastAsia="仿宋_GB2312"/>
          <w:sz w:val="32"/>
          <w:szCs w:val="32"/>
        </w:rPr>
        <w:t>156.</w:t>
      </w:r>
      <w:r>
        <w:rPr>
          <w:rFonts w:hint="eastAsia" w:ascii="仿宋_GB2312" w:eastAsia="仿宋_GB2312"/>
          <w:sz w:val="32"/>
          <w:szCs w:val="32"/>
        </w:rPr>
        <w:t>5%。决算数大于预算数主要原因是年初预算数不含本年度收到的上级专款及外单位拨款。</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（16）卫生健康支出（类）公立医院（款）中医（民族）医院（项）。年初预算为</w:t>
      </w:r>
      <w:r>
        <w:rPr>
          <w:rFonts w:ascii="仿宋_GB2312" w:eastAsia="仿宋_GB2312"/>
          <w:sz w:val="32"/>
          <w:szCs w:val="32"/>
        </w:rPr>
        <w:t>4709.75</w:t>
      </w:r>
      <w:r>
        <w:rPr>
          <w:rFonts w:hint="eastAsia" w:ascii="仿宋_GB2312" w:eastAsia="仿宋_GB2312"/>
          <w:sz w:val="32"/>
          <w:szCs w:val="32"/>
        </w:rPr>
        <w:t>万元，支出决算为</w:t>
      </w:r>
      <w:r>
        <w:rPr>
          <w:rFonts w:ascii="仿宋_GB2312" w:eastAsia="仿宋_GB2312"/>
          <w:sz w:val="32"/>
          <w:szCs w:val="32"/>
        </w:rPr>
        <w:t>4698.37</w:t>
      </w:r>
      <w:r>
        <w:rPr>
          <w:rFonts w:hint="eastAsia" w:ascii="仿宋_GB2312" w:eastAsia="仿宋_GB2312"/>
          <w:sz w:val="32"/>
          <w:szCs w:val="32"/>
        </w:rPr>
        <w:t>万元，完成年初预算的</w:t>
      </w:r>
      <w:r>
        <w:rPr>
          <w:rFonts w:ascii="仿宋_GB2312" w:eastAsia="仿宋_GB2312"/>
          <w:sz w:val="32"/>
          <w:szCs w:val="32"/>
        </w:rPr>
        <w:t>99.</w:t>
      </w:r>
      <w:r>
        <w:rPr>
          <w:rFonts w:hint="eastAsia" w:ascii="仿宋_GB2312" w:eastAsia="仿宋_GB2312"/>
          <w:sz w:val="32"/>
          <w:szCs w:val="32"/>
        </w:rPr>
        <w:t>8%。决算数与年初预算基本持平。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（17）卫生健康支出（类）公立医院（款）传染病医院（项）。年初预算为</w:t>
      </w:r>
      <w:r>
        <w:rPr>
          <w:rFonts w:ascii="仿宋_GB2312" w:eastAsia="仿宋_GB2312"/>
          <w:sz w:val="32"/>
          <w:szCs w:val="32"/>
        </w:rPr>
        <w:t>3159.98</w:t>
      </w:r>
      <w:r>
        <w:rPr>
          <w:rFonts w:hint="eastAsia" w:ascii="仿宋_GB2312" w:eastAsia="仿宋_GB2312"/>
          <w:sz w:val="32"/>
          <w:szCs w:val="32"/>
        </w:rPr>
        <w:t>万元，支出决算为</w:t>
      </w:r>
      <w:r>
        <w:rPr>
          <w:rFonts w:ascii="仿宋_GB2312" w:eastAsia="仿宋_GB2312"/>
          <w:sz w:val="32"/>
          <w:szCs w:val="32"/>
        </w:rPr>
        <w:t>4942.98</w:t>
      </w:r>
      <w:r>
        <w:rPr>
          <w:rFonts w:hint="eastAsia" w:ascii="仿宋_GB2312" w:eastAsia="仿宋_GB2312"/>
          <w:sz w:val="32"/>
          <w:szCs w:val="32"/>
        </w:rPr>
        <w:t>万元，完成年初预算的</w:t>
      </w:r>
      <w:r>
        <w:rPr>
          <w:rFonts w:ascii="仿宋_GB2312" w:eastAsia="仿宋_GB2312"/>
          <w:sz w:val="32"/>
          <w:szCs w:val="32"/>
        </w:rPr>
        <w:t>156.4</w:t>
      </w:r>
      <w:r>
        <w:rPr>
          <w:rFonts w:hint="eastAsia" w:ascii="仿宋_GB2312" w:eastAsia="仿宋_GB2312"/>
          <w:sz w:val="32"/>
          <w:szCs w:val="32"/>
        </w:rPr>
        <w:t>%。决算数大于预算数主要原因是疫情影响，医院支出增加。</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（18）卫生健康支出（类）公立医院（款）精神病医院（项）。年初预算为</w:t>
      </w:r>
      <w:r>
        <w:rPr>
          <w:rFonts w:ascii="仿宋_GB2312" w:eastAsia="仿宋_GB2312"/>
          <w:sz w:val="32"/>
          <w:szCs w:val="32"/>
        </w:rPr>
        <w:t>876.31</w:t>
      </w:r>
      <w:r>
        <w:rPr>
          <w:rFonts w:hint="eastAsia" w:ascii="仿宋_GB2312" w:eastAsia="仿宋_GB2312"/>
          <w:sz w:val="32"/>
          <w:szCs w:val="32"/>
        </w:rPr>
        <w:t>万元，支出决算为</w:t>
      </w:r>
      <w:r>
        <w:rPr>
          <w:rFonts w:ascii="仿宋_GB2312" w:eastAsia="仿宋_GB2312"/>
          <w:sz w:val="32"/>
          <w:szCs w:val="32"/>
        </w:rPr>
        <w:t>870.77</w:t>
      </w:r>
      <w:r>
        <w:rPr>
          <w:rFonts w:hint="eastAsia" w:ascii="仿宋_GB2312" w:eastAsia="仿宋_GB2312"/>
          <w:sz w:val="32"/>
          <w:szCs w:val="32"/>
        </w:rPr>
        <w:t>万元，完成年初预算的</w:t>
      </w:r>
      <w:r>
        <w:rPr>
          <w:rFonts w:ascii="仿宋_GB2312" w:eastAsia="仿宋_GB2312"/>
          <w:sz w:val="32"/>
          <w:szCs w:val="32"/>
        </w:rPr>
        <w:t>99.</w:t>
      </w:r>
      <w:r>
        <w:rPr>
          <w:rFonts w:hint="eastAsia" w:ascii="仿宋_GB2312" w:eastAsia="仿宋_GB2312"/>
          <w:sz w:val="32"/>
          <w:szCs w:val="32"/>
        </w:rPr>
        <w:t>4%。决算数与年初预算基本持平。</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（19）卫生健康支出（类）公立医院（款）儿童医院（项）。年初预算为</w:t>
      </w:r>
      <w:r>
        <w:rPr>
          <w:rFonts w:ascii="仿宋_GB2312" w:eastAsia="仿宋_GB2312"/>
          <w:sz w:val="32"/>
          <w:szCs w:val="32"/>
        </w:rPr>
        <w:t>2464.69</w:t>
      </w:r>
      <w:r>
        <w:rPr>
          <w:rFonts w:hint="eastAsia" w:ascii="仿宋_GB2312" w:eastAsia="仿宋_GB2312"/>
          <w:sz w:val="32"/>
          <w:szCs w:val="32"/>
        </w:rPr>
        <w:t>万元，支出决算为</w:t>
      </w:r>
      <w:r>
        <w:rPr>
          <w:rFonts w:ascii="仿宋_GB2312" w:eastAsia="仿宋_GB2312"/>
          <w:sz w:val="32"/>
          <w:szCs w:val="32"/>
        </w:rPr>
        <w:t>2808.23</w:t>
      </w:r>
      <w:r>
        <w:rPr>
          <w:rFonts w:hint="eastAsia" w:ascii="仿宋_GB2312" w:eastAsia="仿宋_GB2312"/>
          <w:sz w:val="32"/>
          <w:szCs w:val="32"/>
        </w:rPr>
        <w:t>万元，完成年初预算的</w:t>
      </w:r>
      <w:r>
        <w:rPr>
          <w:rFonts w:ascii="仿宋_GB2312" w:eastAsia="仿宋_GB2312"/>
          <w:sz w:val="32"/>
          <w:szCs w:val="32"/>
        </w:rPr>
        <w:t>113.9</w:t>
      </w:r>
      <w:r>
        <w:rPr>
          <w:rFonts w:hint="eastAsia" w:ascii="仿宋_GB2312" w:eastAsia="仿宋_GB2312"/>
          <w:sz w:val="32"/>
          <w:szCs w:val="32"/>
        </w:rPr>
        <w:t>%。决算数大于预算数主要原因是年初预算数不包含部分驻青单位预算数。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（20）卫生健康支出（类）公立医院（款）其他专科医院（项）。年初预算为</w:t>
      </w:r>
      <w:r>
        <w:rPr>
          <w:rFonts w:ascii="仿宋_GB2312" w:eastAsia="仿宋_GB2312"/>
          <w:sz w:val="32"/>
          <w:szCs w:val="32"/>
        </w:rPr>
        <w:t>707.33</w:t>
      </w:r>
      <w:r>
        <w:rPr>
          <w:rFonts w:hint="eastAsia" w:ascii="仿宋_GB2312" w:eastAsia="仿宋_GB2312"/>
          <w:sz w:val="32"/>
          <w:szCs w:val="32"/>
        </w:rPr>
        <w:t>万元，支出决算为</w:t>
      </w:r>
      <w:r>
        <w:rPr>
          <w:rFonts w:ascii="仿宋_GB2312" w:eastAsia="仿宋_GB2312"/>
          <w:sz w:val="32"/>
          <w:szCs w:val="32"/>
        </w:rPr>
        <w:t>536.37</w:t>
      </w:r>
      <w:r>
        <w:rPr>
          <w:rFonts w:hint="eastAsia" w:ascii="仿宋_GB2312" w:eastAsia="仿宋_GB2312"/>
          <w:sz w:val="32"/>
          <w:szCs w:val="32"/>
        </w:rPr>
        <w:t>万元，完成年初预算的</w:t>
      </w:r>
      <w:r>
        <w:rPr>
          <w:rFonts w:ascii="仿宋_GB2312" w:eastAsia="仿宋_GB2312"/>
          <w:sz w:val="32"/>
          <w:szCs w:val="32"/>
        </w:rPr>
        <w:t>75.8</w:t>
      </w:r>
      <w:r>
        <w:rPr>
          <w:rFonts w:hint="eastAsia" w:ascii="仿宋_GB2312" w:eastAsia="仿宋_GB2312"/>
          <w:sz w:val="32"/>
          <w:szCs w:val="32"/>
        </w:rPr>
        <w:t>%。决算数小于预算数主要原因是年初预算数包含部分驻青单位预算数。</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（21）卫生健康支出（类）公立医院（款）行业医院（项）。年初预算为</w:t>
      </w:r>
      <w:r>
        <w:rPr>
          <w:rFonts w:ascii="仿宋_GB2312" w:eastAsia="仿宋_GB2312"/>
          <w:sz w:val="32"/>
          <w:szCs w:val="32"/>
        </w:rPr>
        <w:t>469.68</w:t>
      </w:r>
      <w:r>
        <w:rPr>
          <w:rFonts w:hint="eastAsia" w:ascii="仿宋_GB2312" w:eastAsia="仿宋_GB2312"/>
          <w:sz w:val="32"/>
          <w:szCs w:val="32"/>
        </w:rPr>
        <w:t>万元，支出决算为0万元，完成年初预算的0%。决算数小于预算数主要原因是年初预算数包含部分驻青单位预算数。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（22）卫生健康支出（类）公立医院（款）其他公立医院支出（项）。年初预算为</w:t>
      </w:r>
      <w:r>
        <w:rPr>
          <w:rFonts w:ascii="仿宋_GB2312" w:eastAsia="仿宋_GB2312"/>
          <w:sz w:val="32"/>
          <w:szCs w:val="32"/>
        </w:rPr>
        <w:t>450.02</w:t>
      </w:r>
      <w:r>
        <w:rPr>
          <w:rFonts w:hint="eastAsia" w:ascii="仿宋_GB2312" w:eastAsia="仿宋_GB2312"/>
          <w:sz w:val="32"/>
          <w:szCs w:val="32"/>
        </w:rPr>
        <w:t>万元，支出决算为</w:t>
      </w:r>
      <w:r>
        <w:rPr>
          <w:rFonts w:ascii="仿宋_GB2312" w:eastAsia="仿宋_GB2312"/>
          <w:sz w:val="32"/>
          <w:szCs w:val="32"/>
        </w:rPr>
        <w:t>17244.38</w:t>
      </w:r>
      <w:r>
        <w:rPr>
          <w:rFonts w:hint="eastAsia" w:ascii="仿宋_GB2312" w:eastAsia="仿宋_GB2312"/>
          <w:sz w:val="32"/>
          <w:szCs w:val="32"/>
        </w:rPr>
        <w:t>万元，完成年初预算的</w:t>
      </w:r>
      <w:r>
        <w:rPr>
          <w:rFonts w:ascii="仿宋_GB2312" w:eastAsia="仿宋_GB2312"/>
          <w:sz w:val="32"/>
          <w:szCs w:val="32"/>
        </w:rPr>
        <w:t>3831.9</w:t>
      </w:r>
      <w:r>
        <w:rPr>
          <w:rFonts w:hint="eastAsia" w:ascii="仿宋_GB2312" w:eastAsia="仿宋_GB2312"/>
          <w:sz w:val="32"/>
          <w:szCs w:val="32"/>
        </w:rPr>
        <w:t>%。决算数大于预算数主要原因是年初预算数不包含因疫情收到的上级专款。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（23）卫生健康支出（类）公共卫生（款）疾病预防控制机构（项）。年初预算为</w:t>
      </w:r>
      <w:r>
        <w:rPr>
          <w:rFonts w:ascii="仿宋_GB2312" w:eastAsia="仿宋_GB2312"/>
          <w:sz w:val="32"/>
          <w:szCs w:val="32"/>
        </w:rPr>
        <w:t>5811.93</w:t>
      </w:r>
      <w:r>
        <w:rPr>
          <w:rFonts w:hint="eastAsia" w:ascii="仿宋_GB2312" w:eastAsia="仿宋_GB2312"/>
          <w:sz w:val="32"/>
          <w:szCs w:val="32"/>
        </w:rPr>
        <w:t>万元，支出决算为</w:t>
      </w:r>
      <w:r>
        <w:rPr>
          <w:rFonts w:ascii="仿宋_GB2312" w:eastAsia="仿宋_GB2312"/>
          <w:sz w:val="32"/>
          <w:szCs w:val="32"/>
        </w:rPr>
        <w:t>7838.72</w:t>
      </w:r>
      <w:r>
        <w:rPr>
          <w:rFonts w:hint="eastAsia" w:ascii="仿宋_GB2312" w:eastAsia="仿宋_GB2312"/>
          <w:sz w:val="32"/>
          <w:szCs w:val="32"/>
        </w:rPr>
        <w:t>万元，完成年初预算的</w:t>
      </w:r>
      <w:r>
        <w:rPr>
          <w:rFonts w:ascii="仿宋_GB2312" w:eastAsia="仿宋_GB2312"/>
          <w:sz w:val="32"/>
          <w:szCs w:val="32"/>
        </w:rPr>
        <w:t>134.</w:t>
      </w:r>
      <w:r>
        <w:rPr>
          <w:rFonts w:hint="eastAsia" w:ascii="仿宋_GB2312" w:eastAsia="仿宋_GB2312"/>
          <w:sz w:val="32"/>
          <w:szCs w:val="32"/>
        </w:rPr>
        <w:t>9%。决算数大于预算数主要原因是商品和服务支出增加。</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（24）卫生健康支出（类）公共卫生（款）卫生监督机构（项）。年初预算为</w:t>
      </w:r>
      <w:r>
        <w:rPr>
          <w:rFonts w:ascii="仿宋_GB2312" w:eastAsia="仿宋_GB2312"/>
          <w:sz w:val="32"/>
          <w:szCs w:val="32"/>
        </w:rPr>
        <w:t>2223.57</w:t>
      </w:r>
      <w:r>
        <w:rPr>
          <w:rFonts w:hint="eastAsia" w:ascii="仿宋_GB2312" w:eastAsia="仿宋_GB2312"/>
          <w:sz w:val="32"/>
          <w:szCs w:val="32"/>
        </w:rPr>
        <w:t>万元，支出决算为</w:t>
      </w:r>
      <w:r>
        <w:rPr>
          <w:rFonts w:ascii="仿宋_GB2312" w:eastAsia="仿宋_GB2312"/>
          <w:sz w:val="32"/>
          <w:szCs w:val="32"/>
        </w:rPr>
        <w:t>2667.24</w:t>
      </w:r>
      <w:r>
        <w:rPr>
          <w:rFonts w:hint="eastAsia" w:ascii="仿宋_GB2312" w:eastAsia="仿宋_GB2312"/>
          <w:sz w:val="32"/>
          <w:szCs w:val="32"/>
        </w:rPr>
        <w:t>万元，完成年初预算的120%。决算数大于预算数主要原因是商品和服务支出增加。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（25）卫生健康支出（类）公共卫生（款）妇幼保健机构（项）。年初预算为</w:t>
      </w:r>
      <w:r>
        <w:rPr>
          <w:rFonts w:ascii="仿宋_GB2312" w:eastAsia="仿宋_GB2312"/>
          <w:sz w:val="32"/>
          <w:szCs w:val="32"/>
        </w:rPr>
        <w:t>1244.54</w:t>
      </w:r>
      <w:r>
        <w:rPr>
          <w:rFonts w:hint="eastAsia" w:ascii="仿宋_GB2312" w:eastAsia="仿宋_GB2312"/>
          <w:sz w:val="32"/>
          <w:szCs w:val="32"/>
        </w:rPr>
        <w:t>万元，支出决算为</w:t>
      </w:r>
      <w:r>
        <w:rPr>
          <w:rFonts w:ascii="仿宋_GB2312" w:eastAsia="仿宋_GB2312"/>
          <w:sz w:val="32"/>
          <w:szCs w:val="32"/>
        </w:rPr>
        <w:t>1445.91</w:t>
      </w:r>
      <w:r>
        <w:rPr>
          <w:rFonts w:hint="eastAsia" w:ascii="仿宋_GB2312" w:eastAsia="仿宋_GB2312"/>
          <w:sz w:val="32"/>
          <w:szCs w:val="32"/>
        </w:rPr>
        <w:t>万元，完成年初预算的</w:t>
      </w:r>
      <w:r>
        <w:rPr>
          <w:rFonts w:ascii="仿宋_GB2312" w:eastAsia="仿宋_GB2312"/>
          <w:sz w:val="32"/>
          <w:szCs w:val="32"/>
        </w:rPr>
        <w:t>116.</w:t>
      </w:r>
      <w:r>
        <w:rPr>
          <w:rFonts w:hint="eastAsia" w:ascii="仿宋_GB2312" w:eastAsia="仿宋_GB2312"/>
          <w:sz w:val="32"/>
          <w:szCs w:val="32"/>
        </w:rPr>
        <w:t>2%。决算数大于预算数主要原因是商品和服务支出增加。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（26）卫生健康支出（类）公共卫生（款）应急救治机构（项）。年初预算为</w:t>
      </w:r>
      <w:r>
        <w:rPr>
          <w:rFonts w:ascii="仿宋_GB2312" w:eastAsia="仿宋_GB2312"/>
          <w:sz w:val="32"/>
          <w:szCs w:val="32"/>
        </w:rPr>
        <w:t>2005.66</w:t>
      </w:r>
      <w:r>
        <w:rPr>
          <w:rFonts w:hint="eastAsia" w:ascii="仿宋_GB2312" w:eastAsia="仿宋_GB2312"/>
          <w:sz w:val="32"/>
          <w:szCs w:val="32"/>
        </w:rPr>
        <w:t>万元，支出决算为</w:t>
      </w:r>
      <w:r>
        <w:rPr>
          <w:rFonts w:ascii="仿宋_GB2312" w:eastAsia="仿宋_GB2312"/>
          <w:sz w:val="32"/>
          <w:szCs w:val="32"/>
        </w:rPr>
        <w:t>2599.47</w:t>
      </w:r>
      <w:r>
        <w:rPr>
          <w:rFonts w:hint="eastAsia" w:ascii="仿宋_GB2312" w:eastAsia="仿宋_GB2312"/>
          <w:sz w:val="32"/>
          <w:szCs w:val="32"/>
        </w:rPr>
        <w:t>万元，完成年初预算的</w:t>
      </w:r>
      <w:r>
        <w:rPr>
          <w:rFonts w:ascii="仿宋_GB2312" w:eastAsia="仿宋_GB2312"/>
          <w:sz w:val="32"/>
          <w:szCs w:val="32"/>
        </w:rPr>
        <w:t>129.6</w:t>
      </w:r>
      <w:r>
        <w:rPr>
          <w:rFonts w:hint="eastAsia" w:ascii="仿宋_GB2312" w:eastAsia="仿宋_GB2312"/>
          <w:sz w:val="32"/>
          <w:szCs w:val="32"/>
        </w:rPr>
        <w:t>%。决算数大于预算数主要原因是商品和服务支出增加。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（27）卫生健康支出（类）公共卫生（款）采供血机构（项）。年初预算为</w:t>
      </w:r>
      <w:r>
        <w:rPr>
          <w:rFonts w:ascii="仿宋_GB2312" w:eastAsia="仿宋_GB2312"/>
          <w:sz w:val="32"/>
          <w:szCs w:val="32"/>
        </w:rPr>
        <w:t>13529.39</w:t>
      </w:r>
      <w:r>
        <w:rPr>
          <w:rFonts w:hint="eastAsia" w:ascii="仿宋_GB2312" w:eastAsia="仿宋_GB2312"/>
          <w:sz w:val="32"/>
          <w:szCs w:val="32"/>
        </w:rPr>
        <w:t>万元，支出决算为</w:t>
      </w:r>
      <w:r>
        <w:rPr>
          <w:rFonts w:ascii="仿宋_GB2312" w:eastAsia="仿宋_GB2312"/>
          <w:sz w:val="32"/>
          <w:szCs w:val="32"/>
        </w:rPr>
        <w:t>14560.13</w:t>
      </w:r>
      <w:r>
        <w:rPr>
          <w:rFonts w:hint="eastAsia" w:ascii="仿宋_GB2312" w:eastAsia="仿宋_GB2312"/>
          <w:sz w:val="32"/>
          <w:szCs w:val="32"/>
        </w:rPr>
        <w:t>万元，完成年初预算的</w:t>
      </w:r>
      <w:r>
        <w:rPr>
          <w:rFonts w:ascii="仿宋_GB2312" w:eastAsia="仿宋_GB2312"/>
          <w:sz w:val="32"/>
          <w:szCs w:val="32"/>
        </w:rPr>
        <w:t>107.6</w:t>
      </w:r>
      <w:r>
        <w:rPr>
          <w:rFonts w:hint="eastAsia" w:ascii="仿宋_GB2312" w:eastAsia="仿宋_GB2312"/>
          <w:sz w:val="32"/>
          <w:szCs w:val="32"/>
        </w:rPr>
        <w:t>%。决算数大于预算数主要原因是商品和服务支出增加。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（28）卫生健康支出（类）公共卫生（款）其他专业公共卫生机构（项）。年初预算为</w:t>
      </w:r>
      <w:r>
        <w:rPr>
          <w:rFonts w:ascii="仿宋_GB2312" w:eastAsia="仿宋_GB2312"/>
          <w:sz w:val="32"/>
          <w:szCs w:val="32"/>
        </w:rPr>
        <w:t>760.36</w:t>
      </w:r>
      <w:r>
        <w:rPr>
          <w:rFonts w:hint="eastAsia" w:ascii="仿宋_GB2312" w:eastAsia="仿宋_GB2312"/>
          <w:sz w:val="32"/>
          <w:szCs w:val="32"/>
        </w:rPr>
        <w:t>万元，支出决算为</w:t>
      </w:r>
      <w:r>
        <w:rPr>
          <w:rFonts w:ascii="仿宋_GB2312" w:eastAsia="仿宋_GB2312"/>
          <w:sz w:val="32"/>
          <w:szCs w:val="32"/>
        </w:rPr>
        <w:t>887.56</w:t>
      </w:r>
      <w:r>
        <w:rPr>
          <w:rFonts w:hint="eastAsia" w:ascii="仿宋_GB2312" w:eastAsia="仿宋_GB2312"/>
          <w:sz w:val="32"/>
          <w:szCs w:val="32"/>
        </w:rPr>
        <w:t>万元，完成年初预算的</w:t>
      </w:r>
      <w:r>
        <w:rPr>
          <w:rFonts w:ascii="仿宋_GB2312" w:eastAsia="仿宋_GB2312"/>
          <w:sz w:val="32"/>
          <w:szCs w:val="32"/>
        </w:rPr>
        <w:t>116.7</w:t>
      </w:r>
      <w:r>
        <w:rPr>
          <w:rFonts w:hint="eastAsia" w:ascii="仿宋_GB2312" w:eastAsia="仿宋_GB2312"/>
          <w:sz w:val="32"/>
          <w:szCs w:val="32"/>
        </w:rPr>
        <w:t>%。决算数大于预算数主要原因是商品和服务支出增加。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（29）卫生健康支出（类）公共卫生（款）基本公共卫生服务（项）。年初预算为0万元，支出决算为</w:t>
      </w:r>
      <w:r>
        <w:rPr>
          <w:rFonts w:ascii="仿宋_GB2312" w:eastAsia="仿宋_GB2312"/>
          <w:sz w:val="32"/>
          <w:szCs w:val="32"/>
        </w:rPr>
        <w:t>1477.45</w:t>
      </w:r>
      <w:r>
        <w:rPr>
          <w:rFonts w:hint="eastAsia" w:ascii="仿宋_GB2312" w:eastAsia="仿宋_GB2312"/>
          <w:sz w:val="32"/>
          <w:szCs w:val="32"/>
        </w:rPr>
        <w:t>万元。决算数大于预算数主要原因是年初预算数不含本年度收到的上级专款。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（30）卫生健康支出（类）公共卫生（款）重大公共卫生服务（项）。年初预算为0万元，支出决算为</w:t>
      </w:r>
      <w:r>
        <w:rPr>
          <w:rFonts w:ascii="仿宋_GB2312" w:eastAsia="仿宋_GB2312"/>
          <w:sz w:val="32"/>
          <w:szCs w:val="32"/>
        </w:rPr>
        <w:t>4604.15</w:t>
      </w:r>
      <w:r>
        <w:rPr>
          <w:rFonts w:hint="eastAsia" w:ascii="仿宋_GB2312" w:eastAsia="仿宋_GB2312"/>
          <w:sz w:val="32"/>
          <w:szCs w:val="32"/>
        </w:rPr>
        <w:t>万元。决算数大于预算数主要原因是年初预算数不含本年度收到的上级专款。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（31）卫生健康支出（类）公共卫生（款）突发公共卫生事件应急处理（项）。年初预算为</w:t>
      </w:r>
      <w:r>
        <w:rPr>
          <w:rFonts w:ascii="仿宋_GB2312" w:eastAsia="仿宋_GB2312"/>
          <w:sz w:val="32"/>
          <w:szCs w:val="32"/>
        </w:rPr>
        <w:t>7894.1</w:t>
      </w:r>
      <w:r>
        <w:rPr>
          <w:rFonts w:hint="eastAsia" w:ascii="仿宋_GB2312" w:eastAsia="仿宋_GB2312"/>
          <w:sz w:val="32"/>
          <w:szCs w:val="32"/>
        </w:rPr>
        <w:t>万元，支出决算为</w:t>
      </w:r>
      <w:r>
        <w:rPr>
          <w:rFonts w:ascii="仿宋_GB2312" w:eastAsia="仿宋_GB2312"/>
          <w:sz w:val="32"/>
          <w:szCs w:val="32"/>
        </w:rPr>
        <w:t>14893.56</w:t>
      </w:r>
      <w:r>
        <w:rPr>
          <w:rFonts w:hint="eastAsia" w:ascii="仿宋_GB2312" w:eastAsia="仿宋_GB2312"/>
          <w:sz w:val="32"/>
          <w:szCs w:val="32"/>
        </w:rPr>
        <w:t>万元，完成年初预算的</w:t>
      </w:r>
      <w:r>
        <w:rPr>
          <w:rFonts w:ascii="仿宋_GB2312" w:eastAsia="仿宋_GB2312"/>
          <w:sz w:val="32"/>
          <w:szCs w:val="32"/>
        </w:rPr>
        <w:t>188.</w:t>
      </w:r>
      <w:r>
        <w:rPr>
          <w:rFonts w:hint="eastAsia" w:ascii="仿宋_GB2312" w:eastAsia="仿宋_GB2312"/>
          <w:sz w:val="32"/>
          <w:szCs w:val="32"/>
        </w:rPr>
        <w:t>7%。决算数大于预算数主要原因是年初预算数不含疫情追加资金及本年度收到的上级疫情资金。</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（32）卫生健康支出（类）公共卫生（款）其他公共卫生支出（项）。年初预算为</w:t>
      </w:r>
      <w:r>
        <w:rPr>
          <w:rFonts w:ascii="仿宋_GB2312" w:eastAsia="仿宋_GB2312"/>
          <w:sz w:val="32"/>
          <w:szCs w:val="32"/>
        </w:rPr>
        <w:t>7082.98</w:t>
      </w:r>
      <w:r>
        <w:rPr>
          <w:rFonts w:hint="eastAsia" w:ascii="仿宋_GB2312" w:eastAsia="仿宋_GB2312"/>
          <w:sz w:val="32"/>
          <w:szCs w:val="32"/>
        </w:rPr>
        <w:t>万元，支出决算为</w:t>
      </w:r>
      <w:r>
        <w:rPr>
          <w:rFonts w:ascii="仿宋_GB2312" w:eastAsia="仿宋_GB2312"/>
          <w:sz w:val="32"/>
          <w:szCs w:val="32"/>
        </w:rPr>
        <w:t>18602.22</w:t>
      </w:r>
      <w:r>
        <w:rPr>
          <w:rFonts w:hint="eastAsia" w:ascii="仿宋_GB2312" w:eastAsia="仿宋_GB2312"/>
          <w:sz w:val="32"/>
          <w:szCs w:val="32"/>
        </w:rPr>
        <w:t>万元，完成年初预算的</w:t>
      </w:r>
      <w:r>
        <w:rPr>
          <w:rFonts w:ascii="仿宋_GB2312" w:eastAsia="仿宋_GB2312"/>
          <w:sz w:val="32"/>
          <w:szCs w:val="32"/>
        </w:rPr>
        <w:t>262.6</w:t>
      </w:r>
      <w:r>
        <w:rPr>
          <w:rFonts w:hint="eastAsia" w:ascii="仿宋_GB2312" w:eastAsia="仿宋_GB2312"/>
          <w:sz w:val="32"/>
          <w:szCs w:val="32"/>
        </w:rPr>
        <w:t>%。决算数大于预算数主要原因是预算数不含本年度收到的上级专款、疫情追加资金等。</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（33）卫生健康支出（类）中医药（款）中医（民族医）药专项（项）。年初预算为</w:t>
      </w:r>
      <w:r>
        <w:rPr>
          <w:rFonts w:ascii="仿宋_GB2312" w:eastAsia="仿宋_GB2312"/>
          <w:sz w:val="32"/>
          <w:szCs w:val="32"/>
        </w:rPr>
        <w:t>36</w:t>
      </w:r>
      <w:r>
        <w:rPr>
          <w:rFonts w:hint="eastAsia" w:ascii="仿宋_GB2312" w:eastAsia="仿宋_GB2312"/>
          <w:sz w:val="32"/>
          <w:szCs w:val="32"/>
        </w:rPr>
        <w:t>万元，支出决算为</w:t>
      </w:r>
      <w:r>
        <w:rPr>
          <w:rFonts w:ascii="仿宋_GB2312" w:eastAsia="仿宋_GB2312"/>
          <w:sz w:val="32"/>
          <w:szCs w:val="32"/>
        </w:rPr>
        <w:t>130.04</w:t>
      </w:r>
      <w:r>
        <w:rPr>
          <w:rFonts w:hint="eastAsia" w:ascii="仿宋_GB2312" w:eastAsia="仿宋_GB2312"/>
          <w:sz w:val="32"/>
          <w:szCs w:val="32"/>
        </w:rPr>
        <w:t>万元，完成年初预算的</w:t>
      </w:r>
      <w:r>
        <w:rPr>
          <w:rFonts w:ascii="仿宋_GB2312" w:eastAsia="仿宋_GB2312"/>
          <w:sz w:val="32"/>
          <w:szCs w:val="32"/>
        </w:rPr>
        <w:t>361.2</w:t>
      </w:r>
      <w:r>
        <w:rPr>
          <w:rFonts w:hint="eastAsia" w:ascii="仿宋_GB2312" w:eastAsia="仿宋_GB2312"/>
          <w:sz w:val="32"/>
          <w:szCs w:val="32"/>
        </w:rPr>
        <w:t xml:space="preserve"> %。决算数大于预算数主要原因是预算数不包含本年度收到的上级拨款。</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（34）卫生健康支出（类）计划生育事务（款）计划生育机构（项）。年初预算为</w:t>
      </w:r>
      <w:r>
        <w:rPr>
          <w:rFonts w:ascii="仿宋_GB2312" w:eastAsia="仿宋_GB2312"/>
          <w:sz w:val="32"/>
          <w:szCs w:val="32"/>
        </w:rPr>
        <w:t>252.27</w:t>
      </w:r>
      <w:r>
        <w:rPr>
          <w:rFonts w:hint="eastAsia" w:ascii="仿宋_GB2312" w:eastAsia="仿宋_GB2312"/>
          <w:sz w:val="32"/>
          <w:szCs w:val="32"/>
        </w:rPr>
        <w:t>万元，支出决算为</w:t>
      </w:r>
      <w:r>
        <w:rPr>
          <w:rFonts w:ascii="仿宋_GB2312" w:eastAsia="仿宋_GB2312"/>
          <w:sz w:val="32"/>
          <w:szCs w:val="32"/>
        </w:rPr>
        <w:t>292.2</w:t>
      </w:r>
      <w:r>
        <w:rPr>
          <w:rFonts w:hint="eastAsia" w:ascii="仿宋_GB2312" w:eastAsia="仿宋_GB2312"/>
          <w:sz w:val="32"/>
          <w:szCs w:val="32"/>
        </w:rPr>
        <w:t>万元，完成年初预算的</w:t>
      </w:r>
      <w:r>
        <w:rPr>
          <w:rFonts w:ascii="仿宋_GB2312" w:eastAsia="仿宋_GB2312"/>
          <w:sz w:val="32"/>
          <w:szCs w:val="32"/>
        </w:rPr>
        <w:t>115.8</w:t>
      </w:r>
      <w:r>
        <w:rPr>
          <w:rFonts w:hint="eastAsia" w:ascii="仿宋_GB2312" w:eastAsia="仿宋_GB2312"/>
          <w:sz w:val="32"/>
          <w:szCs w:val="32"/>
        </w:rPr>
        <w:t xml:space="preserve"> %。决算数大于预算数主要原因是商品和服务支出增加。</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（35）卫生健康支出（类）计划生育事务（款）其他计划生育事务支出（项）。年初预算为</w:t>
      </w:r>
      <w:r>
        <w:rPr>
          <w:rFonts w:ascii="仿宋_GB2312" w:eastAsia="仿宋_GB2312"/>
          <w:sz w:val="32"/>
          <w:szCs w:val="32"/>
        </w:rPr>
        <w:t>53</w:t>
      </w:r>
      <w:r>
        <w:rPr>
          <w:rFonts w:hint="eastAsia" w:ascii="仿宋_GB2312" w:eastAsia="仿宋_GB2312"/>
          <w:sz w:val="32"/>
          <w:szCs w:val="32"/>
        </w:rPr>
        <w:t>万元，支出决算为</w:t>
      </w:r>
      <w:r>
        <w:rPr>
          <w:rFonts w:ascii="仿宋_GB2312" w:eastAsia="仿宋_GB2312"/>
          <w:sz w:val="32"/>
          <w:szCs w:val="32"/>
        </w:rPr>
        <w:t>27.64</w:t>
      </w:r>
      <w:r>
        <w:rPr>
          <w:rFonts w:hint="eastAsia" w:ascii="仿宋_GB2312" w:eastAsia="仿宋_GB2312"/>
          <w:sz w:val="32"/>
          <w:szCs w:val="32"/>
        </w:rPr>
        <w:t>万元，完成年初预算的</w:t>
      </w:r>
      <w:r>
        <w:rPr>
          <w:rFonts w:ascii="仿宋_GB2312" w:eastAsia="仿宋_GB2312"/>
          <w:sz w:val="32"/>
          <w:szCs w:val="32"/>
        </w:rPr>
        <w:t>52.</w:t>
      </w:r>
      <w:r>
        <w:rPr>
          <w:rFonts w:hint="eastAsia" w:ascii="仿宋_GB2312" w:eastAsia="仿宋_GB2312"/>
          <w:sz w:val="32"/>
          <w:szCs w:val="32"/>
        </w:rPr>
        <w:t>2%。决算数小于预算数主要原因是疫情影响，部分工作无法开展。</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（36）卫生健康支出（类）老龄卫生健康事务（款）老龄卫生健康事务（项）。年初预算为</w:t>
      </w:r>
      <w:r>
        <w:rPr>
          <w:rFonts w:ascii="仿宋_GB2312" w:eastAsia="仿宋_GB2312"/>
          <w:sz w:val="32"/>
          <w:szCs w:val="32"/>
        </w:rPr>
        <w:t>295</w:t>
      </w:r>
      <w:r>
        <w:rPr>
          <w:rFonts w:hint="eastAsia" w:ascii="仿宋_GB2312" w:eastAsia="仿宋_GB2312"/>
          <w:sz w:val="32"/>
          <w:szCs w:val="32"/>
        </w:rPr>
        <w:t>万元，支出决算为</w:t>
      </w:r>
      <w:r>
        <w:rPr>
          <w:rFonts w:ascii="仿宋_GB2312" w:eastAsia="仿宋_GB2312"/>
          <w:sz w:val="32"/>
          <w:szCs w:val="32"/>
        </w:rPr>
        <w:t>272.47</w:t>
      </w:r>
      <w:r>
        <w:rPr>
          <w:rFonts w:hint="eastAsia" w:ascii="仿宋_GB2312" w:eastAsia="仿宋_GB2312"/>
          <w:sz w:val="32"/>
          <w:szCs w:val="32"/>
        </w:rPr>
        <w:t>万元，完成年初预算的</w:t>
      </w:r>
      <w:r>
        <w:rPr>
          <w:rFonts w:ascii="仿宋_GB2312" w:eastAsia="仿宋_GB2312"/>
          <w:sz w:val="32"/>
          <w:szCs w:val="32"/>
        </w:rPr>
        <w:t>92.</w:t>
      </w:r>
      <w:r>
        <w:rPr>
          <w:rFonts w:hint="eastAsia" w:ascii="仿宋_GB2312" w:eastAsia="仿宋_GB2312"/>
          <w:sz w:val="32"/>
          <w:szCs w:val="32"/>
        </w:rPr>
        <w:t>4%。决算数小于预算数主要原因是部分项目节余资金。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（37）卫生健康支出（类）其他卫生健康支出（款）其他卫生健康支出（项）。年初预算为</w:t>
      </w:r>
      <w:r>
        <w:rPr>
          <w:rFonts w:ascii="仿宋_GB2312" w:eastAsia="仿宋_GB2312"/>
          <w:sz w:val="32"/>
          <w:szCs w:val="32"/>
        </w:rPr>
        <w:t>8691</w:t>
      </w:r>
      <w:r>
        <w:rPr>
          <w:rFonts w:hint="eastAsia" w:ascii="仿宋_GB2312" w:eastAsia="仿宋_GB2312"/>
          <w:sz w:val="32"/>
          <w:szCs w:val="32"/>
        </w:rPr>
        <w:t>万元，支出决算为</w:t>
      </w:r>
      <w:r>
        <w:rPr>
          <w:rFonts w:ascii="仿宋_GB2312" w:eastAsia="仿宋_GB2312"/>
          <w:sz w:val="32"/>
          <w:szCs w:val="32"/>
        </w:rPr>
        <w:t>5232.72</w:t>
      </w:r>
      <w:r>
        <w:rPr>
          <w:rFonts w:hint="eastAsia" w:ascii="仿宋_GB2312" w:eastAsia="仿宋_GB2312"/>
          <w:sz w:val="32"/>
          <w:szCs w:val="32"/>
        </w:rPr>
        <w:t>万元，完成年初预算的</w:t>
      </w:r>
      <w:r>
        <w:rPr>
          <w:rFonts w:ascii="仿宋_GB2312" w:eastAsia="仿宋_GB2312"/>
          <w:sz w:val="32"/>
          <w:szCs w:val="32"/>
        </w:rPr>
        <w:t>60.2</w:t>
      </w:r>
      <w:r>
        <w:rPr>
          <w:rFonts w:hint="eastAsia" w:ascii="仿宋_GB2312" w:eastAsia="仿宋_GB2312"/>
          <w:sz w:val="32"/>
          <w:szCs w:val="32"/>
        </w:rPr>
        <w:t>%。决算数小于预算数主要原因是年初预算数包含部分驻青单位预算数。</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（38）城乡社区支出（类）城乡社区规划与管理（款）城乡社区规划与管理（项）。年初预算为0万元，支出决算为</w:t>
      </w:r>
      <w:r>
        <w:rPr>
          <w:rFonts w:ascii="仿宋_GB2312" w:eastAsia="仿宋_GB2312"/>
          <w:sz w:val="32"/>
          <w:szCs w:val="32"/>
        </w:rPr>
        <w:t>22.35</w:t>
      </w:r>
      <w:r>
        <w:rPr>
          <w:rFonts w:hint="eastAsia" w:ascii="仿宋_GB2312" w:eastAsia="仿宋_GB2312"/>
          <w:sz w:val="32"/>
          <w:szCs w:val="32"/>
        </w:rPr>
        <w:t>万元。决算数大于预算数主要原因是年初预算不含市发改本年度的安排资金。</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（39）城乡社区支出（类）城乡社区公共设施（款）其他城乡社区公共设施支出（项）。年初预算为0万元，支出决算为</w:t>
      </w:r>
      <w:r>
        <w:rPr>
          <w:rFonts w:ascii="仿宋_GB2312" w:eastAsia="仿宋_GB2312"/>
          <w:sz w:val="32"/>
          <w:szCs w:val="32"/>
        </w:rPr>
        <w:t>1100</w:t>
      </w:r>
      <w:r>
        <w:rPr>
          <w:rFonts w:hint="eastAsia" w:ascii="仿宋_GB2312" w:eastAsia="仿宋_GB2312"/>
          <w:sz w:val="32"/>
          <w:szCs w:val="32"/>
        </w:rPr>
        <w:t>万元。决算数大于预算数主要原因是年初预算数不含市发改本年度的安排资金。</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（40）商业服务业等支出（类）涉外发展服务支出（款）其他涉外发展服务支出（项）。年初预算为0万元，支出决算为</w:t>
      </w:r>
      <w:r>
        <w:rPr>
          <w:rFonts w:ascii="仿宋_GB2312" w:eastAsia="仿宋_GB2312"/>
          <w:sz w:val="32"/>
          <w:szCs w:val="32"/>
        </w:rPr>
        <w:t>10.33</w:t>
      </w:r>
      <w:r>
        <w:rPr>
          <w:rFonts w:hint="eastAsia" w:ascii="仿宋_GB2312" w:eastAsia="仿宋_GB2312"/>
          <w:sz w:val="32"/>
          <w:szCs w:val="32"/>
        </w:rPr>
        <w:t>万元。决算数大于预算数主要原因是年初预算数不含本年度收到的招商经费。</w:t>
      </w:r>
    </w:p>
    <w:p>
      <w:pPr>
        <w:spacing w:line="560" w:lineRule="exact"/>
        <w:ind w:firstLine="640" w:firstLineChars="200"/>
        <w:rPr>
          <w:rFonts w:ascii="仿宋_GB2312" w:eastAsia="仿宋_GB2312"/>
          <w:color w:val="FF0000"/>
          <w:sz w:val="32"/>
          <w:szCs w:val="32"/>
        </w:rPr>
      </w:pPr>
      <w:r>
        <w:rPr>
          <w:rFonts w:hint="eastAsia" w:ascii="仿宋_GB2312" w:eastAsia="仿宋_GB2312"/>
          <w:sz w:val="32"/>
          <w:szCs w:val="32"/>
        </w:rPr>
        <w:t>（41）住房保障支出（类）住房改革支出（款）住房公积金（项）。年初预算为</w:t>
      </w:r>
      <w:r>
        <w:rPr>
          <w:rFonts w:ascii="仿宋_GB2312" w:eastAsia="仿宋_GB2312"/>
          <w:sz w:val="32"/>
          <w:szCs w:val="32"/>
        </w:rPr>
        <w:t>1629.84</w:t>
      </w:r>
      <w:r>
        <w:rPr>
          <w:rFonts w:hint="eastAsia" w:ascii="仿宋_GB2312" w:eastAsia="仿宋_GB2312"/>
          <w:sz w:val="32"/>
          <w:szCs w:val="32"/>
        </w:rPr>
        <w:t>万元，支出决算为</w:t>
      </w:r>
      <w:r>
        <w:rPr>
          <w:rFonts w:ascii="仿宋_GB2312" w:eastAsia="仿宋_GB2312"/>
          <w:sz w:val="32"/>
          <w:szCs w:val="32"/>
        </w:rPr>
        <w:t>1687.47</w:t>
      </w:r>
      <w:r>
        <w:rPr>
          <w:rFonts w:hint="eastAsia" w:ascii="仿宋_GB2312" w:eastAsia="仿宋_GB2312"/>
          <w:sz w:val="32"/>
          <w:szCs w:val="32"/>
        </w:rPr>
        <w:t>万元，完成年初预算的</w:t>
      </w:r>
      <w:r>
        <w:rPr>
          <w:rFonts w:ascii="仿宋_GB2312" w:eastAsia="仿宋_GB2312"/>
          <w:sz w:val="32"/>
          <w:szCs w:val="32"/>
        </w:rPr>
        <w:t>103.5</w:t>
      </w:r>
      <w:r>
        <w:rPr>
          <w:rFonts w:hint="eastAsia" w:ascii="仿宋_GB2312" w:eastAsia="仿宋_GB2312"/>
          <w:sz w:val="32"/>
          <w:szCs w:val="32"/>
        </w:rPr>
        <w:t>%。决算数</w:t>
      </w:r>
      <w:r>
        <w:rPr>
          <w:rFonts w:hint="eastAsia" w:ascii="仿宋_GB2312" w:eastAsia="仿宋_GB2312"/>
          <w:sz w:val="32"/>
          <w:szCs w:val="32"/>
          <w:lang w:eastAsia="zh-CN"/>
        </w:rPr>
        <w:t>大于</w:t>
      </w:r>
      <w:r>
        <w:rPr>
          <w:rFonts w:hint="eastAsia" w:ascii="仿宋_GB2312" w:eastAsia="仿宋_GB2312"/>
          <w:sz w:val="32"/>
          <w:szCs w:val="32"/>
        </w:rPr>
        <w:t>年初预算</w:t>
      </w:r>
      <w:r>
        <w:rPr>
          <w:rFonts w:hint="eastAsia" w:ascii="仿宋_GB2312" w:eastAsia="仿宋_GB2312"/>
          <w:sz w:val="32"/>
          <w:szCs w:val="32"/>
          <w:lang w:eastAsia="zh-CN"/>
        </w:rPr>
        <w:t>数主要原因是本年度新增人员及人员晋级晋档调整工资</w:t>
      </w:r>
      <w:bookmarkStart w:id="0" w:name="_GoBack"/>
      <w:bookmarkEnd w:id="0"/>
      <w:r>
        <w:rPr>
          <w:rFonts w:hint="eastAsia" w:ascii="仿宋_GB2312" w:eastAsia="仿宋_GB2312"/>
          <w:sz w:val="32"/>
          <w:szCs w:val="32"/>
          <w:lang w:eastAsia="zh-CN"/>
        </w:rPr>
        <w:t>影响。</w:t>
      </w:r>
    </w:p>
    <w:p>
      <w:pPr>
        <w:spacing w:line="560" w:lineRule="exact"/>
        <w:ind w:firstLine="567"/>
        <w:rPr>
          <w:rFonts w:ascii="楷体_GB2312" w:eastAsia="楷体_GB2312"/>
          <w:sz w:val="32"/>
          <w:szCs w:val="32"/>
        </w:rPr>
      </w:pPr>
      <w:r>
        <w:rPr>
          <w:rFonts w:hint="eastAsia" w:ascii="楷体_GB2312" w:eastAsia="楷体_GB2312"/>
          <w:sz w:val="32"/>
          <w:szCs w:val="32"/>
        </w:rPr>
        <w:t>（六）一般公共预算财政拨款基本支出决算情况</w:t>
      </w:r>
    </w:p>
    <w:p>
      <w:pPr>
        <w:spacing w:line="560" w:lineRule="exact"/>
        <w:ind w:firstLine="709"/>
        <w:rPr>
          <w:rFonts w:ascii="仿宋_GB2312" w:eastAsia="仿宋_GB2312"/>
          <w:sz w:val="32"/>
          <w:szCs w:val="32"/>
        </w:rPr>
      </w:pPr>
      <w:r>
        <w:rPr>
          <w:rFonts w:hint="eastAsia" w:ascii="仿宋_GB2312" w:eastAsia="仿宋_GB2312"/>
          <w:sz w:val="32"/>
          <w:szCs w:val="32"/>
        </w:rPr>
        <w:t>2020年度一般公共预算财政拨款基本支出</w:t>
      </w:r>
      <w:r>
        <w:rPr>
          <w:rFonts w:ascii="仿宋_GB2312" w:eastAsia="仿宋_GB2312"/>
          <w:sz w:val="32"/>
          <w:szCs w:val="32"/>
        </w:rPr>
        <w:t>94240.81</w:t>
      </w:r>
      <w:r>
        <w:rPr>
          <w:rFonts w:hint="eastAsia" w:ascii="仿宋_GB2312" w:eastAsia="仿宋_GB2312"/>
          <w:sz w:val="32"/>
          <w:szCs w:val="32"/>
        </w:rPr>
        <w:t>万元，包括人员经费和公用经费，支出具体情况如下：</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人员经费</w:t>
      </w:r>
      <w:r>
        <w:rPr>
          <w:rFonts w:ascii="仿宋_GB2312" w:eastAsia="仿宋_GB2312"/>
          <w:sz w:val="32"/>
          <w:szCs w:val="32"/>
        </w:rPr>
        <w:t>81729.85</w:t>
      </w:r>
      <w:r>
        <w:rPr>
          <w:rFonts w:hint="eastAsia" w:ascii="仿宋_GB2312" w:eastAsia="仿宋_GB2312"/>
          <w:sz w:val="32"/>
          <w:szCs w:val="32"/>
        </w:rPr>
        <w:t>万元，主要包括：基本工资、津贴补贴、奖金、绩效工资、机关事业单位基本养老保险缴费、职业年金缴费、职工基本医疗保险缴费、公务员医疗补助缴费、其他社会保障缴费、住房公积金、其他工资福利支出、离休费、退休费、抚恤金、生活补助、医疗费补助、其他对个人和家庭的补助等。</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公用经费</w:t>
      </w:r>
      <w:r>
        <w:rPr>
          <w:rFonts w:ascii="仿宋_GB2312" w:eastAsia="仿宋_GB2312"/>
          <w:sz w:val="32"/>
          <w:szCs w:val="32"/>
        </w:rPr>
        <w:t>12510.96</w:t>
      </w:r>
      <w:r>
        <w:rPr>
          <w:rFonts w:hint="eastAsia" w:ascii="仿宋_GB2312" w:eastAsia="仿宋_GB2312"/>
          <w:sz w:val="32"/>
          <w:szCs w:val="32"/>
        </w:rPr>
        <w:t>万元，主要包括：办公费、印刷费、咨询费、手续费、水费、电费、邮电费、取暖费、物业管理费、差旅费、维修（护）费、租赁费、会议费、培训费、公务接待费、专用材料费、被装购置费、劳务费、委托业务费、工会经费、福利费、公务用车运行维护费、其他交通费用、其他商品和服务支出、办公设备购置支出、专用设备购置支出、信息网络及软件购置更新支出、公务用车购置、其他资本性支出等。</w:t>
      </w:r>
    </w:p>
    <w:p>
      <w:pPr>
        <w:spacing w:line="560" w:lineRule="exact"/>
        <w:ind w:firstLine="567"/>
        <w:rPr>
          <w:rFonts w:ascii="楷体_GB2312" w:eastAsia="楷体_GB2312"/>
          <w:sz w:val="32"/>
          <w:szCs w:val="32"/>
        </w:rPr>
      </w:pPr>
      <w:r>
        <w:rPr>
          <w:rFonts w:hint="eastAsia" w:ascii="楷体_GB2312" w:eastAsia="楷体_GB2312"/>
          <w:sz w:val="32"/>
          <w:szCs w:val="32"/>
        </w:rPr>
        <w:t>（七）一般公共预算财政拨款“三公”经费支出决算情况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 “三公”经费支出决算总体情况</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2020年度一般公共预算财政拨款“三公”经费支出年初预算为</w:t>
      </w:r>
      <w:r>
        <w:rPr>
          <w:rFonts w:ascii="仿宋_GB2312" w:eastAsia="仿宋_GB2312"/>
          <w:sz w:val="32"/>
          <w:szCs w:val="32"/>
        </w:rPr>
        <w:t>1400.14</w:t>
      </w:r>
      <w:r>
        <w:rPr>
          <w:rFonts w:hint="eastAsia" w:ascii="仿宋_GB2312" w:eastAsia="仿宋_GB2312"/>
          <w:sz w:val="32"/>
          <w:szCs w:val="32"/>
        </w:rPr>
        <w:t>万元，支出决算为</w:t>
      </w:r>
      <w:r>
        <w:rPr>
          <w:rFonts w:ascii="仿宋_GB2312" w:eastAsia="仿宋_GB2312"/>
          <w:sz w:val="32"/>
          <w:szCs w:val="32"/>
        </w:rPr>
        <w:t>1610.81</w:t>
      </w:r>
      <w:r>
        <w:rPr>
          <w:rFonts w:hint="eastAsia" w:ascii="仿宋_GB2312" w:eastAsia="仿宋_GB2312"/>
          <w:sz w:val="32"/>
          <w:szCs w:val="32"/>
        </w:rPr>
        <w:t>万元，比年初预算增加</w:t>
      </w:r>
      <w:r>
        <w:rPr>
          <w:rFonts w:ascii="仿宋_GB2312" w:eastAsia="仿宋_GB2312"/>
          <w:sz w:val="32"/>
          <w:szCs w:val="32"/>
        </w:rPr>
        <w:t>210.67</w:t>
      </w:r>
      <w:r>
        <w:rPr>
          <w:rFonts w:hint="eastAsia" w:ascii="仿宋_GB2312" w:eastAsia="仿宋_GB2312"/>
          <w:sz w:val="32"/>
          <w:szCs w:val="32"/>
        </w:rPr>
        <w:t>万元，完成年初预算的115%， 决算数大于年初预算数的主要原因是</w:t>
      </w:r>
      <w:r>
        <w:rPr>
          <w:rFonts w:hint="eastAsia" w:ascii="仿宋_GB2312" w:hAnsi="仿宋" w:eastAsia="仿宋_GB2312" w:cs="仿宋_GB2312"/>
          <w:sz w:val="32"/>
          <w:szCs w:val="32"/>
        </w:rPr>
        <w:t>公务用车购置费增加</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2.“三公”经费支出决算具体情况</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（1）因公出国（境）费年初预算为</w:t>
      </w:r>
      <w:r>
        <w:rPr>
          <w:rFonts w:ascii="仿宋_GB2312" w:eastAsia="仿宋_GB2312"/>
          <w:sz w:val="32"/>
          <w:szCs w:val="32"/>
        </w:rPr>
        <w:t>117.79</w:t>
      </w:r>
      <w:r>
        <w:rPr>
          <w:rFonts w:hint="eastAsia" w:ascii="仿宋_GB2312" w:eastAsia="仿宋_GB2312"/>
          <w:sz w:val="32"/>
          <w:szCs w:val="32"/>
        </w:rPr>
        <w:t>万元，支出决算为</w:t>
      </w:r>
      <w:r>
        <w:rPr>
          <w:rFonts w:ascii="仿宋_GB2312" w:eastAsia="仿宋_GB2312"/>
          <w:sz w:val="32"/>
          <w:szCs w:val="32"/>
        </w:rPr>
        <w:t>87.78</w:t>
      </w:r>
      <w:r>
        <w:rPr>
          <w:rFonts w:hint="eastAsia" w:ascii="仿宋_GB2312" w:eastAsia="仿宋_GB2312"/>
          <w:sz w:val="32"/>
          <w:szCs w:val="32"/>
        </w:rPr>
        <w:t>万元，比年初预算减少</w:t>
      </w:r>
      <w:r>
        <w:rPr>
          <w:rFonts w:ascii="仿宋_GB2312" w:eastAsia="仿宋_GB2312"/>
          <w:sz w:val="32"/>
          <w:szCs w:val="32"/>
        </w:rPr>
        <w:t>30.01</w:t>
      </w:r>
      <w:r>
        <w:rPr>
          <w:rFonts w:hint="eastAsia" w:ascii="仿宋_GB2312" w:eastAsia="仿宋_GB2312"/>
          <w:sz w:val="32"/>
          <w:szCs w:val="32"/>
        </w:rPr>
        <w:t>万元，完成年初预算的74.5%， 决算数小于年初预算数的主要原因是受</w:t>
      </w:r>
      <w:r>
        <w:rPr>
          <w:rFonts w:hint="eastAsia" w:ascii="仿宋_GB2312" w:hAnsi="仿宋" w:eastAsia="仿宋_GB2312" w:cs="仿宋_GB2312"/>
          <w:sz w:val="32"/>
          <w:szCs w:val="32"/>
        </w:rPr>
        <w:t>疫情影响出国人次减少</w:t>
      </w:r>
      <w:r>
        <w:rPr>
          <w:rFonts w:hint="eastAsia" w:ascii="仿宋_GB2312" w:eastAsia="仿宋_GB2312"/>
          <w:sz w:val="32"/>
          <w:szCs w:val="32"/>
        </w:rPr>
        <w:t>。</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全年支出涉及因公出国（境）团组</w:t>
      </w:r>
      <w:r>
        <w:rPr>
          <w:rFonts w:ascii="仿宋_GB2312" w:eastAsia="仿宋_GB2312"/>
          <w:sz w:val="32"/>
          <w:szCs w:val="32"/>
        </w:rPr>
        <w:t>2</w:t>
      </w:r>
      <w:r>
        <w:rPr>
          <w:rFonts w:hint="eastAsia" w:ascii="仿宋_GB2312" w:eastAsia="仿宋_GB2312"/>
          <w:sz w:val="32"/>
          <w:szCs w:val="32"/>
        </w:rPr>
        <w:t>个,累计</w:t>
      </w:r>
      <w:r>
        <w:rPr>
          <w:rFonts w:ascii="仿宋_GB2312" w:eastAsia="仿宋_GB2312"/>
          <w:sz w:val="32"/>
          <w:szCs w:val="32"/>
        </w:rPr>
        <w:t>5</w:t>
      </w:r>
      <w:r>
        <w:rPr>
          <w:rFonts w:hint="eastAsia" w:ascii="仿宋_GB2312" w:eastAsia="仿宋_GB2312"/>
          <w:sz w:val="32"/>
          <w:szCs w:val="32"/>
        </w:rPr>
        <w:t>人次。开支内容包括: 国际旅费、住宿费、伙食费、公杂费。</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（2）公务用车购置及运行维护费年初预算为</w:t>
      </w:r>
      <w:r>
        <w:rPr>
          <w:rFonts w:ascii="仿宋_GB2312" w:eastAsia="仿宋_GB2312"/>
          <w:sz w:val="32"/>
          <w:szCs w:val="32"/>
        </w:rPr>
        <w:t>1262.15</w:t>
      </w:r>
      <w:r>
        <w:rPr>
          <w:rFonts w:hint="eastAsia" w:ascii="仿宋_GB2312" w:eastAsia="仿宋_GB2312"/>
          <w:sz w:val="32"/>
          <w:szCs w:val="32"/>
        </w:rPr>
        <w:t>万元，支出决算为</w:t>
      </w:r>
      <w:r>
        <w:rPr>
          <w:rFonts w:ascii="仿宋_GB2312" w:eastAsia="仿宋_GB2312"/>
          <w:sz w:val="32"/>
          <w:szCs w:val="32"/>
        </w:rPr>
        <w:t>1513.51</w:t>
      </w:r>
      <w:r>
        <w:rPr>
          <w:rFonts w:hint="eastAsia" w:ascii="仿宋_GB2312" w:eastAsia="仿宋_GB2312"/>
          <w:sz w:val="32"/>
          <w:szCs w:val="32"/>
        </w:rPr>
        <w:t>万元，比年初预算增加</w:t>
      </w:r>
      <w:r>
        <w:rPr>
          <w:rFonts w:ascii="仿宋_GB2312" w:eastAsia="仿宋_GB2312"/>
          <w:sz w:val="32"/>
          <w:szCs w:val="32"/>
        </w:rPr>
        <w:t>251.36</w:t>
      </w:r>
      <w:r>
        <w:rPr>
          <w:rFonts w:hint="eastAsia" w:ascii="仿宋_GB2312" w:eastAsia="仿宋_GB2312"/>
          <w:sz w:val="32"/>
          <w:szCs w:val="32"/>
        </w:rPr>
        <w:t>万元，完成年初预算的119.9%， 决算数大于年初预算数的主要原因是</w:t>
      </w:r>
      <w:r>
        <w:rPr>
          <w:rFonts w:hint="eastAsia" w:ascii="仿宋_GB2312" w:hAnsi="仿宋" w:eastAsia="仿宋_GB2312" w:cs="仿宋_GB2312"/>
          <w:sz w:val="32"/>
          <w:szCs w:val="32"/>
        </w:rPr>
        <w:t>青岛市急救中心因新冠疫情新增5辆负压救护车</w:t>
      </w:r>
      <w:r>
        <w:rPr>
          <w:rFonts w:hint="eastAsia" w:ascii="仿宋_GB2312" w:eastAsia="仿宋_GB2312"/>
          <w:sz w:val="32"/>
          <w:szCs w:val="32"/>
        </w:rPr>
        <w:t>。其中：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公务用车购置费支出</w:t>
      </w:r>
      <w:r>
        <w:rPr>
          <w:rFonts w:ascii="仿宋_GB2312" w:eastAsia="仿宋_GB2312"/>
          <w:sz w:val="32"/>
          <w:szCs w:val="32"/>
        </w:rPr>
        <w:t>1352.63</w:t>
      </w:r>
      <w:r>
        <w:rPr>
          <w:rFonts w:hint="eastAsia" w:ascii="仿宋_GB2312" w:eastAsia="仿宋_GB2312"/>
          <w:sz w:val="32"/>
          <w:szCs w:val="32"/>
        </w:rPr>
        <w:t>万元，2020年青岛市急救中心、青岛市疾病预防控制中心、青岛市中心血站、青岛市卫生健康委员会综合监督执法局等单位使用财政拨款购置公务用车17辆。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公务用车运行维护费</w:t>
      </w:r>
      <w:r>
        <w:rPr>
          <w:rFonts w:ascii="仿宋_GB2312" w:eastAsia="仿宋_GB2312"/>
          <w:sz w:val="32"/>
          <w:szCs w:val="32"/>
        </w:rPr>
        <w:t>160.87</w:t>
      </w:r>
      <w:r>
        <w:rPr>
          <w:rFonts w:hint="eastAsia" w:ascii="仿宋_GB2312" w:eastAsia="仿宋_GB2312"/>
          <w:sz w:val="32"/>
          <w:szCs w:val="32"/>
        </w:rPr>
        <w:t>万元，主要是按规定保留的公务用车的燃料费、维修费、过路过桥费、保险费等支出。截至2020年12月31日，青岛市卫生健康委员会（本级）、青岛市卫生健康委员会综合监督执法局、青岛市疾病预防控制中心、青岛市急救中心、青岛市中心血站等单位财政拨款开支运行维护费的公务用车保有量为152辆。</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3.公务接待费年初预算为</w:t>
      </w:r>
      <w:r>
        <w:rPr>
          <w:rFonts w:ascii="仿宋_GB2312" w:eastAsia="仿宋_GB2312"/>
          <w:sz w:val="32"/>
          <w:szCs w:val="32"/>
        </w:rPr>
        <w:t>20.2</w:t>
      </w:r>
      <w:r>
        <w:rPr>
          <w:rFonts w:hint="eastAsia" w:ascii="仿宋_GB2312" w:eastAsia="仿宋_GB2312"/>
          <w:sz w:val="32"/>
          <w:szCs w:val="32"/>
        </w:rPr>
        <w:t>万元，支出决算为</w:t>
      </w:r>
      <w:r>
        <w:rPr>
          <w:rFonts w:ascii="仿宋_GB2312" w:eastAsia="仿宋_GB2312"/>
          <w:sz w:val="32"/>
          <w:szCs w:val="32"/>
        </w:rPr>
        <w:t>9.53</w:t>
      </w:r>
      <w:r>
        <w:rPr>
          <w:rFonts w:hint="eastAsia" w:ascii="仿宋_GB2312" w:eastAsia="仿宋_GB2312"/>
          <w:sz w:val="32"/>
          <w:szCs w:val="32"/>
        </w:rPr>
        <w:t>万元，比年初预算减少</w:t>
      </w:r>
      <w:r>
        <w:rPr>
          <w:rFonts w:ascii="仿宋_GB2312" w:eastAsia="仿宋_GB2312"/>
          <w:sz w:val="32"/>
          <w:szCs w:val="32"/>
        </w:rPr>
        <w:t>10.67</w:t>
      </w:r>
      <w:r>
        <w:rPr>
          <w:rFonts w:hint="eastAsia" w:ascii="仿宋_GB2312" w:eastAsia="仿宋_GB2312"/>
          <w:sz w:val="32"/>
          <w:szCs w:val="32"/>
        </w:rPr>
        <w:t>万元，完成年初预算的47.2%， 决算数小于年初预算数的主要原因是各单位严格控制公务接待支出，同时受</w:t>
      </w:r>
      <w:r>
        <w:rPr>
          <w:rFonts w:hint="eastAsia" w:ascii="仿宋_GB2312" w:hAnsi="仿宋" w:eastAsia="仿宋_GB2312" w:cs="仿宋_GB2312"/>
          <w:sz w:val="32"/>
          <w:szCs w:val="32"/>
        </w:rPr>
        <w:t>新冠疫情影响接待任务量减少</w:t>
      </w:r>
      <w:r>
        <w:rPr>
          <w:rFonts w:hint="eastAsia" w:ascii="仿宋_GB2312" w:eastAsia="仿宋_GB2312"/>
          <w:sz w:val="32"/>
          <w:szCs w:val="32"/>
        </w:rPr>
        <w:t>。其中：</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国内接待费9.53万元，主要用于业务接待等，共计接待76批次、1092人次（含外事接待0批次、0人次）；</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国（境）外接待费0万元。</w:t>
      </w:r>
    </w:p>
    <w:p>
      <w:pPr>
        <w:spacing w:line="560" w:lineRule="exact"/>
        <w:ind w:firstLine="567"/>
        <w:rPr>
          <w:rFonts w:ascii="仿宋_GB2312" w:eastAsia="仿宋_GB2312"/>
          <w:sz w:val="32"/>
          <w:szCs w:val="32"/>
        </w:rPr>
      </w:pPr>
      <w:r>
        <w:rPr>
          <w:rFonts w:hint="eastAsia" w:ascii="楷体_GB2312" w:eastAsia="楷体_GB2312"/>
          <w:sz w:val="32"/>
          <w:szCs w:val="32"/>
        </w:rPr>
        <w:t>（八）政府性基金预算财政拨款收入支出决算情况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2020年度政府性基金预算财政拨款年初结转和结余0万元，本年收入</w:t>
      </w:r>
      <w:r>
        <w:rPr>
          <w:rFonts w:ascii="仿宋_GB2312" w:eastAsia="仿宋_GB2312"/>
          <w:sz w:val="32"/>
          <w:szCs w:val="32"/>
        </w:rPr>
        <w:t>55000</w:t>
      </w:r>
      <w:r>
        <w:rPr>
          <w:rFonts w:hint="eastAsia" w:ascii="仿宋_GB2312" w:eastAsia="仿宋_GB2312"/>
          <w:sz w:val="32"/>
          <w:szCs w:val="32"/>
        </w:rPr>
        <w:t>万元，本年支出</w:t>
      </w:r>
      <w:r>
        <w:rPr>
          <w:rFonts w:ascii="仿宋_GB2312" w:eastAsia="仿宋_GB2312"/>
          <w:sz w:val="32"/>
          <w:szCs w:val="32"/>
        </w:rPr>
        <w:t>55000</w:t>
      </w:r>
      <w:r>
        <w:rPr>
          <w:rFonts w:hint="eastAsia" w:ascii="仿宋_GB2312" w:eastAsia="仿宋_GB2312"/>
          <w:sz w:val="32"/>
          <w:szCs w:val="32"/>
        </w:rPr>
        <w:t>万元，年末结转和结余0万元。支出具体情况如下：</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w:t>
      </w:r>
      <w:r>
        <w:rPr>
          <w:rFonts w:hint="eastAsia"/>
        </w:rPr>
        <w:t xml:space="preserve"> </w:t>
      </w:r>
      <w:r>
        <w:rPr>
          <w:rFonts w:hint="eastAsia" w:ascii="仿宋_GB2312" w:hAnsi="宋体" w:eastAsia="仿宋_GB2312" w:cs="Courier New"/>
          <w:sz w:val="32"/>
          <w:szCs w:val="32"/>
        </w:rPr>
        <w:t>其他支出（类）其他政府性基金及对应专项债务收入安排的支出（款）其他地方自行试点项目收益专项债券收入安排的支出（项）。</w:t>
      </w:r>
      <w:r>
        <w:rPr>
          <w:rFonts w:hint="eastAsia" w:ascii="仿宋_GB2312" w:eastAsia="仿宋_GB2312"/>
          <w:sz w:val="32"/>
          <w:szCs w:val="32"/>
        </w:rPr>
        <w:t>年初预算为0万元，支出决算为4</w:t>
      </w:r>
      <w:r>
        <w:rPr>
          <w:rFonts w:ascii="仿宋_GB2312" w:eastAsia="仿宋_GB2312"/>
          <w:sz w:val="32"/>
          <w:szCs w:val="32"/>
        </w:rPr>
        <w:t>5000</w:t>
      </w:r>
      <w:r>
        <w:rPr>
          <w:rFonts w:hint="eastAsia" w:ascii="仿宋_GB2312" w:eastAsia="仿宋_GB2312"/>
          <w:sz w:val="32"/>
          <w:szCs w:val="32"/>
        </w:rPr>
        <w:t>万元。决算数大于</w:t>
      </w:r>
      <w:r>
        <w:rPr>
          <w:rFonts w:hint="eastAsia" w:ascii="仿宋_GB2312" w:hAnsi="宋体" w:eastAsia="仿宋_GB2312" w:cs="Courier New"/>
          <w:sz w:val="32"/>
          <w:szCs w:val="32"/>
        </w:rPr>
        <w:t>年初</w:t>
      </w:r>
      <w:r>
        <w:rPr>
          <w:rFonts w:hint="eastAsia" w:ascii="仿宋_GB2312" w:eastAsia="仿宋_GB2312"/>
          <w:sz w:val="32"/>
          <w:szCs w:val="32"/>
        </w:rPr>
        <w:t>预算数主要原因是增加了</w:t>
      </w:r>
      <w:r>
        <w:rPr>
          <w:rFonts w:hint="eastAsia" w:ascii="仿宋_GB2312" w:hAnsi="仿宋" w:eastAsia="仿宋_GB2312" w:cs="仿宋_GB2312"/>
          <w:sz w:val="32"/>
          <w:szCs w:val="32"/>
        </w:rPr>
        <w:t>山东大学齐鲁医院（青岛）、青岛市第八人民医院、青岛市中心（肿瘤）医院新院区建设支出</w:t>
      </w:r>
      <w:r>
        <w:rPr>
          <w:rFonts w:hint="eastAsia" w:ascii="仿宋_GB2312" w:eastAsia="仿宋_GB2312"/>
          <w:sz w:val="32"/>
          <w:szCs w:val="32"/>
        </w:rPr>
        <w:t>。</w:t>
      </w:r>
    </w:p>
    <w:p>
      <w:pPr>
        <w:spacing w:line="560" w:lineRule="exact"/>
        <w:ind w:firstLine="640" w:firstLineChars="200"/>
        <w:rPr>
          <w:rFonts w:ascii="仿宋_GB2312" w:hAnsi="宋体" w:eastAsia="仿宋_GB2312" w:cs="Courier New"/>
          <w:sz w:val="32"/>
          <w:szCs w:val="32"/>
        </w:rPr>
      </w:pPr>
      <w:r>
        <w:rPr>
          <w:rFonts w:hint="eastAsia" w:ascii="仿宋_GB2312" w:eastAsia="仿宋_GB2312"/>
          <w:sz w:val="32"/>
          <w:szCs w:val="32"/>
        </w:rPr>
        <w:t>2.</w:t>
      </w:r>
      <w:r>
        <w:rPr>
          <w:rFonts w:hint="eastAsia"/>
        </w:rPr>
        <w:t xml:space="preserve"> </w:t>
      </w:r>
      <w:r>
        <w:rPr>
          <w:rFonts w:hint="eastAsia" w:ascii="仿宋_GB2312" w:hAnsi="宋体" w:eastAsia="仿宋_GB2312" w:cs="Courier New"/>
          <w:sz w:val="32"/>
          <w:szCs w:val="32"/>
        </w:rPr>
        <w:t>抗疫特别国债安排的支出（类）基础设施建设（款）公共卫生体系建设（项）。年初预算为0万元，支出决算为65</w:t>
      </w:r>
      <w:r>
        <w:rPr>
          <w:rFonts w:ascii="仿宋_GB2312" w:hAnsi="宋体" w:eastAsia="仿宋_GB2312" w:cs="Courier New"/>
          <w:sz w:val="32"/>
          <w:szCs w:val="32"/>
        </w:rPr>
        <w:t>00</w:t>
      </w:r>
      <w:r>
        <w:rPr>
          <w:rFonts w:hint="eastAsia" w:ascii="仿宋_GB2312" w:hAnsi="宋体" w:eastAsia="仿宋_GB2312" w:cs="Courier New"/>
          <w:sz w:val="32"/>
          <w:szCs w:val="32"/>
        </w:rPr>
        <w:t>万元。决算数大于年初预算数主要原因是增加了</w:t>
      </w:r>
      <w:r>
        <w:rPr>
          <w:rFonts w:hint="eastAsia" w:ascii="仿宋_GB2312" w:hAnsi="仿宋" w:eastAsia="仿宋_GB2312" w:cs="仿宋_GB2312"/>
          <w:sz w:val="32"/>
          <w:szCs w:val="32"/>
        </w:rPr>
        <w:t>青岛市疾病预防控制中心、青岛市第三人民医院、青岛市市立医院、青岛市中心（肿瘤）医院公共卫生体系建设支出</w:t>
      </w:r>
      <w:r>
        <w:rPr>
          <w:rFonts w:hint="eastAsia" w:ascii="仿宋_GB2312" w:hAnsi="宋体" w:eastAsia="仿宋_GB2312" w:cs="Courier New"/>
          <w:sz w:val="32"/>
          <w:szCs w:val="32"/>
        </w:rPr>
        <w:t>。</w:t>
      </w:r>
    </w:p>
    <w:p>
      <w:pPr>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3、抗疫特别国债安排的支出（类）基础设施建设（款）重大疫情防控救治体系建设（项）。年初预算为0万元，支出决算为3500万元。决算数大于年初预算数主要原因是增加了</w:t>
      </w:r>
      <w:r>
        <w:rPr>
          <w:rFonts w:hint="eastAsia" w:ascii="仿宋_GB2312" w:hAnsi="仿宋" w:eastAsia="仿宋_GB2312" w:cs="仿宋_GB2312"/>
          <w:sz w:val="32"/>
          <w:szCs w:val="32"/>
        </w:rPr>
        <w:t>青岛市第三人民医院、青岛大学附属医院（平度）重大疫情防控救治体系建设支出。</w:t>
      </w:r>
    </w:p>
    <w:p>
      <w:pPr>
        <w:spacing w:line="560" w:lineRule="exact"/>
        <w:ind w:firstLine="640" w:firstLineChars="200"/>
        <w:rPr>
          <w:rFonts w:ascii="楷体_GB2312" w:hAnsi="仿宋" w:eastAsia="楷体_GB2312"/>
          <w:sz w:val="32"/>
          <w:szCs w:val="32"/>
        </w:rPr>
      </w:pPr>
      <w:r>
        <w:rPr>
          <w:rFonts w:hint="eastAsia" w:ascii="楷体_GB2312" w:hAnsi="宋体" w:eastAsia="楷体_GB2312" w:cs="Courier New"/>
          <w:sz w:val="32"/>
          <w:szCs w:val="32"/>
        </w:rPr>
        <w:t>（九）</w:t>
      </w:r>
      <w:r>
        <w:rPr>
          <w:rFonts w:hint="eastAsia" w:ascii="楷体_GB2312" w:hAnsi="仿宋" w:eastAsia="楷体_GB2312"/>
          <w:sz w:val="32"/>
          <w:szCs w:val="32"/>
        </w:rPr>
        <w:t>国有资本经营预算财政拨款支出决算情况说明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本部门没有国有资本经营预算财政拨款支出。</w:t>
      </w:r>
    </w:p>
    <w:p>
      <w:pPr>
        <w:spacing w:line="560" w:lineRule="exact"/>
        <w:ind w:firstLine="709"/>
        <w:rPr>
          <w:rFonts w:ascii="黑体" w:hAnsi="黑体" w:eastAsia="黑体"/>
          <w:sz w:val="32"/>
          <w:szCs w:val="32"/>
        </w:rPr>
      </w:pPr>
      <w:r>
        <w:rPr>
          <w:rFonts w:hint="eastAsia" w:ascii="黑体" w:hAnsi="黑体" w:eastAsia="黑体"/>
          <w:sz w:val="32"/>
          <w:szCs w:val="32"/>
        </w:rPr>
        <w:t>二、其他重要事项说明</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（一）机关运行经费支出情况</w:t>
      </w:r>
    </w:p>
    <w:p>
      <w:pPr>
        <w:spacing w:line="560" w:lineRule="exact"/>
        <w:ind w:firstLine="640" w:firstLineChars="200"/>
        <w:rPr>
          <w:rFonts w:ascii="仿宋_GB2312" w:eastAsia="仿宋_GB2312"/>
          <w:b/>
          <w:sz w:val="32"/>
          <w:szCs w:val="32"/>
        </w:rPr>
      </w:pPr>
      <w:r>
        <w:rPr>
          <w:rFonts w:hint="eastAsia" w:ascii="仿宋_GB2312" w:eastAsia="仿宋_GB2312"/>
          <w:sz w:val="32"/>
          <w:szCs w:val="32"/>
        </w:rPr>
        <w:t>2020年度机关运行经费支出3135.48万元</w:t>
      </w:r>
      <w:r>
        <w:rPr>
          <w:rFonts w:hint="eastAsia" w:ascii="仿宋_GB2312" w:hAnsi="宋体" w:eastAsia="仿宋_GB2312" w:cs="Courier New"/>
          <w:sz w:val="32"/>
          <w:szCs w:val="32"/>
        </w:rPr>
        <w:t>，比年初预算数1998.75万元增加1136.73万元，增长56.9 %，主要</w:t>
      </w:r>
      <w:r>
        <w:rPr>
          <w:rFonts w:hint="eastAsia" w:ascii="仿宋_GB2312" w:eastAsia="仿宋_GB2312"/>
          <w:sz w:val="32"/>
          <w:szCs w:val="32"/>
        </w:rPr>
        <w:t>原因是年中追加其他商品和服务支出经费。</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 xml:space="preserve">（二）政府采购支出情况 </w:t>
      </w:r>
    </w:p>
    <w:p>
      <w:pPr>
        <w:autoSpaceDE w:val="0"/>
        <w:autoSpaceDN w:val="0"/>
        <w:adjustRightInd w:val="0"/>
        <w:spacing w:line="560" w:lineRule="exact"/>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2020年度政府采购支出总额</w:t>
      </w:r>
      <w:r>
        <w:rPr>
          <w:rFonts w:ascii="仿宋_GB2312" w:hAnsi="宋体" w:eastAsia="仿宋_GB2312" w:cs="Courier New"/>
          <w:sz w:val="32"/>
          <w:szCs w:val="32"/>
        </w:rPr>
        <w:t>121888.6</w:t>
      </w:r>
      <w:r>
        <w:rPr>
          <w:rFonts w:hint="eastAsia" w:ascii="仿宋_GB2312" w:hAnsi="宋体" w:eastAsia="仿宋_GB2312" w:cs="Courier New"/>
          <w:sz w:val="32"/>
          <w:szCs w:val="32"/>
        </w:rPr>
        <w:t>万元，其中：政府采购货物支出</w:t>
      </w:r>
      <w:r>
        <w:rPr>
          <w:rFonts w:ascii="仿宋_GB2312" w:hAnsi="宋体" w:eastAsia="仿宋_GB2312" w:cs="Courier New"/>
          <w:sz w:val="32"/>
          <w:szCs w:val="32"/>
        </w:rPr>
        <w:t>42990.32</w:t>
      </w:r>
      <w:r>
        <w:rPr>
          <w:rFonts w:hint="eastAsia" w:ascii="仿宋_GB2312" w:hAnsi="宋体" w:eastAsia="仿宋_GB2312" w:cs="Courier New"/>
          <w:sz w:val="32"/>
          <w:szCs w:val="32"/>
        </w:rPr>
        <w:t>万元、政府采购工程支出</w:t>
      </w:r>
      <w:r>
        <w:rPr>
          <w:rFonts w:ascii="仿宋_GB2312" w:hAnsi="宋体" w:eastAsia="仿宋_GB2312" w:cs="Courier New"/>
          <w:sz w:val="32"/>
          <w:szCs w:val="32"/>
        </w:rPr>
        <w:t>61606.51</w:t>
      </w:r>
      <w:r>
        <w:rPr>
          <w:rFonts w:hint="eastAsia" w:ascii="仿宋_GB2312" w:hAnsi="宋体" w:eastAsia="仿宋_GB2312" w:cs="Courier New"/>
          <w:sz w:val="32"/>
          <w:szCs w:val="32"/>
        </w:rPr>
        <w:t>万元、政府采购服务支出</w:t>
      </w:r>
      <w:r>
        <w:rPr>
          <w:rFonts w:ascii="仿宋_GB2312" w:hAnsi="宋体" w:eastAsia="仿宋_GB2312" w:cs="Courier New"/>
          <w:sz w:val="32"/>
          <w:szCs w:val="32"/>
        </w:rPr>
        <w:t>17291.77</w:t>
      </w:r>
      <w:r>
        <w:rPr>
          <w:rFonts w:hint="eastAsia" w:ascii="仿宋_GB2312" w:hAnsi="宋体" w:eastAsia="仿宋_GB2312" w:cs="Courier New"/>
          <w:sz w:val="32"/>
          <w:szCs w:val="32"/>
        </w:rPr>
        <w:t>万元。授予中小企业合同金额</w:t>
      </w:r>
      <w:r>
        <w:rPr>
          <w:rFonts w:ascii="仿宋_GB2312" w:hAnsi="宋体" w:eastAsia="仿宋_GB2312" w:cs="Courier New"/>
          <w:sz w:val="32"/>
          <w:szCs w:val="32"/>
        </w:rPr>
        <w:t>13875.44</w:t>
      </w:r>
      <w:r>
        <w:rPr>
          <w:rFonts w:hint="eastAsia" w:ascii="仿宋_GB2312" w:hAnsi="宋体" w:eastAsia="仿宋_GB2312" w:cs="Courier New"/>
          <w:sz w:val="32"/>
          <w:szCs w:val="32"/>
        </w:rPr>
        <w:t>万元，占政府采购支出总额的11.4%，其中：授予小微企业合同金额</w:t>
      </w:r>
      <w:r>
        <w:rPr>
          <w:rFonts w:ascii="仿宋_GB2312" w:hAnsi="宋体" w:eastAsia="仿宋_GB2312" w:cs="Courier New"/>
          <w:sz w:val="32"/>
          <w:szCs w:val="32"/>
        </w:rPr>
        <w:t>7920.01</w:t>
      </w:r>
      <w:r>
        <w:rPr>
          <w:rFonts w:hint="eastAsia" w:ascii="仿宋_GB2312" w:hAnsi="宋体" w:eastAsia="仿宋_GB2312" w:cs="Courier New"/>
          <w:sz w:val="32"/>
          <w:szCs w:val="32"/>
        </w:rPr>
        <w:t>万元，占政府采购支出总额的6.5%。</w:t>
      </w:r>
    </w:p>
    <w:p>
      <w:pPr>
        <w:spacing w:line="560" w:lineRule="exact"/>
        <w:ind w:firstLine="640" w:firstLineChars="200"/>
        <w:rPr>
          <w:rFonts w:ascii="楷体_GB2312" w:eastAsia="楷体_GB2312"/>
          <w:sz w:val="32"/>
          <w:szCs w:val="32"/>
        </w:rPr>
      </w:pPr>
      <w:r>
        <w:rPr>
          <w:rFonts w:hint="eastAsia" w:ascii="楷体_GB2312" w:eastAsia="楷体_GB2312"/>
          <w:sz w:val="32"/>
          <w:szCs w:val="32"/>
        </w:rPr>
        <w:t>（三）国有资产占用情况</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截至2020年12月31日，本部门共有车辆</w:t>
      </w:r>
      <w:r>
        <w:rPr>
          <w:rFonts w:ascii="仿宋_GB2312" w:eastAsia="仿宋_GB2312"/>
          <w:sz w:val="32"/>
          <w:szCs w:val="32"/>
        </w:rPr>
        <w:t>245</w:t>
      </w:r>
      <w:r>
        <w:rPr>
          <w:rFonts w:hint="eastAsia" w:ascii="仿宋_GB2312" w:eastAsia="仿宋_GB2312"/>
          <w:sz w:val="32"/>
          <w:szCs w:val="32"/>
        </w:rPr>
        <w:t>辆，其中，符合规定领导干部用车0辆、机要通信用车</w:t>
      </w:r>
      <w:r>
        <w:rPr>
          <w:rFonts w:ascii="仿宋_GB2312" w:eastAsia="仿宋_GB2312"/>
          <w:sz w:val="32"/>
          <w:szCs w:val="32"/>
        </w:rPr>
        <w:t>6</w:t>
      </w:r>
      <w:r>
        <w:rPr>
          <w:rFonts w:hint="eastAsia" w:ascii="仿宋_GB2312" w:eastAsia="仿宋_GB2312"/>
          <w:sz w:val="32"/>
          <w:szCs w:val="32"/>
        </w:rPr>
        <w:t>辆、应急保障用车</w:t>
      </w:r>
      <w:r>
        <w:rPr>
          <w:rFonts w:ascii="仿宋_GB2312" w:eastAsia="仿宋_GB2312"/>
          <w:sz w:val="32"/>
          <w:szCs w:val="32"/>
        </w:rPr>
        <w:t>4</w:t>
      </w:r>
      <w:r>
        <w:rPr>
          <w:rFonts w:hint="eastAsia" w:ascii="仿宋_GB2312" w:eastAsia="仿宋_GB2312"/>
          <w:sz w:val="32"/>
          <w:szCs w:val="32"/>
        </w:rPr>
        <w:t>辆、执法执勤用车</w:t>
      </w:r>
      <w:r>
        <w:rPr>
          <w:rFonts w:ascii="仿宋_GB2312" w:eastAsia="仿宋_GB2312"/>
          <w:sz w:val="32"/>
          <w:szCs w:val="32"/>
        </w:rPr>
        <w:t>4</w:t>
      </w:r>
      <w:r>
        <w:rPr>
          <w:rFonts w:hint="eastAsia" w:ascii="仿宋_GB2312" w:eastAsia="仿宋_GB2312"/>
          <w:sz w:val="32"/>
          <w:szCs w:val="32"/>
        </w:rPr>
        <w:t>辆、特种专业技术用车</w:t>
      </w:r>
      <w:r>
        <w:rPr>
          <w:rFonts w:ascii="仿宋_GB2312" w:eastAsia="仿宋_GB2312"/>
          <w:sz w:val="32"/>
          <w:szCs w:val="32"/>
        </w:rPr>
        <w:t>162</w:t>
      </w:r>
      <w:r>
        <w:rPr>
          <w:rFonts w:hint="eastAsia" w:ascii="仿宋_GB2312" w:eastAsia="仿宋_GB2312"/>
          <w:sz w:val="32"/>
          <w:szCs w:val="32"/>
        </w:rPr>
        <w:t>辆、离退休干部用车</w:t>
      </w:r>
      <w:r>
        <w:rPr>
          <w:rFonts w:ascii="仿宋_GB2312" w:eastAsia="仿宋_GB2312"/>
          <w:sz w:val="32"/>
          <w:szCs w:val="32"/>
        </w:rPr>
        <w:t>7</w:t>
      </w:r>
      <w:r>
        <w:rPr>
          <w:rFonts w:hint="eastAsia" w:ascii="仿宋_GB2312" w:eastAsia="仿宋_GB2312"/>
          <w:sz w:val="32"/>
          <w:szCs w:val="32"/>
        </w:rPr>
        <w:t>辆、其他用车</w:t>
      </w:r>
      <w:r>
        <w:rPr>
          <w:rFonts w:ascii="仿宋_GB2312" w:eastAsia="仿宋_GB2312"/>
          <w:sz w:val="32"/>
          <w:szCs w:val="32"/>
        </w:rPr>
        <w:t>62</w:t>
      </w:r>
      <w:r>
        <w:rPr>
          <w:rFonts w:hint="eastAsia" w:ascii="仿宋_GB2312" w:eastAsia="仿宋_GB2312"/>
          <w:sz w:val="32"/>
          <w:szCs w:val="32"/>
        </w:rPr>
        <w:t>辆，其他用车主要是</w:t>
      </w:r>
      <w:r>
        <w:rPr>
          <w:rFonts w:hint="eastAsia" w:ascii="仿宋_GB2312" w:hAnsi="仿宋" w:eastAsia="仿宋_GB2312"/>
          <w:sz w:val="32"/>
          <w:szCs w:val="32"/>
        </w:rPr>
        <w:t>一般公务用车、应急指挥用车</w:t>
      </w:r>
      <w:r>
        <w:rPr>
          <w:rFonts w:hint="eastAsia" w:ascii="仿宋_GB2312" w:eastAsia="仿宋_GB2312"/>
          <w:sz w:val="32"/>
          <w:szCs w:val="32"/>
        </w:rPr>
        <w:t>；单位价值 50 万元以上通用设备</w:t>
      </w:r>
      <w:r>
        <w:rPr>
          <w:rFonts w:ascii="仿宋_GB2312" w:eastAsia="仿宋_GB2312"/>
          <w:sz w:val="32"/>
          <w:szCs w:val="32"/>
        </w:rPr>
        <w:t>345</w:t>
      </w:r>
      <w:r>
        <w:rPr>
          <w:rFonts w:hint="eastAsia" w:ascii="仿宋_GB2312" w:eastAsia="仿宋_GB2312"/>
          <w:sz w:val="32"/>
          <w:szCs w:val="32"/>
        </w:rPr>
        <w:t>台（套）；单位价值 100 万元以上专用设备</w:t>
      </w:r>
      <w:r>
        <w:rPr>
          <w:rFonts w:ascii="仿宋_GB2312" w:eastAsia="仿宋_GB2312"/>
          <w:sz w:val="32"/>
          <w:szCs w:val="32"/>
        </w:rPr>
        <w:t>724</w:t>
      </w:r>
      <w:r>
        <w:rPr>
          <w:rFonts w:hint="eastAsia" w:ascii="仿宋_GB2312" w:eastAsia="仿宋_GB2312"/>
          <w:sz w:val="32"/>
          <w:szCs w:val="32"/>
        </w:rPr>
        <w:t>台（套）。</w:t>
      </w:r>
    </w:p>
    <w:p>
      <w:pPr>
        <w:spacing w:line="560" w:lineRule="exact"/>
        <w:ind w:firstLine="640" w:firstLineChars="200"/>
        <w:rPr>
          <w:rFonts w:ascii="楷体_GB2312" w:hAnsi="黑体" w:eastAsia="楷体_GB2312"/>
          <w:sz w:val="32"/>
          <w:szCs w:val="32"/>
        </w:rPr>
      </w:pPr>
      <w:r>
        <w:rPr>
          <w:rFonts w:hint="eastAsia" w:ascii="楷体_GB2312" w:hAnsi="黑体" w:eastAsia="楷体_GB2312"/>
          <w:sz w:val="32"/>
          <w:szCs w:val="32"/>
        </w:rPr>
        <w:t>（四）预算绩效情况说明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1.预算绩效管理工作开展情况。根据预算绩效管理要求，青岛市卫生健康委员会按照“谁用款、谁评价”的原则，组织对2020年度市级预算项目支出进行单位自评，</w:t>
      </w:r>
      <w:r>
        <w:rPr>
          <w:rFonts w:ascii="仿宋_GB2312" w:eastAsia="仿宋_GB2312"/>
          <w:sz w:val="32"/>
          <w:szCs w:val="32"/>
        </w:rPr>
        <w:t>涉及</w:t>
      </w:r>
      <w:r>
        <w:rPr>
          <w:rFonts w:hint="eastAsia" w:ascii="仿宋_GB2312" w:eastAsia="仿宋_GB2312"/>
          <w:sz w:val="32"/>
          <w:szCs w:val="32"/>
        </w:rPr>
        <w:t>2个一级专项资金和  1个专项业务费。组织对“公共卫生服务补助资金”、“公立医院补助资金”2个专项资金</w:t>
      </w:r>
      <w:r>
        <w:rPr>
          <w:rFonts w:ascii="仿宋_GB2312" w:eastAsia="仿宋_GB2312"/>
          <w:sz w:val="32"/>
          <w:szCs w:val="32"/>
        </w:rPr>
        <w:t>和</w:t>
      </w:r>
      <w:r>
        <w:rPr>
          <w:rFonts w:hint="eastAsia" w:ascii="仿宋_GB2312" w:eastAsia="仿宋_GB2312"/>
          <w:sz w:val="32"/>
          <w:szCs w:val="32"/>
        </w:rPr>
        <w:t>1个</w:t>
      </w:r>
      <w:r>
        <w:rPr>
          <w:rFonts w:ascii="仿宋_GB2312" w:eastAsia="仿宋_GB2312"/>
          <w:sz w:val="32"/>
          <w:szCs w:val="32"/>
        </w:rPr>
        <w:t>专项业务费</w:t>
      </w:r>
      <w:r>
        <w:rPr>
          <w:rFonts w:hint="eastAsia" w:ascii="仿宋_GB2312" w:eastAsia="仿宋_GB2312"/>
          <w:sz w:val="32"/>
          <w:szCs w:val="32"/>
        </w:rPr>
        <w:t>开展了部门评价，涉及资金</w:t>
      </w:r>
      <w:r>
        <w:rPr>
          <w:rFonts w:ascii="仿宋_GB2312" w:eastAsia="仿宋_GB2312"/>
          <w:sz w:val="32"/>
          <w:szCs w:val="32"/>
        </w:rPr>
        <w:t>88065.36</w:t>
      </w:r>
      <w:r>
        <w:rPr>
          <w:rFonts w:hint="eastAsia" w:ascii="仿宋_GB2312" w:eastAsia="仿宋_GB2312"/>
          <w:sz w:val="32"/>
          <w:szCs w:val="32"/>
        </w:rPr>
        <w:t>万元，</w:t>
      </w:r>
      <w:r>
        <w:rPr>
          <w:rFonts w:ascii="仿宋_GB2312" w:eastAsia="仿宋_GB2312"/>
          <w:sz w:val="32"/>
          <w:szCs w:val="32"/>
        </w:rPr>
        <w:t>涉及项目</w:t>
      </w:r>
      <w:r>
        <w:rPr>
          <w:rFonts w:hint="eastAsia" w:ascii="仿宋_GB2312" w:eastAsia="仿宋_GB2312"/>
          <w:sz w:val="32"/>
          <w:szCs w:val="32"/>
        </w:rPr>
        <w:t>3个。从评价情况来看，上述3个项目完成情况较好，主要表现为：项目立项程序完整、规范，设置了明确的绩效目标，财务相关管理制度较健全，预算执行及时、有效，群众满意度较高，基本实现了预期。公共卫生服务补助资金总体上达到既定目标，实施效果显著，项目综合得分99.15分，评价等级为“优”，资金的安排对我市公共卫生服务项目、卫生健康能力建设和计划生育服务管理等起到了应有的保障作用；公立医院补助资金总体上达到既定目标，实施效果显著，项目综合得分98.75分，评价等级为“优”，资金的安排对我市公立医院管理水平和服务能力的提升起到了应有的保障作用；</w:t>
      </w:r>
      <w:r>
        <w:rPr>
          <w:rFonts w:ascii="仿宋_GB2312" w:eastAsia="仿宋_GB2312"/>
          <w:sz w:val="32"/>
          <w:szCs w:val="32"/>
        </w:rPr>
        <w:t>专项业务费</w:t>
      </w:r>
      <w:r>
        <w:rPr>
          <w:rFonts w:hint="eastAsia" w:ascii="仿宋_GB2312" w:eastAsia="仿宋_GB2312"/>
          <w:sz w:val="32"/>
          <w:szCs w:val="32"/>
        </w:rPr>
        <w:t>总体上达到既定目标，实施效果显著，项目综合得分98.15分，评价等级为“优”，资金的安排对青岛市卫生健康委员会综合监督执法局、青岛市急救中心、青岛市中心血站、青岛市干部保健服务中心等单位开展日常业务起到了应有的保障作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对</w:t>
      </w:r>
      <w:r>
        <w:rPr>
          <w:rFonts w:ascii="仿宋_GB2312" w:eastAsia="仿宋_GB2312"/>
          <w:sz w:val="32"/>
          <w:szCs w:val="32"/>
        </w:rPr>
        <w:t>部门整体支出</w:t>
      </w:r>
      <w:r>
        <w:rPr>
          <w:rFonts w:hint="eastAsia" w:ascii="仿宋_GB2312" w:eastAsia="仿宋_GB2312"/>
          <w:sz w:val="32"/>
          <w:szCs w:val="32"/>
        </w:rPr>
        <w:t>首次</w:t>
      </w:r>
      <w:r>
        <w:rPr>
          <w:rFonts w:ascii="仿宋_GB2312" w:eastAsia="仿宋_GB2312"/>
          <w:sz w:val="32"/>
          <w:szCs w:val="32"/>
        </w:rPr>
        <w:t>开展了部门评价</w:t>
      </w:r>
      <w:r>
        <w:rPr>
          <w:rFonts w:hint="eastAsia" w:ascii="仿宋_GB2312" w:eastAsia="仿宋_GB2312"/>
          <w:sz w:val="32"/>
          <w:szCs w:val="32"/>
        </w:rPr>
        <w:t>，</w:t>
      </w:r>
      <w:r>
        <w:rPr>
          <w:rFonts w:ascii="仿宋_GB2312" w:eastAsia="仿宋_GB2312"/>
          <w:sz w:val="32"/>
          <w:szCs w:val="32"/>
        </w:rPr>
        <w:t>从</w:t>
      </w:r>
      <w:r>
        <w:rPr>
          <w:rFonts w:hint="eastAsia" w:ascii="仿宋_GB2312" w:eastAsia="仿宋_GB2312"/>
          <w:sz w:val="32"/>
          <w:szCs w:val="32"/>
        </w:rPr>
        <w:t>评价</w:t>
      </w:r>
      <w:r>
        <w:rPr>
          <w:rFonts w:ascii="仿宋_GB2312" w:eastAsia="仿宋_GB2312"/>
          <w:sz w:val="32"/>
          <w:szCs w:val="32"/>
        </w:rPr>
        <w:t>情况来看</w:t>
      </w:r>
      <w:r>
        <w:rPr>
          <w:rFonts w:hint="eastAsia" w:ascii="仿宋_GB2312" w:eastAsia="仿宋_GB2312"/>
          <w:sz w:val="32"/>
          <w:szCs w:val="32"/>
        </w:rPr>
        <w:t>整体支出严格按照上级有关预算和财经法规的规定执行，总体上达到既定目标，实施效果显著，项目综合得分97.5分，评价等级为“优”。</w:t>
      </w:r>
    </w:p>
    <w:p>
      <w:pPr>
        <w:numPr>
          <w:ilvl w:val="0"/>
          <w:numId w:val="2"/>
        </w:numPr>
        <w:spacing w:line="560" w:lineRule="exact"/>
        <w:ind w:firstLine="640" w:firstLineChars="200"/>
        <w:rPr>
          <w:rFonts w:ascii="仿宋_GB2312" w:eastAsia="仿宋_GB2312"/>
          <w:sz w:val="32"/>
          <w:szCs w:val="32"/>
        </w:rPr>
      </w:pPr>
      <w:r>
        <w:rPr>
          <w:rFonts w:hint="eastAsia" w:ascii="仿宋_GB2312" w:eastAsia="仿宋_GB2312"/>
          <w:sz w:val="32"/>
          <w:szCs w:val="32"/>
        </w:rPr>
        <w:t>单位自评结果。青岛市卫生健康委员会2020年度市级预算项目支出单位自评共计2个一级专项资金和专项业务费，其中：9</w:t>
      </w:r>
      <w:r>
        <w:rPr>
          <w:rFonts w:ascii="仿宋_GB2312" w:eastAsia="仿宋_GB2312"/>
          <w:sz w:val="32"/>
          <w:szCs w:val="32"/>
        </w:rPr>
        <w:t>0</w:t>
      </w:r>
      <w:r>
        <w:rPr>
          <w:rFonts w:hint="eastAsia" w:ascii="仿宋_GB2312" w:eastAsia="仿宋_GB2312"/>
          <w:sz w:val="32"/>
          <w:szCs w:val="32"/>
        </w:rPr>
        <w:t>分</w:t>
      </w:r>
      <w:r>
        <w:rPr>
          <w:rFonts w:ascii="仿宋_GB2312" w:eastAsia="仿宋_GB2312"/>
          <w:sz w:val="32"/>
          <w:szCs w:val="32"/>
        </w:rPr>
        <w:t>以上的项目</w:t>
      </w:r>
      <w:r>
        <w:rPr>
          <w:rFonts w:hint="eastAsia" w:ascii="仿宋_GB2312" w:eastAsia="仿宋_GB2312"/>
          <w:sz w:val="32"/>
          <w:szCs w:val="32"/>
        </w:rPr>
        <w:t>3个。从自评情况看，项目支出绩效管理的重视程度进一步提升，大部分项目有序开展，执行和完成情况较好，资金使用比较规范，总体上达到既定目标，实施效果显著。但也存在部分项目如惠民医疗项目因新冠疫情影响产出指标低于预期等问题。</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2020年度市级预算项目支出单位自评表详见“第五部分 附件”。</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3.财政评价项目绩效评价结果。市财政</w:t>
      </w:r>
      <w:r>
        <w:rPr>
          <w:rFonts w:ascii="仿宋_GB2312" w:eastAsia="仿宋_GB2312"/>
          <w:sz w:val="32"/>
          <w:szCs w:val="32"/>
        </w:rPr>
        <w:t>局</w:t>
      </w:r>
      <w:r>
        <w:rPr>
          <w:rFonts w:hint="eastAsia" w:ascii="仿宋_GB2312" w:eastAsia="仿宋_GB2312"/>
          <w:sz w:val="32"/>
          <w:szCs w:val="32"/>
        </w:rPr>
        <w:t>对我部门4个项目开展绩效评价，并随2020年度财政决算向市人大常委会报告。公立医院补助项目绩效评价综合得分为</w:t>
      </w:r>
      <w:r>
        <w:rPr>
          <w:rFonts w:ascii="仿宋_GB2312" w:eastAsia="仿宋_GB2312"/>
          <w:sz w:val="32"/>
          <w:szCs w:val="32"/>
        </w:rPr>
        <w:t>88.84</w:t>
      </w:r>
      <w:r>
        <w:rPr>
          <w:rFonts w:hint="eastAsia" w:ascii="仿宋_GB2312" w:eastAsia="仿宋_GB2312"/>
          <w:sz w:val="32"/>
          <w:szCs w:val="32"/>
        </w:rPr>
        <w:t>分，评价结果为“良”；公共卫生服务补助专项资金项目绩效评价综合得分为9</w:t>
      </w:r>
      <w:r>
        <w:rPr>
          <w:rFonts w:ascii="仿宋_GB2312" w:eastAsia="仿宋_GB2312"/>
          <w:sz w:val="32"/>
          <w:szCs w:val="32"/>
        </w:rPr>
        <w:t>0.6</w:t>
      </w:r>
      <w:r>
        <w:rPr>
          <w:rFonts w:hint="eastAsia" w:ascii="仿宋_GB2312" w:eastAsia="仿宋_GB2312"/>
          <w:sz w:val="32"/>
          <w:szCs w:val="32"/>
        </w:rPr>
        <w:t>分，评价结果为“优”；专项业务费项目绩效评价综合得分为9</w:t>
      </w:r>
      <w:r>
        <w:rPr>
          <w:rFonts w:ascii="仿宋_GB2312" w:eastAsia="仿宋_GB2312"/>
          <w:sz w:val="32"/>
          <w:szCs w:val="32"/>
        </w:rPr>
        <w:t>0.94</w:t>
      </w:r>
      <w:r>
        <w:rPr>
          <w:rFonts w:hint="eastAsia" w:ascii="仿宋_GB2312" w:eastAsia="仿宋_GB2312"/>
          <w:sz w:val="32"/>
          <w:szCs w:val="32"/>
        </w:rPr>
        <w:t>分，评价结果为“优”；部门整体指出绩效评价综合得分为8</w:t>
      </w:r>
      <w:r>
        <w:rPr>
          <w:rFonts w:ascii="仿宋_GB2312" w:eastAsia="仿宋_GB2312"/>
          <w:sz w:val="32"/>
          <w:szCs w:val="32"/>
        </w:rPr>
        <w:t>8.31</w:t>
      </w:r>
      <w:r>
        <w:rPr>
          <w:rFonts w:hint="eastAsia" w:ascii="仿宋_GB2312" w:eastAsia="仿宋_GB2312"/>
          <w:sz w:val="32"/>
          <w:szCs w:val="32"/>
        </w:rPr>
        <w:t>分，评价结果为“良”。</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财政评价报告详见“第五部分 附件”。</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4.部门评价项目绩效评价结果。项目支</w:t>
      </w:r>
      <w:r>
        <w:rPr>
          <w:rFonts w:ascii="仿宋_GB2312" w:eastAsia="仿宋_GB2312"/>
          <w:sz w:val="32"/>
          <w:szCs w:val="32"/>
        </w:rPr>
        <w:t>出评价中，</w:t>
      </w:r>
      <w:r>
        <w:rPr>
          <w:rFonts w:hint="eastAsia" w:ascii="仿宋_GB2312" w:eastAsia="仿宋_GB2312"/>
          <w:sz w:val="32"/>
          <w:szCs w:val="32"/>
        </w:rPr>
        <w:t>评价</w:t>
      </w:r>
      <w:r>
        <w:rPr>
          <w:rFonts w:ascii="仿宋_GB2312" w:eastAsia="仿宋_GB2312"/>
          <w:sz w:val="32"/>
          <w:szCs w:val="32"/>
        </w:rPr>
        <w:t>等级为</w:t>
      </w:r>
      <w:r>
        <w:rPr>
          <w:rFonts w:hint="eastAsia" w:ascii="仿宋_GB2312" w:eastAsia="仿宋_GB2312"/>
          <w:sz w:val="32"/>
          <w:szCs w:val="32"/>
        </w:rPr>
        <w:t>“优”的</w:t>
      </w:r>
      <w:r>
        <w:rPr>
          <w:rFonts w:ascii="仿宋_GB2312" w:eastAsia="仿宋_GB2312"/>
          <w:sz w:val="32"/>
          <w:szCs w:val="32"/>
        </w:rPr>
        <w:t>项目3</w:t>
      </w:r>
      <w:r>
        <w:rPr>
          <w:rFonts w:hint="eastAsia" w:ascii="仿宋_GB2312" w:eastAsia="仿宋_GB2312"/>
          <w:sz w:val="32"/>
          <w:szCs w:val="32"/>
        </w:rPr>
        <w:t>个。部门</w:t>
      </w:r>
      <w:r>
        <w:rPr>
          <w:rFonts w:ascii="仿宋_GB2312" w:eastAsia="仿宋_GB2312"/>
          <w:sz w:val="32"/>
          <w:szCs w:val="32"/>
        </w:rPr>
        <w:t>整体支出评价得分</w:t>
      </w:r>
      <w:r>
        <w:rPr>
          <w:rFonts w:hint="eastAsia" w:ascii="仿宋_GB2312" w:eastAsia="仿宋_GB2312"/>
          <w:sz w:val="32"/>
          <w:szCs w:val="32"/>
        </w:rPr>
        <w:t>为</w:t>
      </w:r>
      <w:r>
        <w:rPr>
          <w:rFonts w:ascii="仿宋_GB2312" w:eastAsia="仿宋_GB2312"/>
          <w:sz w:val="32"/>
          <w:szCs w:val="32"/>
        </w:rPr>
        <w:t>97.5</w:t>
      </w:r>
      <w:r>
        <w:rPr>
          <w:rFonts w:hint="eastAsia" w:ascii="仿宋_GB2312" w:eastAsia="仿宋_GB2312"/>
          <w:sz w:val="32"/>
          <w:szCs w:val="32"/>
        </w:rPr>
        <w:t>分，评价结果为“优”。</w:t>
      </w:r>
    </w:p>
    <w:p>
      <w:pPr>
        <w:widowControl/>
        <w:spacing w:line="560" w:lineRule="exact"/>
        <w:ind w:firstLine="640" w:firstLineChars="200"/>
        <w:rPr>
          <w:rFonts w:ascii="仿宋_GB2312" w:eastAsia="仿宋_GB2312"/>
          <w:sz w:val="32"/>
          <w:szCs w:val="32"/>
        </w:rPr>
      </w:pPr>
      <w:r>
        <w:rPr>
          <w:rFonts w:hint="eastAsia" w:ascii="仿宋_GB2312" w:eastAsia="仿宋_GB2312"/>
          <w:sz w:val="32"/>
          <w:szCs w:val="32"/>
        </w:rPr>
        <w:t>部门评价报告详见“第五部分 附件”。</w:t>
      </w: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ind w:firstLine="200"/>
        <w:rPr>
          <w:rFonts w:ascii="方正小标宋简体" w:eastAsia="方正小标宋简体"/>
          <w:sz w:val="42"/>
        </w:rPr>
      </w:pPr>
    </w:p>
    <w:p>
      <w:pPr>
        <w:spacing w:line="580" w:lineRule="exact"/>
        <w:rPr>
          <w:rFonts w:ascii="方正小标宋简体" w:eastAsia="方正小标宋简体"/>
          <w:sz w:val="42"/>
        </w:rPr>
      </w:pPr>
    </w:p>
    <w:p>
      <w:pPr>
        <w:rPr>
          <w:rFonts w:ascii="黑体" w:eastAsia="黑体"/>
          <w:sz w:val="52"/>
          <w:szCs w:val="52"/>
        </w:rPr>
      </w:pPr>
      <w:r>
        <w:rPr>
          <w:rFonts w:hint="eastAsia" w:ascii="黑体" w:eastAsia="黑体"/>
          <w:sz w:val="52"/>
          <w:szCs w:val="52"/>
        </w:rPr>
        <w:t xml:space="preserve">  第四部分</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r>
        <w:rPr>
          <w:rFonts w:hint="eastAsia" w:ascii="黑体" w:eastAsia="黑体"/>
          <w:sz w:val="52"/>
          <w:szCs w:val="52"/>
        </w:rPr>
        <w:t>名词解释</w:t>
      </w: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jc w:val="center"/>
        <w:rPr>
          <w:rFonts w:ascii="黑体" w:eastAsia="黑体"/>
          <w:sz w:val="52"/>
          <w:szCs w:val="5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黑体" w:hAnsi="黑体" w:eastAsia="黑体"/>
          <w:color w:val="000000"/>
          <w:sz w:val="32"/>
          <w:szCs w:val="32"/>
        </w:rPr>
      </w:pPr>
    </w:p>
    <w:p>
      <w:pPr>
        <w:spacing w:line="560" w:lineRule="exact"/>
        <w:ind w:firstLine="640" w:firstLineChars="200"/>
        <w:rPr>
          <w:rFonts w:ascii="仿宋_GB2312" w:eastAsia="仿宋_GB2312"/>
          <w:sz w:val="32"/>
          <w:szCs w:val="32"/>
        </w:rPr>
      </w:pPr>
      <w:r>
        <w:rPr>
          <w:rFonts w:hint="eastAsia" w:ascii="黑体" w:hAnsi="黑体" w:eastAsia="黑体"/>
          <w:color w:val="000000"/>
          <w:sz w:val="32"/>
          <w:szCs w:val="32"/>
        </w:rPr>
        <w:t>一、财政拨款收入：</w:t>
      </w:r>
      <w:r>
        <w:rPr>
          <w:rFonts w:hint="eastAsia" w:ascii="仿宋_GB2312" w:eastAsia="仿宋_GB2312"/>
          <w:sz w:val="32"/>
          <w:szCs w:val="32"/>
        </w:rPr>
        <w:t>指单位本年度从本级财政部门取得的财政拨款，包括一般公共预算财政拨款、政府性基金预算财政拨款和国有资本经营预算财政拨款。</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二、上级补助收入：</w:t>
      </w:r>
      <w:r>
        <w:rPr>
          <w:rFonts w:hint="eastAsia" w:ascii="仿宋_GB2312" w:hAnsi="仿宋" w:eastAsia="仿宋_GB2312"/>
          <w:sz w:val="32"/>
          <w:szCs w:val="32"/>
        </w:rPr>
        <w:t>指事业单位从主管部门和上级单位取得的非财政补助收入。</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三、事业收入：</w:t>
      </w:r>
      <w:r>
        <w:rPr>
          <w:rFonts w:hint="eastAsia" w:ascii="仿宋_GB2312" w:hAnsi="仿宋" w:eastAsia="仿宋_GB2312"/>
          <w:sz w:val="32"/>
          <w:szCs w:val="32"/>
        </w:rPr>
        <w:t>指事业单位开展专业业务活动及其辅助活动取得的收入；包括事业单位收到的财政专户实际核拨的教育收费等。</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四、经营收入：</w:t>
      </w:r>
      <w:r>
        <w:rPr>
          <w:rFonts w:hint="eastAsia" w:ascii="仿宋_GB2312" w:hAnsi="仿宋" w:eastAsia="仿宋_GB2312"/>
          <w:sz w:val="32"/>
          <w:szCs w:val="32"/>
        </w:rPr>
        <w:t>指事业单位在专业业务活动及其辅助活动之外开展非独立核算经营活动取得的收入。</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五、附属单位上缴收入：</w:t>
      </w:r>
      <w:r>
        <w:rPr>
          <w:rFonts w:hint="eastAsia" w:ascii="仿宋_GB2312" w:hAnsi="仿宋" w:eastAsia="仿宋_GB2312"/>
          <w:sz w:val="32"/>
          <w:szCs w:val="32"/>
        </w:rPr>
        <w:t>指事业单位附属独立核算单位按照有关规定上缴的收入。</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六、其他收入：</w:t>
      </w:r>
      <w:r>
        <w:rPr>
          <w:rFonts w:hint="eastAsia" w:ascii="仿宋_GB2312" w:hAnsi="仿宋" w:eastAsia="仿宋_GB2312"/>
          <w:sz w:val="32"/>
          <w:szCs w:val="32"/>
        </w:rPr>
        <w:t>指单位取得的除上述“</w:t>
      </w:r>
      <w:r>
        <w:rPr>
          <w:rFonts w:hint="eastAsia" w:ascii="仿宋_GB2312" w:eastAsia="仿宋_GB2312"/>
          <w:sz w:val="32"/>
          <w:szCs w:val="32"/>
        </w:rPr>
        <w:t>财政拨款收入</w:t>
      </w:r>
      <w:r>
        <w:rPr>
          <w:rFonts w:hint="eastAsia" w:ascii="仿宋_GB2312" w:hAnsi="仿宋" w:eastAsia="仿宋_GB2312"/>
          <w:sz w:val="32"/>
          <w:szCs w:val="32"/>
        </w:rPr>
        <w:t>”“上级补助收入”“事业收入”“经营收入”“附属单位上缴收入”等以外的各项收入。</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七、使用非财政拨款结余：</w:t>
      </w:r>
      <w:r>
        <w:rPr>
          <w:rFonts w:hint="eastAsia" w:ascii="仿宋_GB2312" w:hAnsi="仿宋" w:eastAsia="仿宋_GB2312"/>
          <w:sz w:val="32"/>
          <w:szCs w:val="32"/>
        </w:rPr>
        <w:t>指事业单位按照预算管理要求使用非财政拨款结余弥补收支差额的金额。</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八、年初结转和结余：</w:t>
      </w:r>
      <w:r>
        <w:rPr>
          <w:rFonts w:hint="eastAsia" w:ascii="仿宋_GB2312" w:eastAsia="仿宋_GB2312"/>
          <w:sz w:val="32"/>
          <w:szCs w:val="32"/>
        </w:rPr>
        <w:t>指单位以前年度尚未完成、结转到本年仍按原规定用途继续使用的资金，或项目已完成等产生的结余资金。</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九、结余分配：</w:t>
      </w:r>
      <w:r>
        <w:rPr>
          <w:rFonts w:hint="eastAsia" w:ascii="仿宋_GB2312" w:eastAsia="仿宋_GB2312"/>
          <w:sz w:val="32"/>
          <w:szCs w:val="32"/>
        </w:rPr>
        <w:t>指事业单位缴纳的所得税以及从非财政拨款结余或经营结余中提取的各类结余。</w:t>
      </w:r>
    </w:p>
    <w:p>
      <w:pPr>
        <w:spacing w:line="560" w:lineRule="exact"/>
        <w:ind w:firstLine="640" w:firstLineChars="200"/>
        <w:rPr>
          <w:rFonts w:ascii="仿宋_GB2312" w:hAnsi="仿宋" w:eastAsia="仿宋_GB2312"/>
          <w:sz w:val="32"/>
          <w:szCs w:val="32"/>
        </w:rPr>
      </w:pPr>
      <w:r>
        <w:rPr>
          <w:rFonts w:hint="eastAsia" w:ascii="黑体" w:hAnsi="黑体" w:eastAsia="黑体"/>
          <w:sz w:val="32"/>
          <w:szCs w:val="32"/>
        </w:rPr>
        <w:t>十、年末结转和结余：</w:t>
      </w:r>
      <w:r>
        <w:rPr>
          <w:rFonts w:hint="eastAsia" w:ascii="仿宋_GB2312" w:hAnsi="仿宋" w:eastAsia="仿宋_GB2312"/>
          <w:sz w:val="32"/>
          <w:szCs w:val="32"/>
        </w:rPr>
        <w:t>指单位本年度或以前年度预算安排、因客观条件发生变化未全部执行或未执行，结转到以后年度继续使用的资金，或项目已完成等产生的结余资金。</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十一、基本支出：</w:t>
      </w:r>
      <w:r>
        <w:rPr>
          <w:rFonts w:hint="eastAsia" w:ascii="仿宋_GB2312" w:eastAsia="仿宋_GB2312"/>
          <w:sz w:val="32"/>
          <w:szCs w:val="32"/>
        </w:rPr>
        <w:t>指单位为保障机构正常运转、完成日常工作任务而发生的各项支出。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十二、项目支出：</w:t>
      </w:r>
      <w:r>
        <w:rPr>
          <w:rFonts w:hint="eastAsia" w:ascii="仿宋_GB2312" w:eastAsia="仿宋_GB2312"/>
          <w:sz w:val="32"/>
          <w:szCs w:val="32"/>
        </w:rPr>
        <w:t>指单位为完成特定的行政工作任务或事业发展目标，在基本支出之外发生的各项支出。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十三、经营支出：</w:t>
      </w:r>
      <w:r>
        <w:rPr>
          <w:rFonts w:hint="eastAsia" w:ascii="仿宋_GB2312" w:eastAsia="仿宋_GB2312"/>
          <w:sz w:val="32"/>
          <w:szCs w:val="32"/>
        </w:rPr>
        <w:t>指事业单位在专业业务活动及其辅助活动之外开展非独立核算经营活动发生的支出。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十四、“三公”经费：</w:t>
      </w:r>
      <w:r>
        <w:rPr>
          <w:rFonts w:hint="eastAsia" w:ascii="仿宋_GB2312" w:eastAsia="仿宋_GB2312"/>
          <w:sz w:val="32"/>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pPr>
        <w:spacing w:line="560" w:lineRule="exact"/>
        <w:ind w:firstLine="640" w:firstLineChars="200"/>
        <w:rPr>
          <w:rFonts w:ascii="仿宋_GB2312" w:eastAsia="仿宋_GB2312"/>
          <w:sz w:val="32"/>
          <w:szCs w:val="32"/>
        </w:rPr>
      </w:pPr>
      <w:r>
        <w:rPr>
          <w:rFonts w:hint="eastAsia" w:ascii="黑体" w:hAnsi="黑体" w:eastAsia="黑体"/>
          <w:sz w:val="32"/>
          <w:szCs w:val="32"/>
        </w:rPr>
        <w:t>十五、机关运行经费：</w:t>
      </w:r>
      <w:r>
        <w:rPr>
          <w:rFonts w:hint="eastAsia" w:ascii="仿宋_GB2312" w:eastAsia="仿宋_GB2312"/>
          <w:sz w:val="32"/>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spacing w:line="560" w:lineRule="exact"/>
        <w:ind w:firstLine="640" w:firstLineChars="200"/>
        <w:rPr>
          <w:rFonts w:ascii="仿宋_GB2312" w:eastAsia="仿宋_GB2312"/>
          <w:sz w:val="32"/>
          <w:szCs w:val="32"/>
        </w:rPr>
      </w:pPr>
    </w:p>
    <w:p>
      <w:pPr>
        <w:rPr>
          <w:rFonts w:ascii="黑体" w:eastAsia="黑体"/>
          <w:sz w:val="52"/>
          <w:szCs w:val="52"/>
        </w:rPr>
      </w:pPr>
      <w:r>
        <w:rPr>
          <w:rFonts w:hint="eastAsia" w:ascii="黑体" w:eastAsia="黑体"/>
          <w:sz w:val="52"/>
          <w:szCs w:val="52"/>
        </w:rPr>
        <w:t>第五部分</w:t>
      </w:r>
    </w:p>
    <w:p>
      <w:pPr>
        <w:rPr>
          <w:rFonts w:ascii="黑体" w:eastAsia="黑体"/>
          <w:sz w:val="52"/>
          <w:szCs w:val="52"/>
        </w:rPr>
      </w:pPr>
    </w:p>
    <w:p>
      <w:pPr>
        <w:rPr>
          <w:rFonts w:ascii="黑体" w:eastAsia="黑体"/>
          <w:sz w:val="52"/>
          <w:szCs w:val="52"/>
        </w:rPr>
      </w:pPr>
      <w:r>
        <w:rPr>
          <w:rFonts w:hint="eastAsia" w:ascii="黑体" w:eastAsia="黑体"/>
          <w:sz w:val="52"/>
          <w:szCs w:val="52"/>
        </w:rPr>
        <w:t xml:space="preserve">  </w:t>
      </w:r>
    </w:p>
    <w:p>
      <w:pPr>
        <w:rPr>
          <w:rFonts w:ascii="黑体" w:eastAsia="黑体"/>
          <w:sz w:val="52"/>
          <w:szCs w:val="52"/>
        </w:rPr>
      </w:pPr>
    </w:p>
    <w:p>
      <w:pPr>
        <w:rPr>
          <w:rFonts w:ascii="黑体" w:eastAsia="黑体"/>
          <w:sz w:val="52"/>
          <w:szCs w:val="52"/>
        </w:rPr>
      </w:pPr>
      <w:r>
        <w:rPr>
          <w:rFonts w:hint="eastAsia" w:ascii="黑体" w:eastAsia="黑体"/>
          <w:sz w:val="52"/>
          <w:szCs w:val="52"/>
        </w:rPr>
        <w:t xml:space="preserve">              附  件</w:t>
      </w: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tabs>
          <w:tab w:val="left" w:pos="5891"/>
        </w:tabs>
        <w:spacing w:line="580" w:lineRule="exact"/>
        <w:rPr>
          <w:sz w:val="32"/>
          <w:szCs w:val="32"/>
          <w:highlight w:val="red"/>
        </w:rPr>
      </w:pPr>
    </w:p>
    <w:p>
      <w:pPr>
        <w:spacing w:line="560" w:lineRule="exact"/>
        <w:ind w:firstLine="640" w:firstLineChars="200"/>
        <w:rPr>
          <w:rFonts w:ascii="仿宋_GB2312" w:eastAsia="仿宋_GB2312"/>
          <w:sz w:val="32"/>
          <w:szCs w:val="32"/>
        </w:rPr>
      </w:pPr>
      <w:r>
        <w:rPr>
          <w:rFonts w:hint="eastAsia" w:ascii="仿宋_GB2312" w:eastAsia="仿宋_GB2312"/>
          <w:sz w:val="32"/>
          <w:szCs w:val="32"/>
        </w:rPr>
        <w:t>附件1</w:t>
      </w:r>
      <w:r>
        <w:rPr>
          <w:rFonts w:ascii="仿宋_GB2312" w:eastAsia="仿宋_GB2312"/>
          <w:sz w:val="32"/>
          <w:szCs w:val="32"/>
        </w:rPr>
        <w:t>.</w:t>
      </w:r>
      <w:r>
        <w:rPr>
          <w:rFonts w:hint="eastAsia" w:ascii="仿宋_GB2312" w:eastAsia="仿宋_GB2312"/>
          <w:sz w:val="32"/>
          <w:szCs w:val="32"/>
        </w:rPr>
        <w:t>单位绩效自评表</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2.</w:t>
      </w:r>
      <w:r>
        <w:rPr>
          <w:rFonts w:hint="eastAsia" w:ascii="仿宋_GB2312" w:eastAsia="仿宋_GB2312"/>
          <w:sz w:val="32"/>
          <w:szCs w:val="32"/>
        </w:rPr>
        <w:t>部门绩效评价报告</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 xml:space="preserve">    3.</w:t>
      </w:r>
      <w:r>
        <w:rPr>
          <w:rFonts w:hint="eastAsia" w:ascii="仿宋_GB2312" w:eastAsia="仿宋_GB2312"/>
          <w:sz w:val="32"/>
          <w:szCs w:val="32"/>
        </w:rPr>
        <w:t>财政绩效评价报告</w:t>
      </w:r>
    </w:p>
    <w:p>
      <w:pPr>
        <w:spacing w:line="580" w:lineRule="exact"/>
      </w:pPr>
    </w:p>
    <w:sectPr>
      <w:footerReference r:id="rId6" w:type="default"/>
      <w:footerReference r:id="rId7" w:type="even"/>
      <w:pgSz w:w="11906" w:h="16838"/>
      <w:pgMar w:top="1440" w:right="1797" w:bottom="1440" w:left="179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auto"/>
    <w:pitch w:val="default"/>
    <w:sig w:usb0="61007A87" w:usb1="80000000" w:usb2="00000008" w:usb3="00000000" w:csb0="200101FF" w:csb1="20280000"/>
  </w:font>
  <w:font w:name="Verdana">
    <w:panose1 w:val="020B0604030504040204"/>
    <w:charset w:val="00"/>
    <w:family w:val="auto"/>
    <w:pitch w:val="default"/>
    <w:sig w:usb0="00000287" w:usb1="00000000"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文星简大标宋">
    <w:altName w:val="微软雅黑"/>
    <w:panose1 w:val="02010609000101010101"/>
    <w:charset w:val="86"/>
    <w:family w:val="auto"/>
    <w:pitch w:val="default"/>
    <w:sig w:usb0="00000001" w:usb1="080E0000" w:usb2="00000010" w:usb3="00000000" w:csb0="00040000" w:csb1="00000000"/>
  </w:font>
  <w:font w:name="方正小标宋_GBK">
    <w:panose1 w:val="03000509000000000000"/>
    <w:charset w:val="86"/>
    <w:family w:val="auto"/>
    <w:pitch w:val="default"/>
    <w:sig w:usb0="00000001" w:usb1="080E0000" w:usb2="00000000" w:usb3="00000000" w:csb0="00040000" w:csb1="00000000"/>
  </w:font>
  <w:font w:name="方正小标宋简体">
    <w:altName w:val="微软雅黑"/>
    <w:panose1 w:val="00000000000000000000"/>
    <w:charset w:val="86"/>
    <w:family w:val="auto"/>
    <w:pitch w:val="default"/>
    <w:sig w:usb0="00000000" w:usb1="080E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separate"/>
    </w:r>
    <w:r>
      <w:rPr>
        <w:rStyle w:val="6"/>
      </w:rPr>
      <w:t>29</w:t>
    </w:r>
    <w:r>
      <w:rPr>
        <w:rStyle w:val="6"/>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fldChar w:fldCharType="begin"/>
    </w:r>
    <w:r>
      <w:rPr>
        <w:rStyle w:val="6"/>
      </w:rPr>
      <w:instrText xml:space="preserve">PAGE  </w:instrText>
    </w:r>
    <w:r>
      <w:fldChar w:fldCharType="separate"/>
    </w:r>
    <w:r>
      <w:rPr>
        <w:rStyle w:val="6"/>
      </w:rPr>
      <w:t>- 50 -</w:t>
    </w:r>
    <w:r>
      <w:fldChar w:fldCharType="end"/>
    </w:r>
  </w:p>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framePr w:wrap="around" w:vAnchor="text" w:hAnchor="margin" w:xAlign="center" w:y="1"/>
      <w:rPr>
        <w:rStyle w:val="6"/>
      </w:rPr>
    </w:pPr>
    <w:r>
      <w:fldChar w:fldCharType="begin"/>
    </w:r>
    <w:r>
      <w:rPr>
        <w:rStyle w:val="6"/>
      </w:rPr>
      <w:instrText xml:space="preserve">PAGE  </w:instrText>
    </w:r>
    <w: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380474909">
    <w:nsid w:val="5248601D"/>
    <w:multiLevelType w:val="multilevel"/>
    <w:tmpl w:val="5248601D"/>
    <w:lvl w:ilvl="0" w:tentative="1">
      <w:start w:val="1"/>
      <w:numFmt w:val="japaneseCounting"/>
      <w:lvlText w:val="%1、"/>
      <w:lvlJc w:val="left"/>
      <w:pPr>
        <w:tabs>
          <w:tab w:val="left" w:pos="720"/>
        </w:tabs>
        <w:ind w:left="720" w:hanging="720"/>
      </w:pPr>
      <w:rPr>
        <w:rFonts w:hint="default"/>
      </w:r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630571617">
    <w:nsid w:val="61308C61"/>
    <w:multiLevelType w:val="singleLevel"/>
    <w:tmpl w:val="61308C61"/>
    <w:lvl w:ilvl="0" w:tentative="1">
      <w:start w:val="2"/>
      <w:numFmt w:val="decimal"/>
      <w:suff w:val="nothing"/>
      <w:lvlText w:val="%1."/>
      <w:lvlJc w:val="left"/>
    </w:lvl>
  </w:abstractNum>
  <w:num w:numId="1">
    <w:abstractNumId w:val="1380474909"/>
  </w:num>
  <w:num w:numId="2">
    <w:abstractNumId w:val="16305716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172A27"/>
    <w:rsid w:val="00003283"/>
    <w:rsid w:val="000037A0"/>
    <w:rsid w:val="00004EE6"/>
    <w:rsid w:val="00006290"/>
    <w:rsid w:val="00006973"/>
    <w:rsid w:val="00007DC9"/>
    <w:rsid w:val="00010060"/>
    <w:rsid w:val="00010FE6"/>
    <w:rsid w:val="00013228"/>
    <w:rsid w:val="00016478"/>
    <w:rsid w:val="00017BE6"/>
    <w:rsid w:val="00020395"/>
    <w:rsid w:val="00020869"/>
    <w:rsid w:val="000214BF"/>
    <w:rsid w:val="00021595"/>
    <w:rsid w:val="000217B6"/>
    <w:rsid w:val="00022A99"/>
    <w:rsid w:val="00023ACF"/>
    <w:rsid w:val="00023FC9"/>
    <w:rsid w:val="000256DB"/>
    <w:rsid w:val="000262D1"/>
    <w:rsid w:val="00031E72"/>
    <w:rsid w:val="00031FDC"/>
    <w:rsid w:val="0003284B"/>
    <w:rsid w:val="000348C2"/>
    <w:rsid w:val="00034FF4"/>
    <w:rsid w:val="000368B1"/>
    <w:rsid w:val="00037B20"/>
    <w:rsid w:val="00040B20"/>
    <w:rsid w:val="00043284"/>
    <w:rsid w:val="00044DCC"/>
    <w:rsid w:val="00045A58"/>
    <w:rsid w:val="00046A75"/>
    <w:rsid w:val="00047478"/>
    <w:rsid w:val="0004763A"/>
    <w:rsid w:val="00047D02"/>
    <w:rsid w:val="00052307"/>
    <w:rsid w:val="00053C6A"/>
    <w:rsid w:val="00057D1D"/>
    <w:rsid w:val="00060E91"/>
    <w:rsid w:val="000620B0"/>
    <w:rsid w:val="000679A9"/>
    <w:rsid w:val="00072AD9"/>
    <w:rsid w:val="00074D65"/>
    <w:rsid w:val="00076E25"/>
    <w:rsid w:val="00077098"/>
    <w:rsid w:val="0008001D"/>
    <w:rsid w:val="0008135F"/>
    <w:rsid w:val="00082097"/>
    <w:rsid w:val="0008344E"/>
    <w:rsid w:val="00087607"/>
    <w:rsid w:val="00090C14"/>
    <w:rsid w:val="00092AC5"/>
    <w:rsid w:val="00093881"/>
    <w:rsid w:val="00096AB1"/>
    <w:rsid w:val="000978D0"/>
    <w:rsid w:val="000A0D90"/>
    <w:rsid w:val="000A1244"/>
    <w:rsid w:val="000A1510"/>
    <w:rsid w:val="000A2755"/>
    <w:rsid w:val="000A32E5"/>
    <w:rsid w:val="000A6414"/>
    <w:rsid w:val="000A6B02"/>
    <w:rsid w:val="000A7E71"/>
    <w:rsid w:val="000B0216"/>
    <w:rsid w:val="000B02E0"/>
    <w:rsid w:val="000B1330"/>
    <w:rsid w:val="000B19EE"/>
    <w:rsid w:val="000B2307"/>
    <w:rsid w:val="000B58B3"/>
    <w:rsid w:val="000B63F4"/>
    <w:rsid w:val="000B7F17"/>
    <w:rsid w:val="000C0FA0"/>
    <w:rsid w:val="000C3595"/>
    <w:rsid w:val="000C74E1"/>
    <w:rsid w:val="000D0803"/>
    <w:rsid w:val="000D1878"/>
    <w:rsid w:val="000D31C7"/>
    <w:rsid w:val="000D5383"/>
    <w:rsid w:val="000D7B27"/>
    <w:rsid w:val="000E10C2"/>
    <w:rsid w:val="000E2130"/>
    <w:rsid w:val="000E37E6"/>
    <w:rsid w:val="000E3C91"/>
    <w:rsid w:val="000E41B0"/>
    <w:rsid w:val="000E4536"/>
    <w:rsid w:val="000E57EE"/>
    <w:rsid w:val="000E5E12"/>
    <w:rsid w:val="000E6C54"/>
    <w:rsid w:val="000E76A2"/>
    <w:rsid w:val="000F0E2C"/>
    <w:rsid w:val="000F2160"/>
    <w:rsid w:val="000F2903"/>
    <w:rsid w:val="000F406F"/>
    <w:rsid w:val="000F68F9"/>
    <w:rsid w:val="000F6B1F"/>
    <w:rsid w:val="000F6F90"/>
    <w:rsid w:val="000F72CA"/>
    <w:rsid w:val="000F75A5"/>
    <w:rsid w:val="00101958"/>
    <w:rsid w:val="00102DF0"/>
    <w:rsid w:val="00103BEE"/>
    <w:rsid w:val="00103D15"/>
    <w:rsid w:val="00107432"/>
    <w:rsid w:val="00107D42"/>
    <w:rsid w:val="00107E5C"/>
    <w:rsid w:val="00110214"/>
    <w:rsid w:val="001106FD"/>
    <w:rsid w:val="001108B1"/>
    <w:rsid w:val="00111472"/>
    <w:rsid w:val="001134E3"/>
    <w:rsid w:val="001149AF"/>
    <w:rsid w:val="00114AFE"/>
    <w:rsid w:val="00115F31"/>
    <w:rsid w:val="00117FD5"/>
    <w:rsid w:val="001247D3"/>
    <w:rsid w:val="0012556E"/>
    <w:rsid w:val="00125BFB"/>
    <w:rsid w:val="00126C38"/>
    <w:rsid w:val="0013247D"/>
    <w:rsid w:val="00133784"/>
    <w:rsid w:val="0013508F"/>
    <w:rsid w:val="00136BF5"/>
    <w:rsid w:val="00137AC6"/>
    <w:rsid w:val="00140A43"/>
    <w:rsid w:val="00142048"/>
    <w:rsid w:val="00142984"/>
    <w:rsid w:val="00143A91"/>
    <w:rsid w:val="0014481D"/>
    <w:rsid w:val="001501F4"/>
    <w:rsid w:val="00150FDD"/>
    <w:rsid w:val="00151B4A"/>
    <w:rsid w:val="0015319D"/>
    <w:rsid w:val="0015539A"/>
    <w:rsid w:val="00155BA2"/>
    <w:rsid w:val="0015766C"/>
    <w:rsid w:val="0016083B"/>
    <w:rsid w:val="0016381D"/>
    <w:rsid w:val="00166C4F"/>
    <w:rsid w:val="00167985"/>
    <w:rsid w:val="00167F6E"/>
    <w:rsid w:val="00170067"/>
    <w:rsid w:val="00170426"/>
    <w:rsid w:val="0017132B"/>
    <w:rsid w:val="00172842"/>
    <w:rsid w:val="00172A27"/>
    <w:rsid w:val="001776CE"/>
    <w:rsid w:val="001823F0"/>
    <w:rsid w:val="00184019"/>
    <w:rsid w:val="00186D80"/>
    <w:rsid w:val="00186FB2"/>
    <w:rsid w:val="0019244E"/>
    <w:rsid w:val="00192F41"/>
    <w:rsid w:val="00195E4A"/>
    <w:rsid w:val="001961AE"/>
    <w:rsid w:val="001A0EBF"/>
    <w:rsid w:val="001A1028"/>
    <w:rsid w:val="001A601C"/>
    <w:rsid w:val="001B062F"/>
    <w:rsid w:val="001B293E"/>
    <w:rsid w:val="001B2B4D"/>
    <w:rsid w:val="001B57EB"/>
    <w:rsid w:val="001B60EA"/>
    <w:rsid w:val="001B65A9"/>
    <w:rsid w:val="001C1FD3"/>
    <w:rsid w:val="001C37EC"/>
    <w:rsid w:val="001C444B"/>
    <w:rsid w:val="001C5454"/>
    <w:rsid w:val="001C5FD0"/>
    <w:rsid w:val="001C6FF9"/>
    <w:rsid w:val="001C7171"/>
    <w:rsid w:val="001D09B8"/>
    <w:rsid w:val="001D1089"/>
    <w:rsid w:val="001D122A"/>
    <w:rsid w:val="001D197E"/>
    <w:rsid w:val="001D5334"/>
    <w:rsid w:val="001D637E"/>
    <w:rsid w:val="001E1750"/>
    <w:rsid w:val="001E24D4"/>
    <w:rsid w:val="001E24EC"/>
    <w:rsid w:val="001E4025"/>
    <w:rsid w:val="001E457C"/>
    <w:rsid w:val="001F0816"/>
    <w:rsid w:val="001F1737"/>
    <w:rsid w:val="001F65C5"/>
    <w:rsid w:val="001F789E"/>
    <w:rsid w:val="0020097C"/>
    <w:rsid w:val="002022B9"/>
    <w:rsid w:val="0020598C"/>
    <w:rsid w:val="00206AF8"/>
    <w:rsid w:val="00210177"/>
    <w:rsid w:val="00210B61"/>
    <w:rsid w:val="00210F8B"/>
    <w:rsid w:val="002111EE"/>
    <w:rsid w:val="0021146E"/>
    <w:rsid w:val="00211F82"/>
    <w:rsid w:val="002122D4"/>
    <w:rsid w:val="002139C7"/>
    <w:rsid w:val="00213DC0"/>
    <w:rsid w:val="0022061F"/>
    <w:rsid w:val="00221DFE"/>
    <w:rsid w:val="002233D4"/>
    <w:rsid w:val="0022408E"/>
    <w:rsid w:val="00224A07"/>
    <w:rsid w:val="002266D3"/>
    <w:rsid w:val="00226C5A"/>
    <w:rsid w:val="002270C1"/>
    <w:rsid w:val="0023162D"/>
    <w:rsid w:val="00231B86"/>
    <w:rsid w:val="00231EBE"/>
    <w:rsid w:val="00231F5D"/>
    <w:rsid w:val="00232600"/>
    <w:rsid w:val="00232FE3"/>
    <w:rsid w:val="00234426"/>
    <w:rsid w:val="00235768"/>
    <w:rsid w:val="00235B58"/>
    <w:rsid w:val="00237C68"/>
    <w:rsid w:val="002409AF"/>
    <w:rsid w:val="0024268A"/>
    <w:rsid w:val="0024566D"/>
    <w:rsid w:val="00253115"/>
    <w:rsid w:val="00254F97"/>
    <w:rsid w:val="00255FB5"/>
    <w:rsid w:val="002572B5"/>
    <w:rsid w:val="00261E84"/>
    <w:rsid w:val="0026303E"/>
    <w:rsid w:val="00263EE2"/>
    <w:rsid w:val="002658B6"/>
    <w:rsid w:val="00265A3A"/>
    <w:rsid w:val="002661EC"/>
    <w:rsid w:val="002669B6"/>
    <w:rsid w:val="0027025F"/>
    <w:rsid w:val="00270E32"/>
    <w:rsid w:val="002710B8"/>
    <w:rsid w:val="002713E0"/>
    <w:rsid w:val="00272A85"/>
    <w:rsid w:val="00274233"/>
    <w:rsid w:val="00276AB9"/>
    <w:rsid w:val="00277356"/>
    <w:rsid w:val="00282C2B"/>
    <w:rsid w:val="00283562"/>
    <w:rsid w:val="0028688A"/>
    <w:rsid w:val="00287E6F"/>
    <w:rsid w:val="0029068E"/>
    <w:rsid w:val="00294BC6"/>
    <w:rsid w:val="00294D2F"/>
    <w:rsid w:val="002A26D0"/>
    <w:rsid w:val="002A412F"/>
    <w:rsid w:val="002A459B"/>
    <w:rsid w:val="002A7917"/>
    <w:rsid w:val="002B09AE"/>
    <w:rsid w:val="002B3F3E"/>
    <w:rsid w:val="002B7143"/>
    <w:rsid w:val="002B774A"/>
    <w:rsid w:val="002B7DA7"/>
    <w:rsid w:val="002C47BC"/>
    <w:rsid w:val="002C745B"/>
    <w:rsid w:val="002D0011"/>
    <w:rsid w:val="002D04E6"/>
    <w:rsid w:val="002D1809"/>
    <w:rsid w:val="002D35C0"/>
    <w:rsid w:val="002D38E5"/>
    <w:rsid w:val="002D486B"/>
    <w:rsid w:val="002D489D"/>
    <w:rsid w:val="002D748B"/>
    <w:rsid w:val="002D7B6E"/>
    <w:rsid w:val="002E1565"/>
    <w:rsid w:val="002E161C"/>
    <w:rsid w:val="002E27F5"/>
    <w:rsid w:val="002E5BA7"/>
    <w:rsid w:val="002F0219"/>
    <w:rsid w:val="002F2D74"/>
    <w:rsid w:val="002F3E0B"/>
    <w:rsid w:val="002F556D"/>
    <w:rsid w:val="002F6E69"/>
    <w:rsid w:val="00300356"/>
    <w:rsid w:val="00301BBA"/>
    <w:rsid w:val="0030390E"/>
    <w:rsid w:val="00304325"/>
    <w:rsid w:val="0030434F"/>
    <w:rsid w:val="00307226"/>
    <w:rsid w:val="00311702"/>
    <w:rsid w:val="003138B6"/>
    <w:rsid w:val="0031481E"/>
    <w:rsid w:val="0031518E"/>
    <w:rsid w:val="00316538"/>
    <w:rsid w:val="00316B3F"/>
    <w:rsid w:val="00316D7A"/>
    <w:rsid w:val="003171A2"/>
    <w:rsid w:val="003171C0"/>
    <w:rsid w:val="003207A7"/>
    <w:rsid w:val="00322604"/>
    <w:rsid w:val="00323FD0"/>
    <w:rsid w:val="00324F4C"/>
    <w:rsid w:val="00326A28"/>
    <w:rsid w:val="00331F0D"/>
    <w:rsid w:val="0033493C"/>
    <w:rsid w:val="00335733"/>
    <w:rsid w:val="003362E3"/>
    <w:rsid w:val="003369FE"/>
    <w:rsid w:val="003401A0"/>
    <w:rsid w:val="0034020D"/>
    <w:rsid w:val="003406BF"/>
    <w:rsid w:val="003412A4"/>
    <w:rsid w:val="00341E6C"/>
    <w:rsid w:val="00341ED1"/>
    <w:rsid w:val="003425AA"/>
    <w:rsid w:val="003439FD"/>
    <w:rsid w:val="00344C60"/>
    <w:rsid w:val="00344F0B"/>
    <w:rsid w:val="00345092"/>
    <w:rsid w:val="0034565B"/>
    <w:rsid w:val="00345DCF"/>
    <w:rsid w:val="0034660E"/>
    <w:rsid w:val="003466B0"/>
    <w:rsid w:val="00346BC8"/>
    <w:rsid w:val="00346C30"/>
    <w:rsid w:val="0034701E"/>
    <w:rsid w:val="003473D6"/>
    <w:rsid w:val="00350CEC"/>
    <w:rsid w:val="00350E02"/>
    <w:rsid w:val="003529EF"/>
    <w:rsid w:val="0035424A"/>
    <w:rsid w:val="00354A29"/>
    <w:rsid w:val="003561C5"/>
    <w:rsid w:val="00357C16"/>
    <w:rsid w:val="0036187C"/>
    <w:rsid w:val="00362A69"/>
    <w:rsid w:val="00363B33"/>
    <w:rsid w:val="00364D86"/>
    <w:rsid w:val="00366644"/>
    <w:rsid w:val="00366A03"/>
    <w:rsid w:val="00367C74"/>
    <w:rsid w:val="003709B5"/>
    <w:rsid w:val="003733C9"/>
    <w:rsid w:val="00374547"/>
    <w:rsid w:val="003760C1"/>
    <w:rsid w:val="00376739"/>
    <w:rsid w:val="00376A6E"/>
    <w:rsid w:val="003772AC"/>
    <w:rsid w:val="0038072F"/>
    <w:rsid w:val="00381CDE"/>
    <w:rsid w:val="00383F5A"/>
    <w:rsid w:val="0038681E"/>
    <w:rsid w:val="0038688F"/>
    <w:rsid w:val="00386AB9"/>
    <w:rsid w:val="00387C92"/>
    <w:rsid w:val="00390ABE"/>
    <w:rsid w:val="00392032"/>
    <w:rsid w:val="00394C4C"/>
    <w:rsid w:val="00395539"/>
    <w:rsid w:val="00397161"/>
    <w:rsid w:val="00397209"/>
    <w:rsid w:val="003A0A2C"/>
    <w:rsid w:val="003A4E6D"/>
    <w:rsid w:val="003A5F0F"/>
    <w:rsid w:val="003B0D07"/>
    <w:rsid w:val="003B1DA1"/>
    <w:rsid w:val="003B32A7"/>
    <w:rsid w:val="003B3308"/>
    <w:rsid w:val="003B3F67"/>
    <w:rsid w:val="003B4301"/>
    <w:rsid w:val="003B459A"/>
    <w:rsid w:val="003B6857"/>
    <w:rsid w:val="003B71FC"/>
    <w:rsid w:val="003C0B34"/>
    <w:rsid w:val="003C2B73"/>
    <w:rsid w:val="003C35F1"/>
    <w:rsid w:val="003C4390"/>
    <w:rsid w:val="003C6496"/>
    <w:rsid w:val="003D1634"/>
    <w:rsid w:val="003D1BDA"/>
    <w:rsid w:val="003D2F9E"/>
    <w:rsid w:val="003D3661"/>
    <w:rsid w:val="003D3834"/>
    <w:rsid w:val="003D61D5"/>
    <w:rsid w:val="003D69C6"/>
    <w:rsid w:val="003D7461"/>
    <w:rsid w:val="003E4711"/>
    <w:rsid w:val="003E5556"/>
    <w:rsid w:val="003E5D24"/>
    <w:rsid w:val="003E7375"/>
    <w:rsid w:val="003F5D32"/>
    <w:rsid w:val="003F65C3"/>
    <w:rsid w:val="00400E2C"/>
    <w:rsid w:val="0040109C"/>
    <w:rsid w:val="004031BC"/>
    <w:rsid w:val="00404B01"/>
    <w:rsid w:val="00405D47"/>
    <w:rsid w:val="00406B46"/>
    <w:rsid w:val="004106AD"/>
    <w:rsid w:val="00412B6A"/>
    <w:rsid w:val="00412BAC"/>
    <w:rsid w:val="00413092"/>
    <w:rsid w:val="00413BC6"/>
    <w:rsid w:val="00416379"/>
    <w:rsid w:val="004203E8"/>
    <w:rsid w:val="0042274C"/>
    <w:rsid w:val="00430418"/>
    <w:rsid w:val="00435C0A"/>
    <w:rsid w:val="004371F4"/>
    <w:rsid w:val="00437588"/>
    <w:rsid w:val="00440A47"/>
    <w:rsid w:val="00443328"/>
    <w:rsid w:val="0044488D"/>
    <w:rsid w:val="00445926"/>
    <w:rsid w:val="00445E78"/>
    <w:rsid w:val="00445EDD"/>
    <w:rsid w:val="0044702C"/>
    <w:rsid w:val="00454FBB"/>
    <w:rsid w:val="00455927"/>
    <w:rsid w:val="00455FF4"/>
    <w:rsid w:val="004607FD"/>
    <w:rsid w:val="00462348"/>
    <w:rsid w:val="00464D91"/>
    <w:rsid w:val="00465436"/>
    <w:rsid w:val="0046723B"/>
    <w:rsid w:val="00467431"/>
    <w:rsid w:val="004701F5"/>
    <w:rsid w:val="0047337E"/>
    <w:rsid w:val="00473D97"/>
    <w:rsid w:val="00475CEF"/>
    <w:rsid w:val="00475EDF"/>
    <w:rsid w:val="0047767A"/>
    <w:rsid w:val="00481637"/>
    <w:rsid w:val="004822BA"/>
    <w:rsid w:val="004830CB"/>
    <w:rsid w:val="0048482E"/>
    <w:rsid w:val="00484C13"/>
    <w:rsid w:val="00484CC0"/>
    <w:rsid w:val="00484D66"/>
    <w:rsid w:val="00485DDB"/>
    <w:rsid w:val="00485FDE"/>
    <w:rsid w:val="00490C6B"/>
    <w:rsid w:val="00492973"/>
    <w:rsid w:val="004A0F9B"/>
    <w:rsid w:val="004A1579"/>
    <w:rsid w:val="004A2492"/>
    <w:rsid w:val="004A6E98"/>
    <w:rsid w:val="004B0533"/>
    <w:rsid w:val="004B62F2"/>
    <w:rsid w:val="004B7583"/>
    <w:rsid w:val="004C1664"/>
    <w:rsid w:val="004C1C7B"/>
    <w:rsid w:val="004C399B"/>
    <w:rsid w:val="004C43C7"/>
    <w:rsid w:val="004C473C"/>
    <w:rsid w:val="004C6442"/>
    <w:rsid w:val="004C6B98"/>
    <w:rsid w:val="004C7193"/>
    <w:rsid w:val="004C790B"/>
    <w:rsid w:val="004D043F"/>
    <w:rsid w:val="004D225B"/>
    <w:rsid w:val="004D41C3"/>
    <w:rsid w:val="004D4DAE"/>
    <w:rsid w:val="004D56E2"/>
    <w:rsid w:val="004D5DA2"/>
    <w:rsid w:val="004D6592"/>
    <w:rsid w:val="004E09A6"/>
    <w:rsid w:val="004E2640"/>
    <w:rsid w:val="004F01C6"/>
    <w:rsid w:val="004F1F5C"/>
    <w:rsid w:val="004F2701"/>
    <w:rsid w:val="004F2B79"/>
    <w:rsid w:val="004F6772"/>
    <w:rsid w:val="0050040E"/>
    <w:rsid w:val="00500863"/>
    <w:rsid w:val="005011D4"/>
    <w:rsid w:val="005039A7"/>
    <w:rsid w:val="005056F9"/>
    <w:rsid w:val="00505B64"/>
    <w:rsid w:val="00506738"/>
    <w:rsid w:val="005109A3"/>
    <w:rsid w:val="00511C5A"/>
    <w:rsid w:val="00512FF3"/>
    <w:rsid w:val="00515903"/>
    <w:rsid w:val="00515D03"/>
    <w:rsid w:val="0051675E"/>
    <w:rsid w:val="00522F0F"/>
    <w:rsid w:val="005233EC"/>
    <w:rsid w:val="00527621"/>
    <w:rsid w:val="0053096A"/>
    <w:rsid w:val="0053153E"/>
    <w:rsid w:val="00531E3D"/>
    <w:rsid w:val="005344D3"/>
    <w:rsid w:val="0053458A"/>
    <w:rsid w:val="00536282"/>
    <w:rsid w:val="005373CB"/>
    <w:rsid w:val="0053776B"/>
    <w:rsid w:val="005379EC"/>
    <w:rsid w:val="00537AEF"/>
    <w:rsid w:val="00540F27"/>
    <w:rsid w:val="00541F98"/>
    <w:rsid w:val="00543249"/>
    <w:rsid w:val="0054412E"/>
    <w:rsid w:val="0054677A"/>
    <w:rsid w:val="00546D16"/>
    <w:rsid w:val="00547154"/>
    <w:rsid w:val="00551ED0"/>
    <w:rsid w:val="00555B87"/>
    <w:rsid w:val="005572DC"/>
    <w:rsid w:val="00561B5E"/>
    <w:rsid w:val="0056399D"/>
    <w:rsid w:val="005646A8"/>
    <w:rsid w:val="00565412"/>
    <w:rsid w:val="00566B8A"/>
    <w:rsid w:val="00567075"/>
    <w:rsid w:val="00567932"/>
    <w:rsid w:val="00574539"/>
    <w:rsid w:val="005755A8"/>
    <w:rsid w:val="00575BEA"/>
    <w:rsid w:val="00577962"/>
    <w:rsid w:val="005831C6"/>
    <w:rsid w:val="00585BC9"/>
    <w:rsid w:val="00592FC3"/>
    <w:rsid w:val="0059306C"/>
    <w:rsid w:val="00594782"/>
    <w:rsid w:val="00594ACF"/>
    <w:rsid w:val="005967A0"/>
    <w:rsid w:val="005A1892"/>
    <w:rsid w:val="005A21B3"/>
    <w:rsid w:val="005A40D3"/>
    <w:rsid w:val="005A519A"/>
    <w:rsid w:val="005B024D"/>
    <w:rsid w:val="005B2496"/>
    <w:rsid w:val="005B297E"/>
    <w:rsid w:val="005B2B10"/>
    <w:rsid w:val="005C0E67"/>
    <w:rsid w:val="005C18B7"/>
    <w:rsid w:val="005C1C2D"/>
    <w:rsid w:val="005C1FA3"/>
    <w:rsid w:val="005C3252"/>
    <w:rsid w:val="005C6B4D"/>
    <w:rsid w:val="005D13D9"/>
    <w:rsid w:val="005D4E72"/>
    <w:rsid w:val="005D599A"/>
    <w:rsid w:val="005D6B39"/>
    <w:rsid w:val="005D7FCC"/>
    <w:rsid w:val="005E134E"/>
    <w:rsid w:val="005E16E7"/>
    <w:rsid w:val="005E36BC"/>
    <w:rsid w:val="005E4389"/>
    <w:rsid w:val="005E4BEA"/>
    <w:rsid w:val="005E6413"/>
    <w:rsid w:val="005F0341"/>
    <w:rsid w:val="005F1C91"/>
    <w:rsid w:val="005F243F"/>
    <w:rsid w:val="005F2A63"/>
    <w:rsid w:val="005F2D23"/>
    <w:rsid w:val="005F3F69"/>
    <w:rsid w:val="005F3F70"/>
    <w:rsid w:val="005F430E"/>
    <w:rsid w:val="005F4BA3"/>
    <w:rsid w:val="005F5F52"/>
    <w:rsid w:val="005F7113"/>
    <w:rsid w:val="006007ED"/>
    <w:rsid w:val="00602C9D"/>
    <w:rsid w:val="00610870"/>
    <w:rsid w:val="00612462"/>
    <w:rsid w:val="00613A94"/>
    <w:rsid w:val="00613CC6"/>
    <w:rsid w:val="006170CE"/>
    <w:rsid w:val="00617765"/>
    <w:rsid w:val="00620166"/>
    <w:rsid w:val="006204B9"/>
    <w:rsid w:val="006221DE"/>
    <w:rsid w:val="00622716"/>
    <w:rsid w:val="006238B2"/>
    <w:rsid w:val="006247E4"/>
    <w:rsid w:val="00625903"/>
    <w:rsid w:val="00627394"/>
    <w:rsid w:val="006304BC"/>
    <w:rsid w:val="00630A0B"/>
    <w:rsid w:val="00631862"/>
    <w:rsid w:val="006330B8"/>
    <w:rsid w:val="0063420C"/>
    <w:rsid w:val="00634C53"/>
    <w:rsid w:val="00636296"/>
    <w:rsid w:val="00637038"/>
    <w:rsid w:val="00640337"/>
    <w:rsid w:val="00640B31"/>
    <w:rsid w:val="00641C5C"/>
    <w:rsid w:val="006431B4"/>
    <w:rsid w:val="00645818"/>
    <w:rsid w:val="00645ADF"/>
    <w:rsid w:val="00647B86"/>
    <w:rsid w:val="0065140A"/>
    <w:rsid w:val="00652976"/>
    <w:rsid w:val="00653A44"/>
    <w:rsid w:val="00654090"/>
    <w:rsid w:val="00655AB9"/>
    <w:rsid w:val="00661964"/>
    <w:rsid w:val="00665DCB"/>
    <w:rsid w:val="0066641F"/>
    <w:rsid w:val="00667CBE"/>
    <w:rsid w:val="00667CDC"/>
    <w:rsid w:val="00671D18"/>
    <w:rsid w:val="00672B6D"/>
    <w:rsid w:val="006749DD"/>
    <w:rsid w:val="00675CA1"/>
    <w:rsid w:val="00676472"/>
    <w:rsid w:val="00677142"/>
    <w:rsid w:val="006840EC"/>
    <w:rsid w:val="006846DB"/>
    <w:rsid w:val="00690FE5"/>
    <w:rsid w:val="00691463"/>
    <w:rsid w:val="00691CBF"/>
    <w:rsid w:val="00692A43"/>
    <w:rsid w:val="00694C54"/>
    <w:rsid w:val="0069671E"/>
    <w:rsid w:val="00697387"/>
    <w:rsid w:val="006977C6"/>
    <w:rsid w:val="00697B52"/>
    <w:rsid w:val="00697B94"/>
    <w:rsid w:val="006A0235"/>
    <w:rsid w:val="006A50AB"/>
    <w:rsid w:val="006A54D4"/>
    <w:rsid w:val="006A5E5E"/>
    <w:rsid w:val="006A6721"/>
    <w:rsid w:val="006A71A5"/>
    <w:rsid w:val="006A728B"/>
    <w:rsid w:val="006B0730"/>
    <w:rsid w:val="006B0B73"/>
    <w:rsid w:val="006B0BDA"/>
    <w:rsid w:val="006B2173"/>
    <w:rsid w:val="006B4876"/>
    <w:rsid w:val="006B5892"/>
    <w:rsid w:val="006B728A"/>
    <w:rsid w:val="006B7E47"/>
    <w:rsid w:val="006C2EC5"/>
    <w:rsid w:val="006C3613"/>
    <w:rsid w:val="006C48DF"/>
    <w:rsid w:val="006D2734"/>
    <w:rsid w:val="006D6890"/>
    <w:rsid w:val="006E0A8D"/>
    <w:rsid w:val="006E2483"/>
    <w:rsid w:val="006E30DF"/>
    <w:rsid w:val="006E3ADD"/>
    <w:rsid w:val="006E4181"/>
    <w:rsid w:val="006E5339"/>
    <w:rsid w:val="006E5740"/>
    <w:rsid w:val="006F28B3"/>
    <w:rsid w:val="006F3DE1"/>
    <w:rsid w:val="006F4106"/>
    <w:rsid w:val="006F5393"/>
    <w:rsid w:val="006F6256"/>
    <w:rsid w:val="006F7571"/>
    <w:rsid w:val="007023BD"/>
    <w:rsid w:val="00703E1B"/>
    <w:rsid w:val="00705024"/>
    <w:rsid w:val="00706CC7"/>
    <w:rsid w:val="00707341"/>
    <w:rsid w:val="00713636"/>
    <w:rsid w:val="00713691"/>
    <w:rsid w:val="007155F8"/>
    <w:rsid w:val="00715A52"/>
    <w:rsid w:val="00717260"/>
    <w:rsid w:val="0071765A"/>
    <w:rsid w:val="00720089"/>
    <w:rsid w:val="00720712"/>
    <w:rsid w:val="00723DEF"/>
    <w:rsid w:val="00725AB5"/>
    <w:rsid w:val="00731F18"/>
    <w:rsid w:val="007348EB"/>
    <w:rsid w:val="00734B6D"/>
    <w:rsid w:val="00735892"/>
    <w:rsid w:val="007363D5"/>
    <w:rsid w:val="0073775C"/>
    <w:rsid w:val="00740894"/>
    <w:rsid w:val="00740C64"/>
    <w:rsid w:val="00740FE1"/>
    <w:rsid w:val="0074314A"/>
    <w:rsid w:val="00746456"/>
    <w:rsid w:val="00747FD9"/>
    <w:rsid w:val="007532AF"/>
    <w:rsid w:val="007538FE"/>
    <w:rsid w:val="00755A8E"/>
    <w:rsid w:val="00756EBC"/>
    <w:rsid w:val="00757176"/>
    <w:rsid w:val="00760BAB"/>
    <w:rsid w:val="00760C8A"/>
    <w:rsid w:val="0077070A"/>
    <w:rsid w:val="00772948"/>
    <w:rsid w:val="00774489"/>
    <w:rsid w:val="00775100"/>
    <w:rsid w:val="00776E5C"/>
    <w:rsid w:val="00777029"/>
    <w:rsid w:val="0077775C"/>
    <w:rsid w:val="00780FDF"/>
    <w:rsid w:val="00781972"/>
    <w:rsid w:val="00781F36"/>
    <w:rsid w:val="00782411"/>
    <w:rsid w:val="00784ACB"/>
    <w:rsid w:val="00784ADF"/>
    <w:rsid w:val="00784D97"/>
    <w:rsid w:val="00785682"/>
    <w:rsid w:val="00785894"/>
    <w:rsid w:val="00785A81"/>
    <w:rsid w:val="00786A22"/>
    <w:rsid w:val="0078718E"/>
    <w:rsid w:val="007914AB"/>
    <w:rsid w:val="00791675"/>
    <w:rsid w:val="00792E30"/>
    <w:rsid w:val="0079788A"/>
    <w:rsid w:val="007A0649"/>
    <w:rsid w:val="007A48A4"/>
    <w:rsid w:val="007A55E7"/>
    <w:rsid w:val="007B2ABD"/>
    <w:rsid w:val="007B2AFC"/>
    <w:rsid w:val="007B37F9"/>
    <w:rsid w:val="007B5587"/>
    <w:rsid w:val="007B5B83"/>
    <w:rsid w:val="007B6A0C"/>
    <w:rsid w:val="007C02D1"/>
    <w:rsid w:val="007C0549"/>
    <w:rsid w:val="007C2662"/>
    <w:rsid w:val="007C2DA9"/>
    <w:rsid w:val="007C355E"/>
    <w:rsid w:val="007C3D7C"/>
    <w:rsid w:val="007C428C"/>
    <w:rsid w:val="007D0905"/>
    <w:rsid w:val="007D1DFB"/>
    <w:rsid w:val="007D2D78"/>
    <w:rsid w:val="007D2EFF"/>
    <w:rsid w:val="007D4FAC"/>
    <w:rsid w:val="007D6B28"/>
    <w:rsid w:val="007E068D"/>
    <w:rsid w:val="007E1960"/>
    <w:rsid w:val="007E250F"/>
    <w:rsid w:val="007E7206"/>
    <w:rsid w:val="007E76E9"/>
    <w:rsid w:val="007F073C"/>
    <w:rsid w:val="007F197F"/>
    <w:rsid w:val="007F4E22"/>
    <w:rsid w:val="007F7B95"/>
    <w:rsid w:val="00810ACF"/>
    <w:rsid w:val="00810EA6"/>
    <w:rsid w:val="00812E17"/>
    <w:rsid w:val="00812FD8"/>
    <w:rsid w:val="00814B7C"/>
    <w:rsid w:val="00814DA0"/>
    <w:rsid w:val="008151FA"/>
    <w:rsid w:val="008165E2"/>
    <w:rsid w:val="00820FFC"/>
    <w:rsid w:val="00823109"/>
    <w:rsid w:val="008257E6"/>
    <w:rsid w:val="00831F19"/>
    <w:rsid w:val="00832CCE"/>
    <w:rsid w:val="008332EC"/>
    <w:rsid w:val="0083557B"/>
    <w:rsid w:val="008377F0"/>
    <w:rsid w:val="008378E6"/>
    <w:rsid w:val="00843D50"/>
    <w:rsid w:val="00843FF0"/>
    <w:rsid w:val="008470E2"/>
    <w:rsid w:val="00853EFF"/>
    <w:rsid w:val="008548E8"/>
    <w:rsid w:val="008574BD"/>
    <w:rsid w:val="008602A8"/>
    <w:rsid w:val="00861BC7"/>
    <w:rsid w:val="00862A2F"/>
    <w:rsid w:val="0086412E"/>
    <w:rsid w:val="00865B91"/>
    <w:rsid w:val="00867982"/>
    <w:rsid w:val="00871078"/>
    <w:rsid w:val="00874270"/>
    <w:rsid w:val="00875837"/>
    <w:rsid w:val="00876466"/>
    <w:rsid w:val="00876ED2"/>
    <w:rsid w:val="00877705"/>
    <w:rsid w:val="00881A1C"/>
    <w:rsid w:val="00881B7D"/>
    <w:rsid w:val="00883F39"/>
    <w:rsid w:val="00884EB9"/>
    <w:rsid w:val="00886B24"/>
    <w:rsid w:val="0088746A"/>
    <w:rsid w:val="0089022B"/>
    <w:rsid w:val="00890DB5"/>
    <w:rsid w:val="00890FCA"/>
    <w:rsid w:val="0089174B"/>
    <w:rsid w:val="00891E1A"/>
    <w:rsid w:val="00891FDD"/>
    <w:rsid w:val="00893086"/>
    <w:rsid w:val="008A2130"/>
    <w:rsid w:val="008A2B5D"/>
    <w:rsid w:val="008A3A8A"/>
    <w:rsid w:val="008A5379"/>
    <w:rsid w:val="008A621E"/>
    <w:rsid w:val="008A6293"/>
    <w:rsid w:val="008B2D73"/>
    <w:rsid w:val="008B4119"/>
    <w:rsid w:val="008B4D3E"/>
    <w:rsid w:val="008B7919"/>
    <w:rsid w:val="008C04AD"/>
    <w:rsid w:val="008C278D"/>
    <w:rsid w:val="008C36CB"/>
    <w:rsid w:val="008C5725"/>
    <w:rsid w:val="008C6898"/>
    <w:rsid w:val="008C697A"/>
    <w:rsid w:val="008C69B9"/>
    <w:rsid w:val="008C769C"/>
    <w:rsid w:val="008D0AC4"/>
    <w:rsid w:val="008D1A06"/>
    <w:rsid w:val="008D1BEE"/>
    <w:rsid w:val="008D3DED"/>
    <w:rsid w:val="008D4F4A"/>
    <w:rsid w:val="008D61AD"/>
    <w:rsid w:val="008D7064"/>
    <w:rsid w:val="008D7A9D"/>
    <w:rsid w:val="008E2141"/>
    <w:rsid w:val="008E2556"/>
    <w:rsid w:val="008E3ACB"/>
    <w:rsid w:val="008E3D87"/>
    <w:rsid w:val="008E5363"/>
    <w:rsid w:val="008E5BA4"/>
    <w:rsid w:val="008F14B2"/>
    <w:rsid w:val="008F67CC"/>
    <w:rsid w:val="008F7D2F"/>
    <w:rsid w:val="00907A2E"/>
    <w:rsid w:val="00910009"/>
    <w:rsid w:val="009104D6"/>
    <w:rsid w:val="00911268"/>
    <w:rsid w:val="00913157"/>
    <w:rsid w:val="009205D2"/>
    <w:rsid w:val="009205EB"/>
    <w:rsid w:val="00921B10"/>
    <w:rsid w:val="009220D0"/>
    <w:rsid w:val="00922BB5"/>
    <w:rsid w:val="0092312F"/>
    <w:rsid w:val="00930B28"/>
    <w:rsid w:val="00934D21"/>
    <w:rsid w:val="00935267"/>
    <w:rsid w:val="009353FA"/>
    <w:rsid w:val="0093745D"/>
    <w:rsid w:val="00937A3F"/>
    <w:rsid w:val="00942E3D"/>
    <w:rsid w:val="009452FC"/>
    <w:rsid w:val="00945D59"/>
    <w:rsid w:val="00953DF7"/>
    <w:rsid w:val="009560E0"/>
    <w:rsid w:val="009567DB"/>
    <w:rsid w:val="00956915"/>
    <w:rsid w:val="0096126D"/>
    <w:rsid w:val="00963ED2"/>
    <w:rsid w:val="00965BEF"/>
    <w:rsid w:val="00965E5C"/>
    <w:rsid w:val="00967FD9"/>
    <w:rsid w:val="00972343"/>
    <w:rsid w:val="00973E9E"/>
    <w:rsid w:val="009741DF"/>
    <w:rsid w:val="0097607F"/>
    <w:rsid w:val="009774BB"/>
    <w:rsid w:val="00977DA9"/>
    <w:rsid w:val="00980122"/>
    <w:rsid w:val="009837E3"/>
    <w:rsid w:val="00983A42"/>
    <w:rsid w:val="009847F8"/>
    <w:rsid w:val="00987810"/>
    <w:rsid w:val="0099140F"/>
    <w:rsid w:val="009915DE"/>
    <w:rsid w:val="0099689B"/>
    <w:rsid w:val="009971C2"/>
    <w:rsid w:val="009A39FE"/>
    <w:rsid w:val="009A3A32"/>
    <w:rsid w:val="009A3A68"/>
    <w:rsid w:val="009A4C19"/>
    <w:rsid w:val="009A4DAD"/>
    <w:rsid w:val="009B00B5"/>
    <w:rsid w:val="009B0E03"/>
    <w:rsid w:val="009B1CE1"/>
    <w:rsid w:val="009B6761"/>
    <w:rsid w:val="009B7616"/>
    <w:rsid w:val="009C2E7D"/>
    <w:rsid w:val="009C4325"/>
    <w:rsid w:val="009C6CAA"/>
    <w:rsid w:val="009D19A6"/>
    <w:rsid w:val="009D2B6B"/>
    <w:rsid w:val="009D3327"/>
    <w:rsid w:val="009D3668"/>
    <w:rsid w:val="009D7733"/>
    <w:rsid w:val="009E0A44"/>
    <w:rsid w:val="009E0E53"/>
    <w:rsid w:val="009E1EC7"/>
    <w:rsid w:val="009E2932"/>
    <w:rsid w:val="009E5FCC"/>
    <w:rsid w:val="009E60A7"/>
    <w:rsid w:val="009F0B1D"/>
    <w:rsid w:val="009F1395"/>
    <w:rsid w:val="009F51D8"/>
    <w:rsid w:val="009F5CC6"/>
    <w:rsid w:val="00A0055B"/>
    <w:rsid w:val="00A006C8"/>
    <w:rsid w:val="00A02392"/>
    <w:rsid w:val="00A0584C"/>
    <w:rsid w:val="00A11911"/>
    <w:rsid w:val="00A121E0"/>
    <w:rsid w:val="00A2342C"/>
    <w:rsid w:val="00A23431"/>
    <w:rsid w:val="00A24C5A"/>
    <w:rsid w:val="00A2508E"/>
    <w:rsid w:val="00A254E5"/>
    <w:rsid w:val="00A30456"/>
    <w:rsid w:val="00A31255"/>
    <w:rsid w:val="00A32548"/>
    <w:rsid w:val="00A33173"/>
    <w:rsid w:val="00A34F61"/>
    <w:rsid w:val="00A350C8"/>
    <w:rsid w:val="00A3542A"/>
    <w:rsid w:val="00A35A34"/>
    <w:rsid w:val="00A35F35"/>
    <w:rsid w:val="00A36287"/>
    <w:rsid w:val="00A4118E"/>
    <w:rsid w:val="00A44FD1"/>
    <w:rsid w:val="00A455BD"/>
    <w:rsid w:val="00A4700E"/>
    <w:rsid w:val="00A5022C"/>
    <w:rsid w:val="00A5217E"/>
    <w:rsid w:val="00A5318E"/>
    <w:rsid w:val="00A56BC8"/>
    <w:rsid w:val="00A63459"/>
    <w:rsid w:val="00A63BB9"/>
    <w:rsid w:val="00A65852"/>
    <w:rsid w:val="00A666BF"/>
    <w:rsid w:val="00A66FB6"/>
    <w:rsid w:val="00A674AA"/>
    <w:rsid w:val="00A71E40"/>
    <w:rsid w:val="00A72282"/>
    <w:rsid w:val="00A72C5C"/>
    <w:rsid w:val="00A7352E"/>
    <w:rsid w:val="00A75E8E"/>
    <w:rsid w:val="00A77825"/>
    <w:rsid w:val="00A8145E"/>
    <w:rsid w:val="00A82F10"/>
    <w:rsid w:val="00A839C1"/>
    <w:rsid w:val="00A843B6"/>
    <w:rsid w:val="00A84778"/>
    <w:rsid w:val="00A86088"/>
    <w:rsid w:val="00A90298"/>
    <w:rsid w:val="00A903A0"/>
    <w:rsid w:val="00A904FD"/>
    <w:rsid w:val="00A9075F"/>
    <w:rsid w:val="00A91F76"/>
    <w:rsid w:val="00A92890"/>
    <w:rsid w:val="00A92D71"/>
    <w:rsid w:val="00A970C8"/>
    <w:rsid w:val="00AA271B"/>
    <w:rsid w:val="00AA28C0"/>
    <w:rsid w:val="00AA3273"/>
    <w:rsid w:val="00AA7CCE"/>
    <w:rsid w:val="00AB28FC"/>
    <w:rsid w:val="00AB2B45"/>
    <w:rsid w:val="00AB2E00"/>
    <w:rsid w:val="00AB5D73"/>
    <w:rsid w:val="00AC120B"/>
    <w:rsid w:val="00AC24E3"/>
    <w:rsid w:val="00AC3CD7"/>
    <w:rsid w:val="00AC5638"/>
    <w:rsid w:val="00AC5C42"/>
    <w:rsid w:val="00AD2AC8"/>
    <w:rsid w:val="00AD40CF"/>
    <w:rsid w:val="00AD76B2"/>
    <w:rsid w:val="00AE086D"/>
    <w:rsid w:val="00AE2707"/>
    <w:rsid w:val="00AE283B"/>
    <w:rsid w:val="00AE2F92"/>
    <w:rsid w:val="00AE37DF"/>
    <w:rsid w:val="00AE595F"/>
    <w:rsid w:val="00AF55FE"/>
    <w:rsid w:val="00AF7585"/>
    <w:rsid w:val="00B0120F"/>
    <w:rsid w:val="00B062C2"/>
    <w:rsid w:val="00B06810"/>
    <w:rsid w:val="00B06A8C"/>
    <w:rsid w:val="00B14645"/>
    <w:rsid w:val="00B15167"/>
    <w:rsid w:val="00B15463"/>
    <w:rsid w:val="00B15580"/>
    <w:rsid w:val="00B165E0"/>
    <w:rsid w:val="00B17819"/>
    <w:rsid w:val="00B17A76"/>
    <w:rsid w:val="00B24674"/>
    <w:rsid w:val="00B25757"/>
    <w:rsid w:val="00B25B96"/>
    <w:rsid w:val="00B271A4"/>
    <w:rsid w:val="00B3021D"/>
    <w:rsid w:val="00B30C3B"/>
    <w:rsid w:val="00B3176C"/>
    <w:rsid w:val="00B40460"/>
    <w:rsid w:val="00B414AC"/>
    <w:rsid w:val="00B41D30"/>
    <w:rsid w:val="00B42634"/>
    <w:rsid w:val="00B44470"/>
    <w:rsid w:val="00B46081"/>
    <w:rsid w:val="00B466AF"/>
    <w:rsid w:val="00B51A92"/>
    <w:rsid w:val="00B51DA0"/>
    <w:rsid w:val="00B51E38"/>
    <w:rsid w:val="00B52084"/>
    <w:rsid w:val="00B52E49"/>
    <w:rsid w:val="00B53C30"/>
    <w:rsid w:val="00B55246"/>
    <w:rsid w:val="00B56144"/>
    <w:rsid w:val="00B61CF6"/>
    <w:rsid w:val="00B61FDB"/>
    <w:rsid w:val="00B624D7"/>
    <w:rsid w:val="00B660E1"/>
    <w:rsid w:val="00B6782E"/>
    <w:rsid w:val="00B709E2"/>
    <w:rsid w:val="00B709FC"/>
    <w:rsid w:val="00B70F34"/>
    <w:rsid w:val="00B72D92"/>
    <w:rsid w:val="00B8067A"/>
    <w:rsid w:val="00B806EE"/>
    <w:rsid w:val="00B81B7C"/>
    <w:rsid w:val="00B81D0A"/>
    <w:rsid w:val="00B85B9A"/>
    <w:rsid w:val="00B85F99"/>
    <w:rsid w:val="00B867BA"/>
    <w:rsid w:val="00B9092C"/>
    <w:rsid w:val="00B92962"/>
    <w:rsid w:val="00B94728"/>
    <w:rsid w:val="00B96A90"/>
    <w:rsid w:val="00B96BDA"/>
    <w:rsid w:val="00BA0F16"/>
    <w:rsid w:val="00BA1B53"/>
    <w:rsid w:val="00BA1D58"/>
    <w:rsid w:val="00BA30CB"/>
    <w:rsid w:val="00BA3D5D"/>
    <w:rsid w:val="00BA49FB"/>
    <w:rsid w:val="00BA7713"/>
    <w:rsid w:val="00BB00BE"/>
    <w:rsid w:val="00BB257A"/>
    <w:rsid w:val="00BB44A5"/>
    <w:rsid w:val="00BB4B29"/>
    <w:rsid w:val="00BB62C8"/>
    <w:rsid w:val="00BC40F0"/>
    <w:rsid w:val="00BC6BBC"/>
    <w:rsid w:val="00BC7C05"/>
    <w:rsid w:val="00BD111A"/>
    <w:rsid w:val="00BD2719"/>
    <w:rsid w:val="00BD69B5"/>
    <w:rsid w:val="00BD719C"/>
    <w:rsid w:val="00BE1BE1"/>
    <w:rsid w:val="00BE3135"/>
    <w:rsid w:val="00BE40CF"/>
    <w:rsid w:val="00BE4A0B"/>
    <w:rsid w:val="00BE6EB4"/>
    <w:rsid w:val="00BF0368"/>
    <w:rsid w:val="00BF1116"/>
    <w:rsid w:val="00BF1E29"/>
    <w:rsid w:val="00BF52A0"/>
    <w:rsid w:val="00C05A9B"/>
    <w:rsid w:val="00C06766"/>
    <w:rsid w:val="00C06E6D"/>
    <w:rsid w:val="00C07460"/>
    <w:rsid w:val="00C07719"/>
    <w:rsid w:val="00C135BB"/>
    <w:rsid w:val="00C13873"/>
    <w:rsid w:val="00C16306"/>
    <w:rsid w:val="00C22A00"/>
    <w:rsid w:val="00C24769"/>
    <w:rsid w:val="00C279B1"/>
    <w:rsid w:val="00C306DB"/>
    <w:rsid w:val="00C3076E"/>
    <w:rsid w:val="00C33D36"/>
    <w:rsid w:val="00C35C96"/>
    <w:rsid w:val="00C35D5D"/>
    <w:rsid w:val="00C364D6"/>
    <w:rsid w:val="00C41AF1"/>
    <w:rsid w:val="00C42808"/>
    <w:rsid w:val="00C4291A"/>
    <w:rsid w:val="00C434B0"/>
    <w:rsid w:val="00C46720"/>
    <w:rsid w:val="00C515BF"/>
    <w:rsid w:val="00C52A1F"/>
    <w:rsid w:val="00C56523"/>
    <w:rsid w:val="00C567A3"/>
    <w:rsid w:val="00C57211"/>
    <w:rsid w:val="00C61290"/>
    <w:rsid w:val="00C63755"/>
    <w:rsid w:val="00C64353"/>
    <w:rsid w:val="00C703EA"/>
    <w:rsid w:val="00C74384"/>
    <w:rsid w:val="00C7560F"/>
    <w:rsid w:val="00C75A96"/>
    <w:rsid w:val="00C76465"/>
    <w:rsid w:val="00C7755F"/>
    <w:rsid w:val="00C779B6"/>
    <w:rsid w:val="00C81BF7"/>
    <w:rsid w:val="00C82144"/>
    <w:rsid w:val="00C82757"/>
    <w:rsid w:val="00C82BEE"/>
    <w:rsid w:val="00C83FDD"/>
    <w:rsid w:val="00C85C36"/>
    <w:rsid w:val="00C85D8A"/>
    <w:rsid w:val="00C863D4"/>
    <w:rsid w:val="00C869AC"/>
    <w:rsid w:val="00C924C6"/>
    <w:rsid w:val="00C9325E"/>
    <w:rsid w:val="00C964C8"/>
    <w:rsid w:val="00CA0608"/>
    <w:rsid w:val="00CA0A54"/>
    <w:rsid w:val="00CA19BC"/>
    <w:rsid w:val="00CA2476"/>
    <w:rsid w:val="00CA6ADC"/>
    <w:rsid w:val="00CB09CA"/>
    <w:rsid w:val="00CB0C69"/>
    <w:rsid w:val="00CB1D6E"/>
    <w:rsid w:val="00CB3256"/>
    <w:rsid w:val="00CB4363"/>
    <w:rsid w:val="00CC2894"/>
    <w:rsid w:val="00CC2F3C"/>
    <w:rsid w:val="00CC3D16"/>
    <w:rsid w:val="00CC4038"/>
    <w:rsid w:val="00CC5805"/>
    <w:rsid w:val="00CD0F4A"/>
    <w:rsid w:val="00CE0139"/>
    <w:rsid w:val="00CE01D8"/>
    <w:rsid w:val="00CE214B"/>
    <w:rsid w:val="00CE5FD3"/>
    <w:rsid w:val="00CE636B"/>
    <w:rsid w:val="00CE76B2"/>
    <w:rsid w:val="00CE7971"/>
    <w:rsid w:val="00CF060E"/>
    <w:rsid w:val="00CF076F"/>
    <w:rsid w:val="00CF15F8"/>
    <w:rsid w:val="00CF2C23"/>
    <w:rsid w:val="00CF564F"/>
    <w:rsid w:val="00CF7483"/>
    <w:rsid w:val="00D06B98"/>
    <w:rsid w:val="00D06DA8"/>
    <w:rsid w:val="00D157D1"/>
    <w:rsid w:val="00D1793C"/>
    <w:rsid w:val="00D2293B"/>
    <w:rsid w:val="00D2442B"/>
    <w:rsid w:val="00D27621"/>
    <w:rsid w:val="00D309F8"/>
    <w:rsid w:val="00D30E34"/>
    <w:rsid w:val="00D315FA"/>
    <w:rsid w:val="00D318F4"/>
    <w:rsid w:val="00D31DBB"/>
    <w:rsid w:val="00D32FC3"/>
    <w:rsid w:val="00D346C1"/>
    <w:rsid w:val="00D36154"/>
    <w:rsid w:val="00D366B3"/>
    <w:rsid w:val="00D40ECB"/>
    <w:rsid w:val="00D4439A"/>
    <w:rsid w:val="00D4476B"/>
    <w:rsid w:val="00D46B4C"/>
    <w:rsid w:val="00D46B74"/>
    <w:rsid w:val="00D47B86"/>
    <w:rsid w:val="00D52159"/>
    <w:rsid w:val="00D53F80"/>
    <w:rsid w:val="00D548A9"/>
    <w:rsid w:val="00D55757"/>
    <w:rsid w:val="00D55F96"/>
    <w:rsid w:val="00D57143"/>
    <w:rsid w:val="00D57B8A"/>
    <w:rsid w:val="00D6136C"/>
    <w:rsid w:val="00D613E0"/>
    <w:rsid w:val="00D63781"/>
    <w:rsid w:val="00D63970"/>
    <w:rsid w:val="00D672A9"/>
    <w:rsid w:val="00D67539"/>
    <w:rsid w:val="00D7076D"/>
    <w:rsid w:val="00D74245"/>
    <w:rsid w:val="00D746B3"/>
    <w:rsid w:val="00D746FC"/>
    <w:rsid w:val="00D751EC"/>
    <w:rsid w:val="00D76590"/>
    <w:rsid w:val="00D77EF0"/>
    <w:rsid w:val="00D80C7C"/>
    <w:rsid w:val="00D81063"/>
    <w:rsid w:val="00D824FC"/>
    <w:rsid w:val="00D84C6B"/>
    <w:rsid w:val="00D860F8"/>
    <w:rsid w:val="00D86429"/>
    <w:rsid w:val="00D8759A"/>
    <w:rsid w:val="00D87648"/>
    <w:rsid w:val="00D900DA"/>
    <w:rsid w:val="00D9080F"/>
    <w:rsid w:val="00D908C3"/>
    <w:rsid w:val="00D9327A"/>
    <w:rsid w:val="00D93A23"/>
    <w:rsid w:val="00D93EB8"/>
    <w:rsid w:val="00D970D5"/>
    <w:rsid w:val="00D97195"/>
    <w:rsid w:val="00D971B4"/>
    <w:rsid w:val="00D97983"/>
    <w:rsid w:val="00DA08A9"/>
    <w:rsid w:val="00DA0B8E"/>
    <w:rsid w:val="00DA4FA5"/>
    <w:rsid w:val="00DA7C22"/>
    <w:rsid w:val="00DB337C"/>
    <w:rsid w:val="00DB365D"/>
    <w:rsid w:val="00DB6188"/>
    <w:rsid w:val="00DB6874"/>
    <w:rsid w:val="00DB72F2"/>
    <w:rsid w:val="00DB7F26"/>
    <w:rsid w:val="00DC2109"/>
    <w:rsid w:val="00DC2CC1"/>
    <w:rsid w:val="00DC7D38"/>
    <w:rsid w:val="00DD06C1"/>
    <w:rsid w:val="00DD075B"/>
    <w:rsid w:val="00DD077F"/>
    <w:rsid w:val="00DD2032"/>
    <w:rsid w:val="00DD56FE"/>
    <w:rsid w:val="00DD667B"/>
    <w:rsid w:val="00DD6CC2"/>
    <w:rsid w:val="00DE0514"/>
    <w:rsid w:val="00DE09C7"/>
    <w:rsid w:val="00DE332A"/>
    <w:rsid w:val="00DE3C7F"/>
    <w:rsid w:val="00DF3395"/>
    <w:rsid w:val="00DF3D10"/>
    <w:rsid w:val="00DF44D1"/>
    <w:rsid w:val="00DF74F0"/>
    <w:rsid w:val="00E007E5"/>
    <w:rsid w:val="00E00E61"/>
    <w:rsid w:val="00E02286"/>
    <w:rsid w:val="00E0315F"/>
    <w:rsid w:val="00E03A96"/>
    <w:rsid w:val="00E1311D"/>
    <w:rsid w:val="00E13F48"/>
    <w:rsid w:val="00E1422B"/>
    <w:rsid w:val="00E17C39"/>
    <w:rsid w:val="00E22462"/>
    <w:rsid w:val="00E22643"/>
    <w:rsid w:val="00E23138"/>
    <w:rsid w:val="00E24001"/>
    <w:rsid w:val="00E245FD"/>
    <w:rsid w:val="00E250B9"/>
    <w:rsid w:val="00E25D51"/>
    <w:rsid w:val="00E26850"/>
    <w:rsid w:val="00E27409"/>
    <w:rsid w:val="00E2757E"/>
    <w:rsid w:val="00E30833"/>
    <w:rsid w:val="00E30C9E"/>
    <w:rsid w:val="00E31164"/>
    <w:rsid w:val="00E32F8F"/>
    <w:rsid w:val="00E35296"/>
    <w:rsid w:val="00E37026"/>
    <w:rsid w:val="00E41CA1"/>
    <w:rsid w:val="00E41EB6"/>
    <w:rsid w:val="00E42853"/>
    <w:rsid w:val="00E43BF9"/>
    <w:rsid w:val="00E46021"/>
    <w:rsid w:val="00E46181"/>
    <w:rsid w:val="00E471AA"/>
    <w:rsid w:val="00E50120"/>
    <w:rsid w:val="00E5134E"/>
    <w:rsid w:val="00E558F4"/>
    <w:rsid w:val="00E61BE9"/>
    <w:rsid w:val="00E62873"/>
    <w:rsid w:val="00E634E2"/>
    <w:rsid w:val="00E63E43"/>
    <w:rsid w:val="00E656D5"/>
    <w:rsid w:val="00E65E82"/>
    <w:rsid w:val="00E661C3"/>
    <w:rsid w:val="00E708A1"/>
    <w:rsid w:val="00E71BA9"/>
    <w:rsid w:val="00E71CE8"/>
    <w:rsid w:val="00E741AD"/>
    <w:rsid w:val="00E767ED"/>
    <w:rsid w:val="00E771A2"/>
    <w:rsid w:val="00E80829"/>
    <w:rsid w:val="00E80BAB"/>
    <w:rsid w:val="00E80D85"/>
    <w:rsid w:val="00E816F4"/>
    <w:rsid w:val="00E8233B"/>
    <w:rsid w:val="00E8501E"/>
    <w:rsid w:val="00E86A5F"/>
    <w:rsid w:val="00E873C2"/>
    <w:rsid w:val="00E9010C"/>
    <w:rsid w:val="00E91B7F"/>
    <w:rsid w:val="00E94AD2"/>
    <w:rsid w:val="00E95C8F"/>
    <w:rsid w:val="00E965F7"/>
    <w:rsid w:val="00EA03C9"/>
    <w:rsid w:val="00EA1878"/>
    <w:rsid w:val="00EA1A64"/>
    <w:rsid w:val="00EA1E74"/>
    <w:rsid w:val="00EA3766"/>
    <w:rsid w:val="00EA3C4D"/>
    <w:rsid w:val="00EA432D"/>
    <w:rsid w:val="00EA7745"/>
    <w:rsid w:val="00EB06BF"/>
    <w:rsid w:val="00EB21BF"/>
    <w:rsid w:val="00EB25B2"/>
    <w:rsid w:val="00EB2665"/>
    <w:rsid w:val="00EB4B0B"/>
    <w:rsid w:val="00EB79FB"/>
    <w:rsid w:val="00EC1554"/>
    <w:rsid w:val="00EC2025"/>
    <w:rsid w:val="00EC2E43"/>
    <w:rsid w:val="00EC3566"/>
    <w:rsid w:val="00EC3CC3"/>
    <w:rsid w:val="00EC5B08"/>
    <w:rsid w:val="00EC623C"/>
    <w:rsid w:val="00EC7B7A"/>
    <w:rsid w:val="00EC7B9C"/>
    <w:rsid w:val="00ED123A"/>
    <w:rsid w:val="00ED235E"/>
    <w:rsid w:val="00ED2A40"/>
    <w:rsid w:val="00ED3294"/>
    <w:rsid w:val="00ED3FC1"/>
    <w:rsid w:val="00ED56EF"/>
    <w:rsid w:val="00ED6A00"/>
    <w:rsid w:val="00EE115B"/>
    <w:rsid w:val="00EE1C5A"/>
    <w:rsid w:val="00EE2607"/>
    <w:rsid w:val="00EE3A35"/>
    <w:rsid w:val="00EE3E27"/>
    <w:rsid w:val="00EE413D"/>
    <w:rsid w:val="00EE41A5"/>
    <w:rsid w:val="00EE5778"/>
    <w:rsid w:val="00EE6CC3"/>
    <w:rsid w:val="00EE78E1"/>
    <w:rsid w:val="00EF09A3"/>
    <w:rsid w:val="00EF117A"/>
    <w:rsid w:val="00EF11F9"/>
    <w:rsid w:val="00F00C18"/>
    <w:rsid w:val="00F01121"/>
    <w:rsid w:val="00F012AE"/>
    <w:rsid w:val="00F03A19"/>
    <w:rsid w:val="00F04705"/>
    <w:rsid w:val="00F04DC6"/>
    <w:rsid w:val="00F079BE"/>
    <w:rsid w:val="00F07D0D"/>
    <w:rsid w:val="00F104D7"/>
    <w:rsid w:val="00F13B0F"/>
    <w:rsid w:val="00F142DD"/>
    <w:rsid w:val="00F157F5"/>
    <w:rsid w:val="00F21051"/>
    <w:rsid w:val="00F211C6"/>
    <w:rsid w:val="00F25922"/>
    <w:rsid w:val="00F2686A"/>
    <w:rsid w:val="00F277B2"/>
    <w:rsid w:val="00F35BA2"/>
    <w:rsid w:val="00F37D40"/>
    <w:rsid w:val="00F37E69"/>
    <w:rsid w:val="00F4086F"/>
    <w:rsid w:val="00F408D6"/>
    <w:rsid w:val="00F411A8"/>
    <w:rsid w:val="00F42E08"/>
    <w:rsid w:val="00F44489"/>
    <w:rsid w:val="00F45378"/>
    <w:rsid w:val="00F50C7B"/>
    <w:rsid w:val="00F523E5"/>
    <w:rsid w:val="00F53385"/>
    <w:rsid w:val="00F54182"/>
    <w:rsid w:val="00F55095"/>
    <w:rsid w:val="00F55939"/>
    <w:rsid w:val="00F56E9D"/>
    <w:rsid w:val="00F601D0"/>
    <w:rsid w:val="00F61900"/>
    <w:rsid w:val="00F61BCC"/>
    <w:rsid w:val="00F61CA4"/>
    <w:rsid w:val="00F6327F"/>
    <w:rsid w:val="00F65E1A"/>
    <w:rsid w:val="00F702EB"/>
    <w:rsid w:val="00F71040"/>
    <w:rsid w:val="00F71C18"/>
    <w:rsid w:val="00F72127"/>
    <w:rsid w:val="00F74217"/>
    <w:rsid w:val="00F74C73"/>
    <w:rsid w:val="00F74D3C"/>
    <w:rsid w:val="00F74E1B"/>
    <w:rsid w:val="00F75283"/>
    <w:rsid w:val="00F753CF"/>
    <w:rsid w:val="00F76F11"/>
    <w:rsid w:val="00F8064C"/>
    <w:rsid w:val="00F82E0A"/>
    <w:rsid w:val="00F859D5"/>
    <w:rsid w:val="00F90260"/>
    <w:rsid w:val="00F91188"/>
    <w:rsid w:val="00F9186A"/>
    <w:rsid w:val="00F9199A"/>
    <w:rsid w:val="00F96274"/>
    <w:rsid w:val="00FA23A3"/>
    <w:rsid w:val="00FA4CBD"/>
    <w:rsid w:val="00FA5694"/>
    <w:rsid w:val="00FB012D"/>
    <w:rsid w:val="00FB1075"/>
    <w:rsid w:val="00FB326A"/>
    <w:rsid w:val="00FB6CB9"/>
    <w:rsid w:val="00FC03D4"/>
    <w:rsid w:val="00FC08C3"/>
    <w:rsid w:val="00FC1C9C"/>
    <w:rsid w:val="00FC54FE"/>
    <w:rsid w:val="00FC5ACB"/>
    <w:rsid w:val="00FD1922"/>
    <w:rsid w:val="00FD1A1E"/>
    <w:rsid w:val="00FD77DA"/>
    <w:rsid w:val="00FE754C"/>
    <w:rsid w:val="00FE75EF"/>
    <w:rsid w:val="00FE7995"/>
    <w:rsid w:val="00FF6A3B"/>
    <w:rsid w:val="043A3F7F"/>
    <w:rsid w:val="056A6870"/>
    <w:rsid w:val="082038E6"/>
    <w:rsid w:val="0B6013F2"/>
    <w:rsid w:val="0E5C209B"/>
    <w:rsid w:val="0E937FF7"/>
    <w:rsid w:val="10196EF9"/>
    <w:rsid w:val="11E164E5"/>
    <w:rsid w:val="13A85E50"/>
    <w:rsid w:val="13D27073"/>
    <w:rsid w:val="164A2BA1"/>
    <w:rsid w:val="18D57CCC"/>
    <w:rsid w:val="19E47E89"/>
    <w:rsid w:val="1B0A43E8"/>
    <w:rsid w:val="1C2C6E7C"/>
    <w:rsid w:val="22750198"/>
    <w:rsid w:val="257B570D"/>
    <w:rsid w:val="287A4275"/>
    <w:rsid w:val="2C6B57F0"/>
    <w:rsid w:val="30110AE9"/>
    <w:rsid w:val="34DC77C8"/>
    <w:rsid w:val="36A46DB4"/>
    <w:rsid w:val="3730221B"/>
    <w:rsid w:val="3ACE72C7"/>
    <w:rsid w:val="3CB2519A"/>
    <w:rsid w:val="3E5B60DB"/>
    <w:rsid w:val="481C0CDA"/>
    <w:rsid w:val="492B471A"/>
    <w:rsid w:val="508C2CB2"/>
    <w:rsid w:val="525E4232"/>
    <w:rsid w:val="54D413B8"/>
    <w:rsid w:val="5A9802AF"/>
    <w:rsid w:val="5F6706D0"/>
    <w:rsid w:val="637F0FCD"/>
    <w:rsid w:val="66007D67"/>
    <w:rsid w:val="677C4CD5"/>
    <w:rsid w:val="68D77510"/>
    <w:rsid w:val="760630B0"/>
    <w:rsid w:val="7D260BD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uiPriority w:val="99"/>
    <w:tblPr>
      <w:tblStyle w:val="7"/>
      <w:tblLayout w:type="fixed"/>
      <w:tblCellMar>
        <w:top w:w="0" w:type="dxa"/>
        <w:left w:w="108" w:type="dxa"/>
        <w:bottom w:w="0" w:type="dxa"/>
        <w:right w:w="108" w:type="dxa"/>
      </w:tblCellMar>
    </w:tblPr>
    <w:tcPr>
      <w:textDirection w:val="lrTb"/>
    </w:tcPr>
  </w:style>
  <w:style w:type="paragraph" w:styleId="2">
    <w:name w:val="Balloon Text"/>
    <w:basedOn w:val="1"/>
    <w:semiHidden/>
    <w:uiPriority w:val="0"/>
    <w:rPr>
      <w:sz w:val="18"/>
      <w:szCs w:val="18"/>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rPr/>
  </w:style>
  <w:style w:type="paragraph" w:customStyle="1" w:styleId="8">
    <w:name w:val="Char"/>
    <w:basedOn w:val="1"/>
    <w:uiPriority w:val="0"/>
    <w:rPr>
      <w:rFonts w:ascii="Tahoma" w:hAnsi="Tahoma"/>
      <w:sz w:val="24"/>
      <w:szCs w:val="20"/>
    </w:rPr>
  </w:style>
  <w:style w:type="paragraph" w:customStyle="1" w:styleId="9">
    <w:name w:val="Char Char Char Char1 Char Char Char Char Char Char Char Char Char Char Char Char Char Char Char Char Char"/>
    <w:basedOn w:val="1"/>
    <w:uiPriority w:val="0"/>
    <w:pPr>
      <w:widowControl/>
      <w:spacing w:after="160" w:line="240" w:lineRule="exact"/>
      <w:ind w:firstLine="980" w:firstLineChars="350"/>
      <w:jc w:val="left"/>
    </w:pPr>
    <w:rPr>
      <w:rFonts w:ascii="Verdana" w:hAnsi="Verdana" w:eastAsia="仿宋_GB2312"/>
      <w:kern w:val="0"/>
      <w:sz w:val="28"/>
      <w:szCs w:val="28"/>
      <w:lang w:eastAsia="en-US"/>
    </w:rPr>
  </w:style>
  <w:style w:type="paragraph" w:customStyle="1" w:styleId="10">
    <w:name w:val="Char Char Char Char Char Char Char Char Char Char Char Char Char Char Char Char"/>
    <w:basedOn w:val="1"/>
    <w:uiPriority w:val="0"/>
    <w:pPr>
      <w:tabs>
        <w:tab w:val="left" w:pos="360"/>
      </w:tabs>
    </w:pPr>
    <w:rPr>
      <w:sz w:val="24"/>
    </w:rPr>
  </w:style>
  <w:style w:type="paragraph" w:customStyle="1" w:styleId="1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0" Type="http://schemas.openxmlformats.org/officeDocument/2006/relationships/numbering" Target="numbering.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16232</Words>
  <Characters>13710</Characters>
  <Lines>114</Lines>
  <Paragraphs>59</Paragraphs>
  <TotalTime>0</TotalTime>
  <ScaleCrop>false</ScaleCrop>
  <LinksUpToDate>false</LinksUpToDate>
  <CharactersWithSpaces>0</CharactersWithSpaces>
  <Application>WPS Office 专业版_9.1.0.5432_F1E327BC-269C-435d-A152-05C5408002CA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2021-09-26T01:30:00Z</dcterms:created>
  <dc:creator>Administrator</dc:creator>
  <cp:lastModifiedBy>Administrator</cp:lastModifiedBy>
  <cp:lastPrinted>2021-09-09T01:42:00Z</cp:lastPrinted>
  <dcterms:modified xsi:type="dcterms:W3CDTF">2022-09-07T01:06:22Z</dcterms:modified>
  <dc:title>内部资料，请勿外传（公开时请删除）</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2052-9.1.0.5432</vt:lpwstr>
  </property>
</Properties>
</file>