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55AF7A">
      <w:pPr>
        <w:pStyle w:val="7"/>
        <w:widowControl/>
        <w:spacing w:beforeAutospacing="0" w:afterAutospacing="0" w:line="760" w:lineRule="exact"/>
        <w:ind w:firstLine="420"/>
        <w:jc w:val="center"/>
        <w:rPr>
          <w:rFonts w:ascii="方正小标宋_GBK" w:hAnsi="方正小标宋_GBK" w:eastAsia="方正小标宋_GBK" w:cs="方正小标宋_GBK"/>
          <w:color w:val="333333"/>
          <w:sz w:val="44"/>
          <w:szCs w:val="44"/>
        </w:rPr>
      </w:pPr>
      <w:r>
        <w:rPr>
          <w:rFonts w:hint="eastAsia" w:ascii="方正小标宋_GBK" w:hAnsi="方正小标宋_GBK" w:eastAsia="方正小标宋_GBK" w:cs="方正小标宋_GBK"/>
          <w:color w:val="333333"/>
          <w:sz w:val="44"/>
          <w:szCs w:val="44"/>
          <w:u w:val="single"/>
        </w:rPr>
        <w:t>青岛市博物馆</w:t>
      </w:r>
      <w:r>
        <w:rPr>
          <w:rFonts w:hint="eastAsia" w:ascii="方正小标宋_GBK" w:hAnsi="方正小标宋_GBK" w:eastAsia="方正小标宋_GBK" w:cs="方正小标宋_GBK"/>
          <w:color w:val="333333"/>
          <w:sz w:val="44"/>
          <w:szCs w:val="44"/>
        </w:rPr>
        <w:t xml:space="preserve"> 2026年9月</w:t>
      </w:r>
    </w:p>
    <w:p w14:paraId="1D7AF39C">
      <w:pPr>
        <w:pStyle w:val="7"/>
        <w:widowControl/>
        <w:spacing w:beforeAutospacing="0" w:afterAutospacing="0" w:line="560" w:lineRule="exact"/>
        <w:ind w:firstLine="420"/>
        <w:jc w:val="center"/>
        <w:rPr>
          <w:rFonts w:ascii="方正小标宋_GBK" w:hAnsi="方正小标宋_GBK" w:eastAsia="方正小标宋_GBK" w:cs="方正小标宋_GBK"/>
          <w:color w:val="333333"/>
          <w:sz w:val="44"/>
          <w:szCs w:val="44"/>
        </w:rPr>
      </w:pPr>
      <w:r>
        <w:rPr>
          <w:rFonts w:hint="eastAsia" w:ascii="方正小标宋_GBK" w:hAnsi="方正小标宋_GBK" w:eastAsia="方正小标宋_GBK" w:cs="方正小标宋_GBK"/>
          <w:color w:val="333333"/>
          <w:sz w:val="44"/>
          <w:szCs w:val="44"/>
        </w:rPr>
        <w:t>政府采购意向</w:t>
      </w:r>
    </w:p>
    <w:p w14:paraId="451C7754">
      <w:pPr>
        <w:pStyle w:val="7"/>
        <w:widowControl/>
        <w:spacing w:beforeAutospacing="0" w:afterAutospacing="0" w:line="560" w:lineRule="exact"/>
        <w:ind w:firstLine="420"/>
        <w:jc w:val="center"/>
        <w:rPr>
          <w:rFonts w:ascii="方正小标宋_GBK" w:hAnsi="方正小标宋_GBK" w:eastAsia="方正小标宋_GBK" w:cs="方正小标宋_GBK"/>
          <w:color w:val="333333"/>
          <w:sz w:val="44"/>
          <w:szCs w:val="44"/>
        </w:rPr>
      </w:pPr>
    </w:p>
    <w:p w14:paraId="36E10403">
      <w:pPr>
        <w:pStyle w:val="7"/>
        <w:widowControl/>
        <w:spacing w:beforeAutospacing="0" w:afterAutospacing="0" w:line="560" w:lineRule="exact"/>
        <w:ind w:firstLine="420"/>
        <w:rPr>
          <w:rFonts w:ascii="仿宋_GB2312" w:hAnsi="仿宋_GB2312" w:cs="仿宋_GB2312"/>
          <w:color w:val="333333"/>
          <w:sz w:val="32"/>
          <w:szCs w:val="32"/>
        </w:rPr>
      </w:pPr>
      <w:r>
        <w:rPr>
          <w:rFonts w:hint="eastAsia" w:ascii="仿宋_GB2312" w:hAnsi="仿宋_GB2312" w:cs="仿宋_GB2312"/>
          <w:color w:val="333333"/>
          <w:sz w:val="32"/>
          <w:szCs w:val="32"/>
        </w:rPr>
        <w:t>为便于供应商及时了解政府采购信息，根据《财政部关于开展政府采购意向公开工作的通知》（财库〔2020〕10号）等有关规定，现将</w:t>
      </w:r>
      <w:r>
        <w:rPr>
          <w:rFonts w:hint="eastAsia" w:ascii="仿宋_GB2312" w:hAnsi="仿宋_GB2312" w:cs="仿宋_GB2312"/>
          <w:color w:val="333333"/>
          <w:sz w:val="32"/>
          <w:szCs w:val="32"/>
          <w:u w:val="single"/>
        </w:rPr>
        <w:t>青岛市博物馆</w:t>
      </w:r>
      <w:r>
        <w:rPr>
          <w:rFonts w:hint="eastAsia" w:ascii="仿宋_GB2312" w:hAnsi="仿宋_GB2312" w:cs="仿宋_GB2312"/>
          <w:color w:val="333333"/>
          <w:sz w:val="32"/>
          <w:szCs w:val="32"/>
        </w:rPr>
        <w:t xml:space="preserve"> </w:t>
      </w:r>
      <w:r>
        <w:rPr>
          <w:rFonts w:hint="eastAsia" w:ascii="仿宋_GB2312" w:hAnsi="仿宋_GB2312" w:cs="仿宋_GB2312"/>
          <w:color w:val="333333"/>
          <w:sz w:val="32"/>
          <w:szCs w:val="32"/>
          <w:u w:val="single"/>
        </w:rPr>
        <w:t>2026</w:t>
      </w:r>
      <w:r>
        <w:rPr>
          <w:rFonts w:hint="eastAsia" w:ascii="仿宋_GB2312" w:hAnsi="仿宋_GB2312" w:cs="仿宋_GB2312"/>
          <w:color w:val="333333"/>
          <w:sz w:val="32"/>
          <w:szCs w:val="32"/>
        </w:rPr>
        <w:t>年</w:t>
      </w:r>
      <w:r>
        <w:rPr>
          <w:rFonts w:hint="eastAsia" w:ascii="仿宋_GB2312" w:hAnsi="仿宋_GB2312" w:cs="仿宋_GB2312"/>
          <w:color w:val="333333"/>
          <w:sz w:val="32"/>
          <w:szCs w:val="32"/>
          <w:u w:val="single"/>
        </w:rPr>
        <w:t>9</w:t>
      </w:r>
      <w:r>
        <w:rPr>
          <w:rFonts w:hint="eastAsia" w:ascii="仿宋_GB2312" w:hAnsi="仿宋_GB2312" w:cs="仿宋_GB2312"/>
          <w:color w:val="333333"/>
          <w:sz w:val="32"/>
          <w:szCs w:val="32"/>
        </w:rPr>
        <w:t>月采购意向公开如下：</w:t>
      </w:r>
    </w:p>
    <w:tbl>
      <w:tblPr>
        <w:tblStyle w:val="8"/>
        <w:tblW w:w="0" w:type="auto"/>
        <w:jc w:val="center"/>
        <w:tblLayout w:type="fixed"/>
        <w:tblCellMar>
          <w:top w:w="0" w:type="dxa"/>
          <w:left w:w="0" w:type="dxa"/>
          <w:bottom w:w="0" w:type="dxa"/>
          <w:right w:w="0" w:type="dxa"/>
        </w:tblCellMar>
      </w:tblPr>
      <w:tblGrid>
        <w:gridCol w:w="672"/>
        <w:gridCol w:w="1162"/>
        <w:gridCol w:w="2838"/>
        <w:gridCol w:w="1208"/>
        <w:gridCol w:w="1490"/>
        <w:gridCol w:w="1146"/>
      </w:tblGrid>
      <w:tr w14:paraId="7817C4BC">
        <w:tblPrEx>
          <w:tblCellMar>
            <w:top w:w="0" w:type="dxa"/>
            <w:left w:w="0" w:type="dxa"/>
            <w:bottom w:w="0" w:type="dxa"/>
            <w:right w:w="0" w:type="dxa"/>
          </w:tblCellMar>
        </w:tblPrEx>
        <w:trPr>
          <w:trHeight w:val="795" w:hRule="atLeast"/>
          <w:jc w:val="center"/>
        </w:trPr>
        <w:tc>
          <w:tcPr>
            <w:tcW w:w="67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14:paraId="62C1702C">
            <w:pPr>
              <w:pStyle w:val="7"/>
              <w:widowControl/>
              <w:spacing w:beforeAutospacing="0" w:afterAutospacing="0" w:line="420" w:lineRule="atLeast"/>
              <w:rPr>
                <w:rFonts w:ascii="仿宋_GB2312" w:hAnsi="仿宋_GB2312" w:cs="仿宋_GB2312"/>
                <w:color w:val="333333"/>
                <w:sz w:val="32"/>
                <w:szCs w:val="32"/>
              </w:rPr>
            </w:pPr>
            <w:r>
              <w:rPr>
                <w:rFonts w:hint="eastAsia" w:ascii="仿宋_GB2312" w:hAnsi="仿宋_GB2312" w:cs="仿宋_GB2312"/>
                <w:color w:val="333333"/>
                <w:sz w:val="32"/>
                <w:szCs w:val="32"/>
              </w:rPr>
              <w:t>序号</w:t>
            </w:r>
          </w:p>
        </w:tc>
        <w:tc>
          <w:tcPr>
            <w:tcW w:w="1162" w:type="dxa"/>
            <w:tcBorders>
              <w:top w:val="single" w:color="auto" w:sz="6" w:space="0"/>
              <w:left w:val="nil"/>
              <w:bottom w:val="single" w:color="auto" w:sz="6" w:space="0"/>
              <w:right w:val="single" w:color="auto" w:sz="6" w:space="0"/>
            </w:tcBorders>
            <w:tcMar>
              <w:left w:w="105" w:type="dxa"/>
              <w:right w:w="105" w:type="dxa"/>
            </w:tcMar>
            <w:vAlign w:val="center"/>
          </w:tcPr>
          <w:p w14:paraId="170499BD">
            <w:pPr>
              <w:pStyle w:val="7"/>
              <w:widowControl/>
              <w:spacing w:beforeAutospacing="0" w:afterAutospacing="0" w:line="420" w:lineRule="atLeast"/>
              <w:rPr>
                <w:rFonts w:ascii="仿宋_GB2312" w:hAnsi="仿宋_GB2312" w:cs="仿宋_GB2312"/>
                <w:color w:val="333333"/>
                <w:sz w:val="32"/>
                <w:szCs w:val="32"/>
              </w:rPr>
            </w:pPr>
            <w:r>
              <w:rPr>
                <w:rFonts w:hint="eastAsia" w:ascii="仿宋_GB2312" w:hAnsi="仿宋_GB2312" w:cs="仿宋_GB2312"/>
                <w:color w:val="333333"/>
                <w:sz w:val="32"/>
                <w:szCs w:val="32"/>
              </w:rPr>
              <w:t>采购项目名称</w:t>
            </w:r>
          </w:p>
        </w:tc>
        <w:tc>
          <w:tcPr>
            <w:tcW w:w="2838" w:type="dxa"/>
            <w:tcBorders>
              <w:top w:val="single" w:color="auto" w:sz="6" w:space="0"/>
              <w:left w:val="nil"/>
              <w:bottom w:val="single" w:color="auto" w:sz="6" w:space="0"/>
              <w:right w:val="single" w:color="auto" w:sz="6" w:space="0"/>
            </w:tcBorders>
            <w:tcMar>
              <w:left w:w="105" w:type="dxa"/>
              <w:right w:w="105" w:type="dxa"/>
            </w:tcMar>
            <w:vAlign w:val="center"/>
          </w:tcPr>
          <w:p w14:paraId="0B9C99A9">
            <w:pPr>
              <w:pStyle w:val="7"/>
              <w:widowControl/>
              <w:spacing w:beforeAutospacing="0" w:afterAutospacing="0" w:line="420" w:lineRule="atLeast"/>
              <w:rPr>
                <w:rFonts w:ascii="仿宋_GB2312" w:hAnsi="仿宋_GB2312" w:cs="仿宋_GB2312"/>
                <w:color w:val="333333"/>
                <w:sz w:val="32"/>
                <w:szCs w:val="32"/>
              </w:rPr>
            </w:pPr>
            <w:r>
              <w:rPr>
                <w:rFonts w:hint="eastAsia" w:ascii="仿宋_GB2312" w:hAnsi="仿宋_GB2312" w:cs="仿宋_GB2312"/>
                <w:color w:val="333333"/>
                <w:sz w:val="32"/>
                <w:szCs w:val="32"/>
              </w:rPr>
              <w:t>采购需求概况</w:t>
            </w:r>
          </w:p>
        </w:tc>
        <w:tc>
          <w:tcPr>
            <w:tcW w:w="1208" w:type="dxa"/>
            <w:tcBorders>
              <w:top w:val="single" w:color="auto" w:sz="6" w:space="0"/>
              <w:left w:val="nil"/>
              <w:bottom w:val="single" w:color="auto" w:sz="6" w:space="0"/>
              <w:right w:val="single" w:color="auto" w:sz="6" w:space="0"/>
            </w:tcBorders>
            <w:tcMar>
              <w:left w:w="105" w:type="dxa"/>
              <w:right w:w="105" w:type="dxa"/>
            </w:tcMar>
            <w:vAlign w:val="center"/>
          </w:tcPr>
          <w:p w14:paraId="1186CECB">
            <w:pPr>
              <w:pStyle w:val="7"/>
              <w:widowControl/>
              <w:spacing w:beforeAutospacing="0" w:afterAutospacing="0" w:line="420" w:lineRule="atLeast"/>
              <w:rPr>
                <w:rFonts w:ascii="仿宋_GB2312" w:hAnsi="仿宋_GB2312" w:cs="仿宋_GB2312"/>
                <w:color w:val="333333"/>
                <w:sz w:val="32"/>
                <w:szCs w:val="32"/>
              </w:rPr>
            </w:pPr>
            <w:r>
              <w:rPr>
                <w:rFonts w:hint="eastAsia" w:ascii="仿宋_GB2312" w:hAnsi="仿宋_GB2312" w:cs="仿宋_GB2312"/>
                <w:color w:val="333333"/>
                <w:sz w:val="32"/>
                <w:szCs w:val="32"/>
              </w:rPr>
              <w:t>预算</w:t>
            </w:r>
          </w:p>
          <w:p w14:paraId="60DF0DBC">
            <w:pPr>
              <w:pStyle w:val="7"/>
              <w:widowControl/>
              <w:spacing w:beforeAutospacing="0" w:afterAutospacing="0" w:line="420" w:lineRule="atLeast"/>
              <w:rPr>
                <w:rFonts w:ascii="仿宋_GB2312" w:hAnsi="仿宋_GB2312" w:cs="仿宋_GB2312"/>
                <w:color w:val="333333"/>
                <w:spacing w:val="-20"/>
                <w:sz w:val="32"/>
                <w:szCs w:val="32"/>
              </w:rPr>
            </w:pPr>
            <w:r>
              <w:rPr>
                <w:rFonts w:hint="eastAsia" w:ascii="仿宋_GB2312" w:hAnsi="仿宋_GB2312" w:cs="仿宋_GB2312"/>
                <w:color w:val="333333"/>
                <w:sz w:val="32"/>
                <w:szCs w:val="32"/>
              </w:rPr>
              <w:t>金额</w:t>
            </w:r>
            <w:r>
              <w:rPr>
                <w:rFonts w:hint="eastAsia" w:ascii="仿宋_GB2312" w:hAnsi="仿宋_GB2312" w:cs="仿宋_GB2312"/>
                <w:color w:val="333333"/>
                <w:spacing w:val="-20"/>
                <w:sz w:val="32"/>
                <w:szCs w:val="32"/>
              </w:rPr>
              <w:t>（万元）</w:t>
            </w:r>
          </w:p>
        </w:tc>
        <w:tc>
          <w:tcPr>
            <w:tcW w:w="1490" w:type="dxa"/>
            <w:tcBorders>
              <w:top w:val="single" w:color="auto" w:sz="6" w:space="0"/>
              <w:left w:val="nil"/>
              <w:bottom w:val="single" w:color="auto" w:sz="6" w:space="0"/>
              <w:right w:val="single" w:color="auto" w:sz="6" w:space="0"/>
            </w:tcBorders>
            <w:tcMar>
              <w:left w:w="105" w:type="dxa"/>
              <w:right w:w="105" w:type="dxa"/>
            </w:tcMar>
            <w:vAlign w:val="center"/>
          </w:tcPr>
          <w:p w14:paraId="0F68C2C3">
            <w:pPr>
              <w:pStyle w:val="7"/>
              <w:widowControl/>
              <w:spacing w:beforeAutospacing="0" w:afterAutospacing="0" w:line="420" w:lineRule="atLeast"/>
              <w:rPr>
                <w:rFonts w:ascii="仿宋_GB2312" w:hAnsi="仿宋_GB2312" w:cs="仿宋_GB2312"/>
                <w:color w:val="333333"/>
                <w:sz w:val="32"/>
                <w:szCs w:val="32"/>
              </w:rPr>
            </w:pPr>
            <w:r>
              <w:rPr>
                <w:rFonts w:hint="eastAsia" w:ascii="仿宋_GB2312" w:hAnsi="仿宋_GB2312" w:cs="仿宋_GB2312"/>
                <w:color w:val="333333"/>
                <w:sz w:val="32"/>
                <w:szCs w:val="32"/>
              </w:rPr>
              <w:t>预计采购时间（填写到月）</w:t>
            </w:r>
          </w:p>
        </w:tc>
        <w:tc>
          <w:tcPr>
            <w:tcW w:w="1146" w:type="dxa"/>
            <w:tcBorders>
              <w:top w:val="single" w:color="auto" w:sz="6" w:space="0"/>
              <w:left w:val="nil"/>
              <w:bottom w:val="single" w:color="auto" w:sz="6" w:space="0"/>
              <w:right w:val="single" w:color="auto" w:sz="6" w:space="0"/>
            </w:tcBorders>
            <w:tcMar>
              <w:left w:w="105" w:type="dxa"/>
              <w:right w:w="105" w:type="dxa"/>
            </w:tcMar>
            <w:vAlign w:val="center"/>
          </w:tcPr>
          <w:p w14:paraId="249F02CC">
            <w:pPr>
              <w:pStyle w:val="7"/>
              <w:widowControl/>
              <w:spacing w:beforeAutospacing="0" w:afterAutospacing="0" w:line="420" w:lineRule="atLeast"/>
              <w:rPr>
                <w:rFonts w:ascii="仿宋_GB2312" w:hAnsi="仿宋_GB2312" w:cs="仿宋_GB2312"/>
                <w:color w:val="333333"/>
                <w:sz w:val="32"/>
                <w:szCs w:val="32"/>
              </w:rPr>
            </w:pPr>
            <w:r>
              <w:rPr>
                <w:rFonts w:hint="eastAsia" w:ascii="仿宋_GB2312" w:hAnsi="仿宋_GB2312" w:cs="仿宋_GB2312"/>
                <w:color w:val="333333"/>
                <w:sz w:val="32"/>
                <w:szCs w:val="32"/>
              </w:rPr>
              <w:t>备注</w:t>
            </w:r>
          </w:p>
        </w:tc>
      </w:tr>
      <w:tr w14:paraId="13753E20">
        <w:tblPrEx>
          <w:tblCellMar>
            <w:top w:w="0" w:type="dxa"/>
            <w:left w:w="0" w:type="dxa"/>
            <w:bottom w:w="0" w:type="dxa"/>
            <w:right w:w="0" w:type="dxa"/>
          </w:tblCellMar>
        </w:tblPrEx>
        <w:trPr>
          <w:trHeight w:val="1740" w:hRule="atLeast"/>
          <w:jc w:val="center"/>
        </w:trPr>
        <w:tc>
          <w:tcPr>
            <w:tcW w:w="672" w:type="dxa"/>
            <w:tcBorders>
              <w:top w:val="nil"/>
              <w:left w:val="single" w:color="auto" w:sz="6" w:space="0"/>
              <w:bottom w:val="single" w:color="auto" w:sz="6" w:space="0"/>
              <w:right w:val="single" w:color="auto" w:sz="6" w:space="0"/>
            </w:tcBorders>
            <w:tcMar>
              <w:left w:w="105" w:type="dxa"/>
              <w:right w:w="105" w:type="dxa"/>
            </w:tcMar>
            <w:vAlign w:val="center"/>
          </w:tcPr>
          <w:p w14:paraId="210C80C0">
            <w:pPr>
              <w:widowControl/>
              <w:spacing w:line="300" w:lineRule="exact"/>
              <w:jc w:val="center"/>
              <w:rPr>
                <w:rFonts w:ascii="仿宋_GB2312" w:hAnsi="仿宋_GB2312" w:cs="仿宋_GB2312"/>
                <w:sz w:val="21"/>
                <w:szCs w:val="21"/>
              </w:rPr>
            </w:pPr>
            <w:r>
              <w:rPr>
                <w:rFonts w:hint="eastAsia" w:ascii="仿宋_GB2312" w:hAnsi="仿宋_GB2312" w:cs="仿宋_GB2312"/>
                <w:sz w:val="21"/>
                <w:szCs w:val="21"/>
              </w:rPr>
              <w:t>1</w:t>
            </w:r>
          </w:p>
        </w:tc>
        <w:tc>
          <w:tcPr>
            <w:tcW w:w="1162" w:type="dxa"/>
            <w:tcBorders>
              <w:top w:val="nil"/>
              <w:left w:val="nil"/>
              <w:bottom w:val="single" w:color="auto" w:sz="6" w:space="0"/>
              <w:right w:val="single" w:color="auto" w:sz="6" w:space="0"/>
            </w:tcBorders>
            <w:tcMar>
              <w:left w:w="105" w:type="dxa"/>
              <w:right w:w="105" w:type="dxa"/>
            </w:tcMar>
            <w:vAlign w:val="center"/>
          </w:tcPr>
          <w:p w14:paraId="0B053118">
            <w:pPr>
              <w:pStyle w:val="7"/>
              <w:widowControl/>
              <w:spacing w:beforeAutospacing="0" w:afterAutospacing="0" w:line="300" w:lineRule="exact"/>
              <w:rPr>
                <w:rFonts w:ascii="仿宋_GB2312" w:hAnsi="仿宋_GB2312" w:cs="仿宋_GB2312"/>
                <w:color w:val="333333"/>
                <w:sz w:val="21"/>
                <w:szCs w:val="21"/>
              </w:rPr>
            </w:pPr>
            <w:r>
              <w:rPr>
                <w:rFonts w:hint="eastAsia" w:ascii="仿宋_GB2312" w:hAnsi="仿宋_GB2312" w:cs="仿宋_GB2312"/>
                <w:color w:val="333333"/>
                <w:sz w:val="21"/>
                <w:szCs w:val="21"/>
              </w:rPr>
              <w:t>青岛市博物馆安保服务项目</w:t>
            </w:r>
          </w:p>
        </w:tc>
        <w:tc>
          <w:tcPr>
            <w:tcW w:w="2838" w:type="dxa"/>
            <w:tcBorders>
              <w:top w:val="nil"/>
              <w:left w:val="nil"/>
              <w:bottom w:val="single" w:color="auto" w:sz="6" w:space="0"/>
              <w:right w:val="single" w:color="auto" w:sz="6" w:space="0"/>
            </w:tcBorders>
            <w:tcMar>
              <w:left w:w="105" w:type="dxa"/>
              <w:right w:w="105" w:type="dxa"/>
            </w:tcMar>
            <w:vAlign w:val="center"/>
          </w:tcPr>
          <w:p w14:paraId="09E7DAB6">
            <w:pPr>
              <w:pStyle w:val="7"/>
              <w:widowControl/>
              <w:spacing w:beforeAutospacing="0" w:afterAutospacing="0" w:line="300" w:lineRule="exact"/>
              <w:rPr>
                <w:rFonts w:ascii="仿宋_GB2312" w:hAnsi="仿宋_GB2312" w:cs="仿宋_GB2312"/>
                <w:color w:val="333333"/>
                <w:sz w:val="21"/>
                <w:szCs w:val="21"/>
              </w:rPr>
            </w:pPr>
            <w:r>
              <w:rPr>
                <w:rFonts w:hint="eastAsia" w:ascii="仿宋_GB2312" w:hAnsi="仿宋_GB2312" w:cs="仿宋_GB2312"/>
                <w:color w:val="333333"/>
                <w:sz w:val="21"/>
                <w:szCs w:val="21"/>
              </w:rPr>
              <w:t>青岛市博物馆安保服务项目，</w:t>
            </w:r>
          </w:p>
          <w:p w14:paraId="0F89CD92">
            <w:pPr>
              <w:pStyle w:val="7"/>
              <w:widowControl/>
              <w:spacing w:beforeAutospacing="0" w:afterAutospacing="0" w:line="300" w:lineRule="exact"/>
              <w:ind w:firstLine="206" w:firstLineChars="100"/>
              <w:rPr>
                <w:rFonts w:ascii="仿宋_GB2312" w:hAnsi="仿宋_GB2312" w:cs="仿宋_GB2312"/>
                <w:color w:val="333333"/>
                <w:sz w:val="21"/>
                <w:szCs w:val="21"/>
              </w:rPr>
            </w:pPr>
            <w:r>
              <w:rPr>
                <w:rFonts w:hint="eastAsia" w:ascii="仿宋_GB2312" w:hAnsi="仿宋_GB2312" w:cs="仿宋_GB2312"/>
                <w:color w:val="333333"/>
                <w:sz w:val="21"/>
                <w:szCs w:val="21"/>
              </w:rPr>
              <w:t>一</w:t>
            </w:r>
            <w:r>
              <w:rPr>
                <w:rFonts w:ascii="仿宋_GB2312" w:hAnsi="仿宋_GB2312" w:cs="仿宋_GB2312"/>
                <w:color w:val="333333"/>
                <w:sz w:val="21"/>
                <w:szCs w:val="21"/>
              </w:rPr>
              <w:t>、</w:t>
            </w:r>
            <w:r>
              <w:rPr>
                <w:rFonts w:hint="eastAsia" w:ascii="仿宋_GB2312" w:hAnsi="仿宋_GB2312" w:cs="仿宋_GB2312"/>
                <w:color w:val="333333"/>
                <w:sz w:val="21"/>
                <w:szCs w:val="21"/>
              </w:rPr>
              <w:t>采购标的需实现：安保</w:t>
            </w:r>
            <w:r>
              <w:rPr>
                <w:rFonts w:ascii="仿宋_GB2312" w:hAnsi="仿宋_GB2312" w:cs="仿宋_GB2312"/>
                <w:color w:val="333333"/>
                <w:sz w:val="21"/>
                <w:szCs w:val="21"/>
              </w:rPr>
              <w:t>服务。</w:t>
            </w:r>
          </w:p>
          <w:p w14:paraId="0B6A9821">
            <w:pPr>
              <w:pStyle w:val="7"/>
              <w:widowControl/>
              <w:spacing w:beforeAutospacing="0" w:afterAutospacing="0" w:line="300" w:lineRule="exact"/>
              <w:ind w:firstLine="206" w:firstLineChars="100"/>
              <w:rPr>
                <w:rFonts w:ascii="仿宋_GB2312" w:hAnsi="仿宋_GB2312" w:cs="仿宋_GB2312"/>
                <w:color w:val="333333"/>
                <w:sz w:val="21"/>
                <w:szCs w:val="21"/>
              </w:rPr>
            </w:pPr>
            <w:r>
              <w:rPr>
                <w:rFonts w:hint="eastAsia" w:ascii="仿宋_GB2312" w:hAnsi="仿宋_GB2312" w:cs="仿宋_GB2312"/>
                <w:color w:val="333333"/>
                <w:sz w:val="21"/>
                <w:szCs w:val="21"/>
              </w:rPr>
              <w:t>二、项目人员</w:t>
            </w:r>
            <w:r>
              <w:rPr>
                <w:rFonts w:ascii="仿宋_GB2312" w:hAnsi="仿宋_GB2312" w:cs="仿宋_GB2312"/>
                <w:color w:val="333333"/>
                <w:sz w:val="21"/>
                <w:szCs w:val="21"/>
              </w:rPr>
              <w:t>配备：项目经理</w:t>
            </w:r>
            <w:r>
              <w:rPr>
                <w:rFonts w:hint="eastAsia" w:ascii="仿宋_GB2312" w:hAnsi="仿宋_GB2312" w:cs="仿宋_GB2312"/>
                <w:color w:val="333333"/>
                <w:sz w:val="21"/>
                <w:szCs w:val="21"/>
              </w:rPr>
              <w:t>1人</w:t>
            </w:r>
            <w:r>
              <w:rPr>
                <w:rFonts w:ascii="仿宋_GB2312" w:hAnsi="仿宋_GB2312" w:cs="仿宋_GB2312"/>
                <w:color w:val="333333"/>
                <w:sz w:val="21"/>
                <w:szCs w:val="21"/>
              </w:rPr>
              <w:t>，</w:t>
            </w:r>
            <w:r>
              <w:rPr>
                <w:rFonts w:hint="eastAsia" w:ascii="仿宋_GB2312" w:hAnsi="仿宋_GB2312" w:cs="仿宋_GB2312"/>
                <w:color w:val="333333"/>
                <w:sz w:val="21"/>
                <w:szCs w:val="21"/>
              </w:rPr>
              <w:t>安保工作人员45人</w:t>
            </w:r>
            <w:r>
              <w:rPr>
                <w:rFonts w:ascii="仿宋_GB2312" w:hAnsi="仿宋_GB2312" w:cs="仿宋_GB2312"/>
                <w:color w:val="333333"/>
                <w:sz w:val="21"/>
                <w:szCs w:val="21"/>
              </w:rPr>
              <w:t>，消防中控室值班员</w:t>
            </w:r>
            <w:r>
              <w:rPr>
                <w:rFonts w:hint="eastAsia" w:ascii="仿宋_GB2312" w:hAnsi="仿宋_GB2312" w:cs="仿宋_GB2312"/>
                <w:color w:val="333333"/>
                <w:sz w:val="21"/>
                <w:szCs w:val="21"/>
              </w:rPr>
              <w:t>12人。</w:t>
            </w:r>
          </w:p>
          <w:p w14:paraId="02652738">
            <w:pPr>
              <w:spacing w:line="300" w:lineRule="exact"/>
              <w:ind w:firstLine="412" w:firstLineChars="200"/>
              <w:rPr>
                <w:rFonts w:ascii="仿宋_GB2312" w:hAnsi="仿宋_GB2312" w:cs="仿宋_GB2312"/>
                <w:color w:val="333333"/>
                <w:kern w:val="0"/>
                <w:sz w:val="21"/>
                <w:szCs w:val="21"/>
              </w:rPr>
            </w:pPr>
            <w:r>
              <w:rPr>
                <w:rFonts w:hint="eastAsia" w:ascii="仿宋_GB2312" w:hAnsi="仿宋_GB2312" w:cs="仿宋_GB2312"/>
                <w:color w:val="333333"/>
                <w:kern w:val="0"/>
                <w:sz w:val="21"/>
                <w:szCs w:val="21"/>
              </w:rPr>
              <w:t>三、工作指标</w:t>
            </w:r>
            <w:r>
              <w:rPr>
                <w:rFonts w:ascii="仿宋_GB2312" w:hAnsi="仿宋_GB2312" w:cs="仿宋_GB2312"/>
                <w:color w:val="333333"/>
                <w:kern w:val="0"/>
                <w:sz w:val="21"/>
                <w:szCs w:val="21"/>
              </w:rPr>
              <w:t>：</w:t>
            </w:r>
            <w:r>
              <w:rPr>
                <w:rFonts w:hint="eastAsia" w:ascii="仿宋_GB2312" w:hAnsi="仿宋_GB2312" w:cs="仿宋_GB2312"/>
                <w:color w:val="333333"/>
                <w:kern w:val="0"/>
                <w:sz w:val="21"/>
                <w:szCs w:val="21"/>
              </w:rPr>
              <w:t>承担博物馆365天×24小时全天候安全保卫服务，负责门岗、重点场所守护、馆内外巡逻，博物馆大型活动或临时性活动的安全保障工作，博物馆各项安全应急处置工作，并做好防火、防盗、防破坏、防事故等安全工作，维护馆区安全秩序，确保博物馆财产安全和员工、观众的人身财产安全。</w:t>
            </w:r>
          </w:p>
          <w:p w14:paraId="510120BA">
            <w:pPr>
              <w:pStyle w:val="7"/>
              <w:widowControl/>
              <w:spacing w:beforeAutospacing="0" w:afterAutospacing="0" w:line="300" w:lineRule="exact"/>
              <w:ind w:firstLine="206" w:firstLineChars="100"/>
              <w:rPr>
                <w:rFonts w:ascii="仿宋_GB2312" w:hAnsi="仿宋_GB2312" w:cs="仿宋_GB2312"/>
                <w:color w:val="333333"/>
                <w:sz w:val="21"/>
                <w:szCs w:val="21"/>
              </w:rPr>
            </w:pPr>
            <w:r>
              <w:rPr>
                <w:rFonts w:hint="eastAsia" w:ascii="仿宋_GB2312" w:hAnsi="仿宋_GB2312" w:cs="仿宋_GB2312"/>
                <w:color w:val="333333"/>
                <w:sz w:val="21"/>
                <w:szCs w:val="21"/>
              </w:rPr>
              <w:t>依托行业标准，</w:t>
            </w:r>
            <w:r>
              <w:rPr>
                <w:rFonts w:ascii="仿宋_GB2312" w:hAnsi="仿宋_GB2312" w:cs="仿宋_GB2312"/>
                <w:color w:val="333333"/>
                <w:sz w:val="21"/>
                <w:szCs w:val="21"/>
              </w:rPr>
              <w:t>在合同期内为甲方提供安保服务，并根据甲方</w:t>
            </w:r>
            <w:r>
              <w:rPr>
                <w:rFonts w:hint="eastAsia" w:ascii="仿宋_GB2312" w:hAnsi="仿宋_GB2312" w:cs="仿宋_GB2312"/>
                <w:color w:val="333333"/>
                <w:sz w:val="21"/>
                <w:szCs w:val="21"/>
              </w:rPr>
              <w:t>管理规定与服务要求，制订切实可行的馆区安保工作制度、服务整体方案和应急预案，突发事件反应迅速，处置有力；依法办事，文明值勤，严格管理，保障博物馆财产和员工、观众人身不受侵害，维护正常的文物展览、工作和生活秩序；全年无责任事故和责任案件发生。</w:t>
            </w:r>
          </w:p>
        </w:tc>
        <w:tc>
          <w:tcPr>
            <w:tcW w:w="1208" w:type="dxa"/>
            <w:tcBorders>
              <w:top w:val="nil"/>
              <w:left w:val="nil"/>
              <w:bottom w:val="single" w:color="auto" w:sz="6" w:space="0"/>
              <w:right w:val="single" w:color="auto" w:sz="6" w:space="0"/>
            </w:tcBorders>
            <w:tcMar>
              <w:left w:w="105" w:type="dxa"/>
              <w:right w:w="105" w:type="dxa"/>
            </w:tcMar>
            <w:vAlign w:val="center"/>
          </w:tcPr>
          <w:p w14:paraId="1B5BB0B6">
            <w:pPr>
              <w:pStyle w:val="7"/>
              <w:widowControl/>
              <w:spacing w:beforeAutospacing="0" w:afterAutospacing="0" w:line="300" w:lineRule="exact"/>
              <w:rPr>
                <w:rFonts w:ascii="仿宋_GB2312" w:hAnsi="仿宋_GB2312" w:cs="仿宋_GB2312"/>
                <w:color w:val="333333"/>
                <w:sz w:val="21"/>
                <w:szCs w:val="21"/>
              </w:rPr>
            </w:pPr>
            <w:r>
              <w:rPr>
                <w:rFonts w:hint="eastAsia" w:ascii="仿宋_GB2312" w:hAnsi="仿宋_GB2312" w:cs="仿宋_GB2312"/>
                <w:color w:val="333333"/>
                <w:sz w:val="21"/>
                <w:szCs w:val="21"/>
              </w:rPr>
              <w:t>336</w:t>
            </w:r>
          </w:p>
        </w:tc>
        <w:tc>
          <w:tcPr>
            <w:tcW w:w="1490" w:type="dxa"/>
            <w:tcBorders>
              <w:top w:val="nil"/>
              <w:left w:val="nil"/>
              <w:bottom w:val="single" w:color="auto" w:sz="6" w:space="0"/>
              <w:right w:val="single" w:color="auto" w:sz="6" w:space="0"/>
            </w:tcBorders>
            <w:tcMar>
              <w:left w:w="105" w:type="dxa"/>
              <w:right w:w="105" w:type="dxa"/>
            </w:tcMar>
            <w:vAlign w:val="center"/>
          </w:tcPr>
          <w:p w14:paraId="33CAEE65">
            <w:pPr>
              <w:pStyle w:val="7"/>
              <w:widowControl/>
              <w:spacing w:beforeAutospacing="0" w:afterAutospacing="0" w:line="300" w:lineRule="exact"/>
              <w:rPr>
                <w:rFonts w:ascii="仿宋_GB2312" w:hAnsi="仿宋_GB2312" w:cs="仿宋_GB2312"/>
                <w:color w:val="333333"/>
                <w:sz w:val="21"/>
                <w:szCs w:val="21"/>
              </w:rPr>
            </w:pPr>
            <w:r>
              <w:rPr>
                <w:rFonts w:hint="eastAsia" w:ascii="仿宋_GB2312" w:hAnsi="仿宋_GB2312" w:cs="仿宋_GB2312"/>
                <w:color w:val="333333"/>
                <w:sz w:val="21"/>
                <w:szCs w:val="21"/>
              </w:rPr>
              <w:t>2026年9月</w:t>
            </w:r>
          </w:p>
        </w:tc>
        <w:tc>
          <w:tcPr>
            <w:tcW w:w="1146" w:type="dxa"/>
            <w:tcBorders>
              <w:top w:val="nil"/>
              <w:left w:val="nil"/>
              <w:bottom w:val="single" w:color="auto" w:sz="6" w:space="0"/>
              <w:right w:val="single" w:color="auto" w:sz="6" w:space="0"/>
            </w:tcBorders>
            <w:tcMar>
              <w:left w:w="105" w:type="dxa"/>
              <w:right w:w="105" w:type="dxa"/>
            </w:tcMar>
            <w:vAlign w:val="center"/>
          </w:tcPr>
          <w:p w14:paraId="3A7E1D12">
            <w:pPr>
              <w:pStyle w:val="7"/>
              <w:widowControl/>
              <w:spacing w:beforeAutospacing="0" w:afterAutospacing="0" w:line="300" w:lineRule="exact"/>
              <w:rPr>
                <w:rFonts w:ascii="仿宋_GB2312" w:hAnsi="仿宋_GB2312" w:cs="仿宋_GB2312"/>
                <w:color w:val="333333"/>
                <w:sz w:val="21"/>
                <w:szCs w:val="21"/>
              </w:rPr>
            </w:pPr>
            <w:r>
              <w:rPr>
                <w:rFonts w:hint="eastAsia" w:ascii="仿宋_GB2312" w:hAnsi="仿宋_GB2312" w:cs="仿宋_GB2312"/>
                <w:color w:val="333333"/>
                <w:sz w:val="21"/>
                <w:szCs w:val="21"/>
              </w:rPr>
              <w:t>无其他需要说明的情况</w:t>
            </w:r>
          </w:p>
        </w:tc>
      </w:tr>
      <w:tr w14:paraId="2B40EF1B">
        <w:tblPrEx>
          <w:tblCellMar>
            <w:top w:w="0" w:type="dxa"/>
            <w:left w:w="0" w:type="dxa"/>
            <w:bottom w:w="0" w:type="dxa"/>
            <w:right w:w="0" w:type="dxa"/>
          </w:tblCellMar>
        </w:tblPrEx>
        <w:trPr>
          <w:trHeight w:val="1740" w:hRule="atLeast"/>
          <w:jc w:val="center"/>
        </w:trPr>
        <w:tc>
          <w:tcPr>
            <w:tcW w:w="672"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0BAAF90">
            <w:pPr>
              <w:widowControl/>
              <w:spacing w:line="300" w:lineRule="exact"/>
              <w:jc w:val="center"/>
              <w:rPr>
                <w:rFonts w:ascii="仿宋_GB2312" w:hAnsi="仿宋_GB2312" w:cs="仿宋_GB2312"/>
                <w:sz w:val="21"/>
                <w:szCs w:val="21"/>
              </w:rPr>
            </w:pPr>
            <w:r>
              <w:rPr>
                <w:rFonts w:hint="eastAsia" w:ascii="仿宋_GB2312" w:hAnsi="仿宋_GB2312" w:cs="仿宋_GB2312"/>
                <w:sz w:val="21"/>
                <w:szCs w:val="21"/>
              </w:rPr>
              <w:t>2</w:t>
            </w:r>
          </w:p>
        </w:tc>
        <w:tc>
          <w:tcPr>
            <w:tcW w:w="1162"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76D43B8">
            <w:pPr>
              <w:pStyle w:val="7"/>
              <w:widowControl/>
              <w:spacing w:beforeAutospacing="0" w:afterAutospacing="0" w:line="300" w:lineRule="exact"/>
              <w:rPr>
                <w:rFonts w:ascii="仿宋_GB2312" w:hAnsi="仿宋_GB2312" w:cs="仿宋_GB2312"/>
                <w:color w:val="333333"/>
                <w:sz w:val="21"/>
                <w:szCs w:val="21"/>
              </w:rPr>
            </w:pPr>
            <w:r>
              <w:rPr>
                <w:rFonts w:hint="eastAsia" w:ascii="仿宋_GB2312" w:hAnsi="仿宋_GB2312" w:cs="仿宋_GB2312"/>
                <w:color w:val="333333"/>
                <w:sz w:val="21"/>
                <w:szCs w:val="21"/>
              </w:rPr>
              <w:t>青岛市博物馆物业服务项目</w:t>
            </w:r>
          </w:p>
        </w:tc>
        <w:tc>
          <w:tcPr>
            <w:tcW w:w="2838"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CCF9BA1">
            <w:pPr>
              <w:pStyle w:val="7"/>
              <w:widowControl/>
              <w:spacing w:beforeAutospacing="0" w:afterAutospacing="0" w:line="300" w:lineRule="exact"/>
              <w:rPr>
                <w:rFonts w:ascii="仿宋_GB2312" w:hAnsi="仿宋_GB2312" w:cs="仿宋_GB2312"/>
                <w:sz w:val="21"/>
                <w:szCs w:val="21"/>
              </w:rPr>
            </w:pPr>
            <w:r>
              <w:rPr>
                <w:rFonts w:hint="eastAsia" w:ascii="仿宋_GB2312" w:hAnsi="仿宋_GB2312" w:cs="仿宋_GB2312"/>
                <w:sz w:val="21"/>
                <w:szCs w:val="21"/>
              </w:rPr>
              <w:t>青岛市博物馆物业服务项目，</w:t>
            </w:r>
          </w:p>
          <w:p w14:paraId="5FE7247E">
            <w:pPr>
              <w:pStyle w:val="7"/>
              <w:widowControl/>
              <w:spacing w:beforeAutospacing="0" w:afterAutospacing="0" w:line="300" w:lineRule="exact"/>
              <w:ind w:firstLine="206" w:firstLineChars="100"/>
              <w:rPr>
                <w:rFonts w:ascii="仿宋_GB2312" w:hAnsi="仿宋_GB2312" w:cs="仿宋_GB2312"/>
                <w:sz w:val="21"/>
                <w:szCs w:val="21"/>
              </w:rPr>
            </w:pPr>
            <w:r>
              <w:rPr>
                <w:rFonts w:hint="eastAsia" w:ascii="仿宋_GB2312" w:hAnsi="仿宋_GB2312" w:cs="仿宋_GB2312"/>
                <w:sz w:val="21"/>
                <w:szCs w:val="21"/>
              </w:rPr>
              <w:t>一</w:t>
            </w:r>
            <w:r>
              <w:rPr>
                <w:rFonts w:ascii="仿宋_GB2312" w:hAnsi="仿宋_GB2312" w:cs="仿宋_GB2312"/>
                <w:sz w:val="21"/>
                <w:szCs w:val="21"/>
              </w:rPr>
              <w:t>、</w:t>
            </w:r>
            <w:r>
              <w:rPr>
                <w:rFonts w:hint="eastAsia" w:ascii="仿宋_GB2312" w:hAnsi="仿宋_GB2312" w:cs="仿宋_GB2312"/>
                <w:sz w:val="21"/>
                <w:szCs w:val="21"/>
              </w:rPr>
              <w:t>采购标的需实现：物业管理</w:t>
            </w:r>
            <w:r>
              <w:rPr>
                <w:rFonts w:ascii="仿宋_GB2312" w:hAnsi="仿宋_GB2312" w:cs="仿宋_GB2312"/>
                <w:sz w:val="21"/>
                <w:szCs w:val="21"/>
              </w:rPr>
              <w:t>服务。</w:t>
            </w:r>
          </w:p>
          <w:p w14:paraId="19F076D1">
            <w:pPr>
              <w:pStyle w:val="7"/>
              <w:widowControl/>
              <w:spacing w:beforeAutospacing="0" w:afterAutospacing="0" w:line="300" w:lineRule="exact"/>
              <w:ind w:firstLine="206" w:firstLineChars="100"/>
              <w:rPr>
                <w:rFonts w:ascii="仿宋_GB2312" w:hAnsi="仿宋_GB2312" w:cs="仿宋_GB2312"/>
                <w:sz w:val="21"/>
                <w:szCs w:val="21"/>
              </w:rPr>
            </w:pPr>
            <w:r>
              <w:rPr>
                <w:rFonts w:hint="eastAsia" w:ascii="仿宋_GB2312" w:hAnsi="仿宋_GB2312" w:cs="仿宋_GB2312"/>
                <w:sz w:val="21"/>
                <w:szCs w:val="21"/>
              </w:rPr>
              <w:t>二、项目人员</w:t>
            </w:r>
            <w:r>
              <w:rPr>
                <w:rFonts w:ascii="仿宋_GB2312" w:hAnsi="仿宋_GB2312" w:cs="仿宋_GB2312"/>
                <w:sz w:val="21"/>
                <w:szCs w:val="21"/>
              </w:rPr>
              <w:t>配备</w:t>
            </w:r>
            <w:r>
              <w:rPr>
                <w:rFonts w:hint="eastAsia" w:ascii="仿宋_GB2312" w:hAnsi="仿宋_GB2312" w:cs="仿宋_GB2312"/>
                <w:sz w:val="21"/>
                <w:szCs w:val="21"/>
              </w:rPr>
              <w:t>：物业主管1人、保洁人员11人、食堂厨师2人、帮厨2人、电工及综合维修人员2人、绿化管护及外围卫生清扫4人、配电站24小时值班及场馆用电设备巡检维修人员6人.</w:t>
            </w:r>
          </w:p>
          <w:p w14:paraId="2FA506A3">
            <w:pPr>
              <w:spacing w:line="300" w:lineRule="exact"/>
              <w:ind w:firstLine="412" w:firstLineChars="200"/>
              <w:jc w:val="left"/>
              <w:rPr>
                <w:rFonts w:ascii="仿宋_GB2312" w:hAnsi="仿宋_GB2312" w:cs="仿宋_GB2312"/>
                <w:color w:val="333333"/>
                <w:sz w:val="21"/>
                <w:szCs w:val="21"/>
              </w:rPr>
            </w:pPr>
            <w:r>
              <w:rPr>
                <w:rFonts w:hint="eastAsia" w:ascii="仿宋_GB2312" w:hAnsi="仿宋_GB2312" w:cs="仿宋_GB2312"/>
                <w:kern w:val="0"/>
                <w:sz w:val="21"/>
                <w:szCs w:val="21"/>
              </w:rPr>
              <w:t>三、服务范围和内容</w:t>
            </w:r>
            <w:r>
              <w:rPr>
                <w:rFonts w:ascii="仿宋_GB2312" w:hAnsi="仿宋_GB2312" w:cs="仿宋_GB2312"/>
                <w:kern w:val="0"/>
                <w:sz w:val="21"/>
                <w:szCs w:val="21"/>
              </w:rPr>
              <w:t>：</w:t>
            </w:r>
            <w:r>
              <w:rPr>
                <w:rFonts w:hint="eastAsia" w:ascii="仿宋_GB2312" w:hAnsi="仿宋_GB2312" w:cs="仿宋_GB2312"/>
                <w:kern w:val="0"/>
                <w:sz w:val="21"/>
                <w:szCs w:val="21"/>
              </w:rPr>
              <w:t>青岛市博物馆馆区内各类设施设备的运行维护保养、清洁绿化、活动保障、会务接待、台账管理、卫生防疫、虫害治理、应急处置及保障等。物业管理服务范围具体包括但不限于招标方建筑物及其附属设施、设备、器具、道路、场地的管理和维护养护，以及施工管理、巡视检查、应急抢修等服务和保障，环境卫生保洁管理服务和保障，安全管理服务和保障，招标方要求的与本项目有关的其他相关服务和保障等，还包括招标方因博物馆运营管理工作需要在上述区域以外的空间和场所。招标方根据运营管理及社会公众服务等需要及临时增加的各类服务需求。</w:t>
            </w:r>
          </w:p>
        </w:tc>
        <w:tc>
          <w:tcPr>
            <w:tcW w:w="1208"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690B3FC">
            <w:pPr>
              <w:pStyle w:val="7"/>
              <w:widowControl/>
              <w:spacing w:beforeAutospacing="0" w:afterAutospacing="0" w:line="300" w:lineRule="exact"/>
              <w:rPr>
                <w:rFonts w:ascii="仿宋_GB2312" w:hAnsi="仿宋_GB2312" w:cs="仿宋_GB2312"/>
                <w:color w:val="333333"/>
                <w:sz w:val="21"/>
                <w:szCs w:val="21"/>
              </w:rPr>
            </w:pPr>
            <w:r>
              <w:rPr>
                <w:rFonts w:hint="eastAsia" w:ascii="仿宋_GB2312" w:hAnsi="仿宋_GB2312" w:cs="仿宋_GB2312"/>
                <w:color w:val="333333"/>
                <w:sz w:val="21"/>
                <w:szCs w:val="21"/>
              </w:rPr>
              <w:t>168</w:t>
            </w:r>
          </w:p>
        </w:tc>
        <w:tc>
          <w:tcPr>
            <w:tcW w:w="149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99C6760">
            <w:pPr>
              <w:pStyle w:val="7"/>
              <w:widowControl/>
              <w:spacing w:beforeAutospacing="0" w:afterAutospacing="0" w:line="300" w:lineRule="exact"/>
              <w:rPr>
                <w:rFonts w:ascii="仿宋_GB2312" w:hAnsi="仿宋_GB2312" w:cs="仿宋_GB2312"/>
                <w:color w:val="333333"/>
                <w:sz w:val="21"/>
                <w:szCs w:val="21"/>
              </w:rPr>
            </w:pPr>
            <w:r>
              <w:rPr>
                <w:rFonts w:hint="eastAsia" w:ascii="仿宋_GB2312" w:hAnsi="仿宋_GB2312" w:cs="仿宋_GB2312"/>
                <w:color w:val="333333"/>
                <w:sz w:val="21"/>
                <w:szCs w:val="21"/>
              </w:rPr>
              <w:t>20</w:t>
            </w:r>
            <w:bookmarkStart w:id="0" w:name="_GoBack"/>
            <w:bookmarkEnd w:id="0"/>
            <w:r>
              <w:rPr>
                <w:rFonts w:hint="eastAsia" w:ascii="仿宋_GB2312" w:hAnsi="仿宋_GB2312" w:cs="仿宋_GB2312"/>
                <w:color w:val="333333"/>
                <w:sz w:val="21"/>
                <w:szCs w:val="21"/>
              </w:rPr>
              <w:t>26年9月</w:t>
            </w:r>
          </w:p>
        </w:tc>
        <w:tc>
          <w:tcPr>
            <w:tcW w:w="1146"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C7EF563">
            <w:pPr>
              <w:pStyle w:val="7"/>
              <w:widowControl/>
              <w:spacing w:beforeAutospacing="0" w:afterAutospacing="0" w:line="300" w:lineRule="exact"/>
              <w:rPr>
                <w:rFonts w:ascii="仿宋_GB2312" w:hAnsi="仿宋_GB2312" w:cs="仿宋_GB2312"/>
                <w:color w:val="333333"/>
                <w:sz w:val="21"/>
                <w:szCs w:val="21"/>
              </w:rPr>
            </w:pPr>
            <w:r>
              <w:rPr>
                <w:rFonts w:hint="eastAsia" w:ascii="仿宋_GB2312" w:hAnsi="仿宋_GB2312" w:cs="仿宋_GB2312"/>
                <w:color w:val="333333"/>
                <w:sz w:val="21"/>
                <w:szCs w:val="21"/>
              </w:rPr>
              <w:t>无其他需要说明的情况</w:t>
            </w:r>
          </w:p>
        </w:tc>
      </w:tr>
    </w:tbl>
    <w:p w14:paraId="66E9A9A8">
      <w:pPr>
        <w:pStyle w:val="7"/>
        <w:widowControl/>
        <w:spacing w:beforeAutospacing="0" w:afterAutospacing="0" w:line="560" w:lineRule="exact"/>
        <w:ind w:firstLine="420"/>
        <w:rPr>
          <w:rFonts w:ascii="仿宋_GB2312" w:hAnsi="仿宋_GB2312" w:cs="仿宋_GB2312"/>
          <w:color w:val="333333"/>
          <w:sz w:val="32"/>
          <w:szCs w:val="32"/>
        </w:rPr>
      </w:pPr>
      <w:r>
        <w:rPr>
          <w:rFonts w:hint="eastAsia" w:ascii="仿宋_GB2312" w:hAnsi="仿宋_GB2312" w:cs="仿宋_GB2312"/>
          <w:color w:val="333333"/>
          <w:sz w:val="32"/>
          <w:szCs w:val="32"/>
        </w:rPr>
        <w:t>本次公开的采购意向是本单位政府采购工作的初步安排，具体采购项目情况以相关采购公告和采购文件为准。</w:t>
      </w:r>
    </w:p>
    <w:p w14:paraId="2CEE4EB1">
      <w:pPr>
        <w:pStyle w:val="7"/>
        <w:widowControl/>
        <w:spacing w:beforeAutospacing="0" w:afterAutospacing="0" w:line="560" w:lineRule="exact"/>
        <w:rPr>
          <w:rFonts w:ascii="仿宋_GB2312" w:hAnsi="仿宋_GB2312" w:cs="仿宋_GB2312"/>
          <w:color w:val="333333"/>
          <w:sz w:val="32"/>
          <w:szCs w:val="32"/>
        </w:rPr>
      </w:pPr>
    </w:p>
    <w:p w14:paraId="7551B234">
      <w:pPr>
        <w:pStyle w:val="7"/>
        <w:widowControl/>
        <w:spacing w:beforeAutospacing="0" w:afterAutospacing="0" w:line="420" w:lineRule="atLeast"/>
        <w:jc w:val="both"/>
        <w:rPr>
          <w:rFonts w:ascii="仿宋_GB2312" w:hAnsi="仿宋_GB2312" w:cs="仿宋_GB2312"/>
          <w:color w:val="333333"/>
          <w:sz w:val="32"/>
          <w:szCs w:val="32"/>
        </w:rPr>
      </w:pPr>
      <w:r>
        <w:rPr>
          <w:rFonts w:hint="eastAsia" w:ascii="微软雅黑" w:hAnsi="微软雅黑" w:eastAsia="微软雅黑" w:cs="微软雅黑"/>
          <w:color w:val="333333"/>
          <w:sz w:val="27"/>
          <w:szCs w:val="27"/>
        </w:rPr>
        <w:t xml:space="preserve">                                              </w:t>
      </w:r>
      <w:r>
        <w:rPr>
          <w:rFonts w:hint="eastAsia" w:ascii="仿宋_GB2312" w:hAnsi="仿宋_GB2312" w:cs="仿宋_GB2312"/>
          <w:color w:val="333333"/>
          <w:sz w:val="32"/>
          <w:szCs w:val="32"/>
        </w:rPr>
        <w:t>青岛市博物馆</w:t>
      </w:r>
    </w:p>
    <w:p w14:paraId="1FC60528">
      <w:pPr>
        <w:pStyle w:val="7"/>
        <w:widowControl/>
        <w:spacing w:beforeAutospacing="0" w:afterAutospacing="0" w:line="420" w:lineRule="atLeast"/>
        <w:ind w:firstLine="6004" w:firstLineChars="1900"/>
        <w:jc w:val="both"/>
        <w:rPr>
          <w:rFonts w:ascii="仿宋_GB2312"/>
          <w:szCs w:val="32"/>
        </w:rPr>
      </w:pPr>
      <w:r>
        <w:rPr>
          <w:rFonts w:hint="eastAsia" w:ascii="仿宋_GB2312" w:hAnsi="仿宋_GB2312" w:cs="仿宋_GB2312"/>
          <w:color w:val="333333"/>
          <w:sz w:val="32"/>
          <w:szCs w:val="32"/>
        </w:rPr>
        <w:t>2026年8月11日</w:t>
      </w:r>
    </w:p>
    <w:sectPr>
      <w:footerReference r:id="rId3" w:type="default"/>
      <w:footerReference r:id="rId4" w:type="even"/>
      <w:pgSz w:w="11907" w:h="16840"/>
      <w:pgMar w:top="2098" w:right="1474" w:bottom="1985" w:left="1588" w:header="0" w:footer="1588" w:gutter="0"/>
      <w:pgNumType w:fmt="numberInDash"/>
      <w:cols w:space="720" w:num="1"/>
      <w:docGrid w:type="linesAndChars" w:linePitch="587"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altName w:val="方正仿宋_GBK"/>
    <w:panose1 w:val="00000000000000000000"/>
    <w:charset w:val="86"/>
    <w:family w:val="script"/>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48D21">
    <w:pPr>
      <w:pStyle w:val="5"/>
      <w:framePr w:wrap="around" w:vAnchor="text" w:hAnchor="margin" w:xAlign="outside" w:y="1"/>
      <w:rPr>
        <w:rStyle w:val="11"/>
        <w:rFonts w:ascii="宋体" w:hAnsi="宋体" w:eastAsia="宋体"/>
        <w:sz w:val="28"/>
        <w:szCs w:val="28"/>
      </w:rPr>
    </w:pPr>
    <w:r>
      <w:rPr>
        <w:rFonts w:hint="eastAsia" w:ascii="宋体" w:hAnsi="宋体" w:eastAsia="宋体"/>
        <w:sz w:val="28"/>
        <w:szCs w:val="28"/>
      </w:rPr>
      <w:fldChar w:fldCharType="begin"/>
    </w:r>
    <w:r>
      <w:rPr>
        <w:rStyle w:val="11"/>
        <w:rFonts w:hint="eastAsia" w:ascii="宋体" w:hAnsi="宋体" w:eastAsia="宋体"/>
        <w:sz w:val="28"/>
        <w:szCs w:val="28"/>
      </w:rPr>
      <w:instrText xml:space="preserve">PAGE  </w:instrText>
    </w:r>
    <w:r>
      <w:rPr>
        <w:rFonts w:hint="eastAsia" w:ascii="宋体" w:hAnsi="宋体" w:eastAsia="宋体"/>
        <w:sz w:val="28"/>
        <w:szCs w:val="28"/>
      </w:rPr>
      <w:fldChar w:fldCharType="separate"/>
    </w:r>
    <w:r>
      <w:rPr>
        <w:rStyle w:val="11"/>
        <w:rFonts w:ascii="宋体" w:hAnsi="宋体" w:eastAsia="宋体"/>
        <w:sz w:val="28"/>
        <w:szCs w:val="28"/>
      </w:rPr>
      <w:t>- 3 -</w:t>
    </w:r>
    <w:r>
      <w:rPr>
        <w:rFonts w:hint="eastAsia" w:ascii="宋体" w:hAnsi="宋体" w:eastAsia="宋体"/>
        <w:sz w:val="28"/>
        <w:szCs w:val="28"/>
      </w:rPr>
      <w:fldChar w:fldCharType="end"/>
    </w:r>
  </w:p>
  <w:p w14:paraId="0DE3FD22">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8CA37">
    <w:pPr>
      <w:pStyle w:val="5"/>
      <w:framePr w:wrap="around" w:vAnchor="text" w:hAnchor="margin" w:xAlign="outside" w:y="1"/>
      <w:rPr>
        <w:rStyle w:val="11"/>
      </w:rPr>
    </w:pPr>
    <w:r>
      <w:fldChar w:fldCharType="begin"/>
    </w:r>
    <w:r>
      <w:rPr>
        <w:rStyle w:val="11"/>
      </w:rPr>
      <w:instrText xml:space="preserve">PAGE  </w:instrText>
    </w:r>
    <w:r>
      <w:fldChar w:fldCharType="separate"/>
    </w:r>
    <w:r>
      <w:rPr>
        <w:rStyle w:val="11"/>
      </w:rPr>
      <w:t>1</w:t>
    </w:r>
    <w:r>
      <w:fldChar w:fldCharType="end"/>
    </w:r>
  </w:p>
  <w:p w14:paraId="1708DBC8">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attachedTemplate r:id="rId1"/>
  <w:documentProtection w:enforcement="0"/>
  <w:defaultTabStop w:val="425"/>
  <w:drawingGridHorizontalSpacing w:val="315"/>
  <w:drawingGridVerticalSpacing w:val="587"/>
  <w:noPunctuationKerning w:val="1"/>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3B0C"/>
    <w:rsid w:val="00027F0B"/>
    <w:rsid w:val="00027FBF"/>
    <w:rsid w:val="000311EF"/>
    <w:rsid w:val="00036DBD"/>
    <w:rsid w:val="00040AC4"/>
    <w:rsid w:val="00061016"/>
    <w:rsid w:val="000713CD"/>
    <w:rsid w:val="000877A6"/>
    <w:rsid w:val="0008783C"/>
    <w:rsid w:val="000A3762"/>
    <w:rsid w:val="000A7391"/>
    <w:rsid w:val="000B41B8"/>
    <w:rsid w:val="000B4F02"/>
    <w:rsid w:val="000C79D5"/>
    <w:rsid w:val="000D791C"/>
    <w:rsid w:val="000E3651"/>
    <w:rsid w:val="000F6A5B"/>
    <w:rsid w:val="00102240"/>
    <w:rsid w:val="00112B9A"/>
    <w:rsid w:val="0013195A"/>
    <w:rsid w:val="0013649C"/>
    <w:rsid w:val="00147426"/>
    <w:rsid w:val="00151570"/>
    <w:rsid w:val="00172A27"/>
    <w:rsid w:val="0019204A"/>
    <w:rsid w:val="001A4D30"/>
    <w:rsid w:val="001B355C"/>
    <w:rsid w:val="001D1497"/>
    <w:rsid w:val="001E5062"/>
    <w:rsid w:val="00200C4A"/>
    <w:rsid w:val="00215387"/>
    <w:rsid w:val="00216346"/>
    <w:rsid w:val="0022545D"/>
    <w:rsid w:val="00232318"/>
    <w:rsid w:val="0023241D"/>
    <w:rsid w:val="002370D6"/>
    <w:rsid w:val="00245BB5"/>
    <w:rsid w:val="00250A83"/>
    <w:rsid w:val="002543EE"/>
    <w:rsid w:val="00272AD7"/>
    <w:rsid w:val="002A4F72"/>
    <w:rsid w:val="002A646D"/>
    <w:rsid w:val="002B344A"/>
    <w:rsid w:val="002B5C2B"/>
    <w:rsid w:val="002B7BCF"/>
    <w:rsid w:val="002D4BC3"/>
    <w:rsid w:val="0030721A"/>
    <w:rsid w:val="00307509"/>
    <w:rsid w:val="00322666"/>
    <w:rsid w:val="00324CB1"/>
    <w:rsid w:val="003352A0"/>
    <w:rsid w:val="00335826"/>
    <w:rsid w:val="0034465F"/>
    <w:rsid w:val="00346EBB"/>
    <w:rsid w:val="00352EC1"/>
    <w:rsid w:val="003533C8"/>
    <w:rsid w:val="00375EE9"/>
    <w:rsid w:val="00391BBB"/>
    <w:rsid w:val="003A25CB"/>
    <w:rsid w:val="003B0910"/>
    <w:rsid w:val="003B1578"/>
    <w:rsid w:val="003F2F84"/>
    <w:rsid w:val="003F49EB"/>
    <w:rsid w:val="00406FA0"/>
    <w:rsid w:val="0042002B"/>
    <w:rsid w:val="00425BBE"/>
    <w:rsid w:val="00436DF4"/>
    <w:rsid w:val="0043775C"/>
    <w:rsid w:val="00453BBA"/>
    <w:rsid w:val="00460E21"/>
    <w:rsid w:val="00476101"/>
    <w:rsid w:val="00492CFD"/>
    <w:rsid w:val="00495ADE"/>
    <w:rsid w:val="004A2C01"/>
    <w:rsid w:val="004A3544"/>
    <w:rsid w:val="004A58C9"/>
    <w:rsid w:val="004B26F7"/>
    <w:rsid w:val="004B3AD0"/>
    <w:rsid w:val="004C2D63"/>
    <w:rsid w:val="004E0204"/>
    <w:rsid w:val="004E5E17"/>
    <w:rsid w:val="004E747F"/>
    <w:rsid w:val="004F1ACB"/>
    <w:rsid w:val="00505821"/>
    <w:rsid w:val="00506922"/>
    <w:rsid w:val="00510523"/>
    <w:rsid w:val="005137F3"/>
    <w:rsid w:val="00527FBE"/>
    <w:rsid w:val="00531DCA"/>
    <w:rsid w:val="00546632"/>
    <w:rsid w:val="00567B98"/>
    <w:rsid w:val="00571DC9"/>
    <w:rsid w:val="00582BBC"/>
    <w:rsid w:val="00584FDE"/>
    <w:rsid w:val="00585D36"/>
    <w:rsid w:val="005863E0"/>
    <w:rsid w:val="005A206C"/>
    <w:rsid w:val="005A4159"/>
    <w:rsid w:val="005D5A13"/>
    <w:rsid w:val="005D649D"/>
    <w:rsid w:val="005E1B3F"/>
    <w:rsid w:val="005F06EC"/>
    <w:rsid w:val="005F7687"/>
    <w:rsid w:val="00600B6A"/>
    <w:rsid w:val="0062009C"/>
    <w:rsid w:val="00633C41"/>
    <w:rsid w:val="00642BA7"/>
    <w:rsid w:val="00666989"/>
    <w:rsid w:val="00667B97"/>
    <w:rsid w:val="00686A48"/>
    <w:rsid w:val="00691803"/>
    <w:rsid w:val="006A00AE"/>
    <w:rsid w:val="006A60C1"/>
    <w:rsid w:val="006A651D"/>
    <w:rsid w:val="006B0595"/>
    <w:rsid w:val="006D562D"/>
    <w:rsid w:val="006E3671"/>
    <w:rsid w:val="006F0669"/>
    <w:rsid w:val="00707F84"/>
    <w:rsid w:val="00725E47"/>
    <w:rsid w:val="007315CA"/>
    <w:rsid w:val="00745F5A"/>
    <w:rsid w:val="00753838"/>
    <w:rsid w:val="00770CBC"/>
    <w:rsid w:val="007738A6"/>
    <w:rsid w:val="00793BC6"/>
    <w:rsid w:val="00797E99"/>
    <w:rsid w:val="007A73E0"/>
    <w:rsid w:val="007B287C"/>
    <w:rsid w:val="007E43B4"/>
    <w:rsid w:val="007F1C96"/>
    <w:rsid w:val="007F5ACC"/>
    <w:rsid w:val="00806BB5"/>
    <w:rsid w:val="00812290"/>
    <w:rsid w:val="0083005C"/>
    <w:rsid w:val="00863C36"/>
    <w:rsid w:val="008706EB"/>
    <w:rsid w:val="008712BF"/>
    <w:rsid w:val="00882AD4"/>
    <w:rsid w:val="008838A2"/>
    <w:rsid w:val="008932CA"/>
    <w:rsid w:val="008C395B"/>
    <w:rsid w:val="008C4768"/>
    <w:rsid w:val="008D64B3"/>
    <w:rsid w:val="008E1C0D"/>
    <w:rsid w:val="00904BC7"/>
    <w:rsid w:val="00933228"/>
    <w:rsid w:val="00933B81"/>
    <w:rsid w:val="0093603A"/>
    <w:rsid w:val="0095389F"/>
    <w:rsid w:val="00960F25"/>
    <w:rsid w:val="009738BB"/>
    <w:rsid w:val="00987954"/>
    <w:rsid w:val="009B6080"/>
    <w:rsid w:val="009C373C"/>
    <w:rsid w:val="009C69A4"/>
    <w:rsid w:val="009D446D"/>
    <w:rsid w:val="009D79F4"/>
    <w:rsid w:val="009D7FBD"/>
    <w:rsid w:val="009E1546"/>
    <w:rsid w:val="009E2B9A"/>
    <w:rsid w:val="009E5BED"/>
    <w:rsid w:val="009E6B4D"/>
    <w:rsid w:val="009F3770"/>
    <w:rsid w:val="00A05779"/>
    <w:rsid w:val="00A1253A"/>
    <w:rsid w:val="00A24194"/>
    <w:rsid w:val="00A2672D"/>
    <w:rsid w:val="00A64C2B"/>
    <w:rsid w:val="00A658EC"/>
    <w:rsid w:val="00A774B5"/>
    <w:rsid w:val="00A93FF7"/>
    <w:rsid w:val="00AA119A"/>
    <w:rsid w:val="00AD440E"/>
    <w:rsid w:val="00AD4B55"/>
    <w:rsid w:val="00AF141B"/>
    <w:rsid w:val="00AF3481"/>
    <w:rsid w:val="00B25493"/>
    <w:rsid w:val="00B317E2"/>
    <w:rsid w:val="00B32499"/>
    <w:rsid w:val="00B3360F"/>
    <w:rsid w:val="00B34845"/>
    <w:rsid w:val="00B45B1A"/>
    <w:rsid w:val="00B47DF5"/>
    <w:rsid w:val="00B50BE9"/>
    <w:rsid w:val="00B5343E"/>
    <w:rsid w:val="00B53853"/>
    <w:rsid w:val="00B5425A"/>
    <w:rsid w:val="00B56FC0"/>
    <w:rsid w:val="00B811EC"/>
    <w:rsid w:val="00B86BF1"/>
    <w:rsid w:val="00B907C6"/>
    <w:rsid w:val="00B95641"/>
    <w:rsid w:val="00BA1FDE"/>
    <w:rsid w:val="00BA61BE"/>
    <w:rsid w:val="00BA7057"/>
    <w:rsid w:val="00BB111B"/>
    <w:rsid w:val="00BB3C5D"/>
    <w:rsid w:val="00BB3D4F"/>
    <w:rsid w:val="00BC31CF"/>
    <w:rsid w:val="00BC646D"/>
    <w:rsid w:val="00C23EEA"/>
    <w:rsid w:val="00C422E4"/>
    <w:rsid w:val="00C64A70"/>
    <w:rsid w:val="00C64E28"/>
    <w:rsid w:val="00C66D10"/>
    <w:rsid w:val="00C85B62"/>
    <w:rsid w:val="00C92732"/>
    <w:rsid w:val="00C94A0A"/>
    <w:rsid w:val="00C94A0F"/>
    <w:rsid w:val="00CA3321"/>
    <w:rsid w:val="00CA6C05"/>
    <w:rsid w:val="00CB3513"/>
    <w:rsid w:val="00CB4D21"/>
    <w:rsid w:val="00CB6E9F"/>
    <w:rsid w:val="00CC2D49"/>
    <w:rsid w:val="00CD675A"/>
    <w:rsid w:val="00CD78F5"/>
    <w:rsid w:val="00CE5217"/>
    <w:rsid w:val="00CF14F3"/>
    <w:rsid w:val="00D1211E"/>
    <w:rsid w:val="00D14974"/>
    <w:rsid w:val="00D23302"/>
    <w:rsid w:val="00D470D2"/>
    <w:rsid w:val="00D600B1"/>
    <w:rsid w:val="00D744A0"/>
    <w:rsid w:val="00D81A2D"/>
    <w:rsid w:val="00D876B2"/>
    <w:rsid w:val="00DA34EB"/>
    <w:rsid w:val="00DA4112"/>
    <w:rsid w:val="00DE65C6"/>
    <w:rsid w:val="00E02342"/>
    <w:rsid w:val="00E15BCA"/>
    <w:rsid w:val="00E16784"/>
    <w:rsid w:val="00E16BFF"/>
    <w:rsid w:val="00E25CAC"/>
    <w:rsid w:val="00E26508"/>
    <w:rsid w:val="00E35761"/>
    <w:rsid w:val="00E426C1"/>
    <w:rsid w:val="00E4617F"/>
    <w:rsid w:val="00E526DD"/>
    <w:rsid w:val="00E769A6"/>
    <w:rsid w:val="00EB146E"/>
    <w:rsid w:val="00ED617C"/>
    <w:rsid w:val="00F074F1"/>
    <w:rsid w:val="00F133F7"/>
    <w:rsid w:val="00F166A7"/>
    <w:rsid w:val="00F36296"/>
    <w:rsid w:val="00F5215E"/>
    <w:rsid w:val="00F568E3"/>
    <w:rsid w:val="00F65AB3"/>
    <w:rsid w:val="00F66B23"/>
    <w:rsid w:val="00F714C0"/>
    <w:rsid w:val="00F738D7"/>
    <w:rsid w:val="00F90587"/>
    <w:rsid w:val="00F95B70"/>
    <w:rsid w:val="00FA2C5A"/>
    <w:rsid w:val="00FE009A"/>
    <w:rsid w:val="00FF0769"/>
    <w:rsid w:val="00FF5FA2"/>
    <w:rsid w:val="01E56270"/>
    <w:rsid w:val="021B40EA"/>
    <w:rsid w:val="03FF4C92"/>
    <w:rsid w:val="074A3E20"/>
    <w:rsid w:val="0E544CF8"/>
    <w:rsid w:val="114B3ABF"/>
    <w:rsid w:val="1374587A"/>
    <w:rsid w:val="17872173"/>
    <w:rsid w:val="18553623"/>
    <w:rsid w:val="189C45C0"/>
    <w:rsid w:val="1B483264"/>
    <w:rsid w:val="1CCF268F"/>
    <w:rsid w:val="1DB75F74"/>
    <w:rsid w:val="1DCE6730"/>
    <w:rsid w:val="1E4F0E2C"/>
    <w:rsid w:val="200D4526"/>
    <w:rsid w:val="208030D1"/>
    <w:rsid w:val="210F2BE3"/>
    <w:rsid w:val="264D2348"/>
    <w:rsid w:val="2A961EF9"/>
    <w:rsid w:val="2B4E101F"/>
    <w:rsid w:val="2B6A694F"/>
    <w:rsid w:val="2F9E55AF"/>
    <w:rsid w:val="320543DC"/>
    <w:rsid w:val="32BA7FE3"/>
    <w:rsid w:val="33353022"/>
    <w:rsid w:val="342B167C"/>
    <w:rsid w:val="342D7C70"/>
    <w:rsid w:val="355239D6"/>
    <w:rsid w:val="35AA064E"/>
    <w:rsid w:val="35CD6FAB"/>
    <w:rsid w:val="372B3458"/>
    <w:rsid w:val="38F206A9"/>
    <w:rsid w:val="3A021ABB"/>
    <w:rsid w:val="3B1E0A4E"/>
    <w:rsid w:val="3C4C3565"/>
    <w:rsid w:val="3CD87164"/>
    <w:rsid w:val="3EC22C36"/>
    <w:rsid w:val="3F2178ED"/>
    <w:rsid w:val="40221875"/>
    <w:rsid w:val="40CF22D8"/>
    <w:rsid w:val="40DE5A90"/>
    <w:rsid w:val="48432269"/>
    <w:rsid w:val="49CD22B1"/>
    <w:rsid w:val="4B2E36E5"/>
    <w:rsid w:val="4B6F6CDD"/>
    <w:rsid w:val="4BA803B0"/>
    <w:rsid w:val="513452D4"/>
    <w:rsid w:val="52550505"/>
    <w:rsid w:val="52E54374"/>
    <w:rsid w:val="53C94A59"/>
    <w:rsid w:val="54BC79E2"/>
    <w:rsid w:val="565D051A"/>
    <w:rsid w:val="565F3365"/>
    <w:rsid w:val="5AB52E62"/>
    <w:rsid w:val="5DE244DD"/>
    <w:rsid w:val="602B3D62"/>
    <w:rsid w:val="66826EF4"/>
    <w:rsid w:val="66CC5785"/>
    <w:rsid w:val="6FF35572"/>
    <w:rsid w:val="733C4CD8"/>
    <w:rsid w:val="7EC03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qFormat/>
    <w:uiPriority w:val="0"/>
    <w:pPr>
      <w:ind w:firstLine="615"/>
    </w:pPr>
  </w:style>
  <w:style w:type="paragraph" w:styleId="4">
    <w:name w:val="Date"/>
    <w:basedOn w:val="1"/>
    <w:next w:val="1"/>
    <w:link w:val="12"/>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rPr>
  </w:style>
  <w:style w:type="paragraph" w:styleId="7">
    <w:name w:val="Normal (Web)"/>
    <w:basedOn w:val="1"/>
    <w:unhideWhenUsed/>
    <w:qFormat/>
    <w:uiPriority w:val="99"/>
    <w:pPr>
      <w:spacing w:beforeAutospacing="1" w:afterAutospacing="1" w:line="480" w:lineRule="exact"/>
      <w:jc w:val="left"/>
    </w:pPr>
    <w:rPr>
      <w:kern w:val="0"/>
      <w:sz w:val="24"/>
    </w:rPr>
  </w:style>
  <w:style w:type="character" w:styleId="10">
    <w:name w:val="Strong"/>
    <w:qFormat/>
    <w:uiPriority w:val="22"/>
    <w:rPr>
      <w:b/>
    </w:rPr>
  </w:style>
  <w:style w:type="character" w:styleId="11">
    <w:name w:val="page number"/>
    <w:basedOn w:val="9"/>
    <w:qFormat/>
    <w:uiPriority w:val="0"/>
  </w:style>
  <w:style w:type="character" w:customStyle="1" w:styleId="12">
    <w:name w:val="日期 Char"/>
    <w:link w:val="4"/>
    <w:qFormat/>
    <w:uiPriority w:val="0"/>
    <w:rPr>
      <w:rFonts w:eastAsia="仿宋_GB2312"/>
      <w:kern w:val="2"/>
      <w:sz w:val="32"/>
    </w:rPr>
  </w:style>
  <w:style w:type="paragraph" w:customStyle="1" w:styleId="1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14">
    <w:name w:val="Char"/>
    <w:basedOn w:val="1"/>
    <w:qFormat/>
    <w:uiPriority w:val="0"/>
    <w:pPr>
      <w:widowControl/>
      <w:spacing w:line="240" w:lineRule="exact"/>
      <w:jc w:val="left"/>
    </w:pPr>
    <w:rPr>
      <w:rFonts w:ascii="Verdana" w:hAnsi="Verdana" w:eastAsia="宋体" w:cs="Verdana"/>
      <w:kern w:val="0"/>
      <w:sz w:val="20"/>
      <w:lang w:eastAsia="en-US"/>
    </w:rPr>
  </w:style>
  <w:style w:type="paragraph" w:customStyle="1" w:styleId="15">
    <w:name w:val="Char1"/>
    <w:basedOn w:val="1"/>
    <w:qFormat/>
    <w:uiPriority w:val="0"/>
    <w:pPr>
      <w:widowControl/>
      <w:spacing w:line="240" w:lineRule="exact"/>
      <w:jc w:val="left"/>
    </w:pPr>
    <w:rPr>
      <w:rFonts w:ascii="Verdana" w:hAnsi="Verdana" w:eastAsia="宋体" w:cs="Verdana"/>
      <w:kern w:val="0"/>
      <w:sz w:val="20"/>
      <w:lang w:eastAsia="en-US"/>
    </w:rPr>
  </w:style>
  <w:style w:type="character" w:customStyle="1" w:styleId="16">
    <w:name w:val="页眉 Char"/>
    <w:basedOn w:val="9"/>
    <w:link w:val="6"/>
    <w:qFormat/>
    <w:uiPriority w:val="99"/>
    <w:rPr>
      <w:rFonts w:eastAsia="仿宋_GB2312"/>
      <w:kern w:val="2"/>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MA\AppData\Local\Kingsoft\WPS%20Office\12.1.0.22215\office6\1&#19968;&#33324;&#25991;&#20214;&#26684;&#2433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1一般文件格式.dot</Template>
  <Company>青岛市财政局</Company>
  <Pages>3</Pages>
  <Words>962</Words>
  <Characters>993</Characters>
  <Lines>7</Lines>
  <Paragraphs>2</Paragraphs>
  <TotalTime>6</TotalTime>
  <ScaleCrop>false</ScaleCrop>
  <LinksUpToDate>false</LinksUpToDate>
  <CharactersWithSpaces>1041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2023-07-10T02:39:00Z</dcterms:created>
  <dc:creator>CN=杜明n/OU=农业处/O=qdcz</dc:creator>
  <cp:lastModifiedBy>李婷</cp:lastModifiedBy>
  <cp:lastPrinted>2020-07-27T03:10:00Z</cp:lastPrinted>
  <dcterms:modified xsi:type="dcterms:W3CDTF">2026-08-11T01:34:15Z</dcterms:modified>
  <dc:title>青财[2000]号</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eyJoZGlkIjoiYmVkMTdkNTBiNTNmYzg0NmE4NGI2OTI3Mzc1YTE2YWUiLCJ1c2VySWQiOiIxNTY5OTA3Mzk2In0=</vt:lpwstr>
  </property>
  <property fmtid="{D5CDD505-2E9C-101B-9397-08002B2CF9AE}" pid="4" name="ICV">
    <vt:lpwstr>1859381E345E45FA8732937060744EB6_13</vt:lpwstr>
  </property>
</Properties>
</file>