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26126">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青岛市</w:t>
      </w:r>
      <w:r>
        <w:rPr>
          <w:rFonts w:hint="eastAsia" w:ascii="方正小标宋简体" w:hAnsi="方正小标宋简体" w:eastAsia="方正小标宋简体" w:cs="方正小标宋简体"/>
          <w:b w:val="0"/>
          <w:bCs w:val="0"/>
          <w:sz w:val="44"/>
          <w:szCs w:val="44"/>
          <w:lang w:eastAsia="zh-CN"/>
        </w:rPr>
        <w:t>体育局</w:t>
      </w:r>
      <w:r>
        <w:rPr>
          <w:rFonts w:hint="eastAsia" w:ascii="方正小标宋简体" w:hAnsi="方正小标宋简体" w:eastAsia="方正小标宋简体" w:cs="方正小标宋简体"/>
          <w:b w:val="0"/>
          <w:bCs w:val="0"/>
          <w:sz w:val="44"/>
          <w:szCs w:val="44"/>
        </w:rPr>
        <w:t>海上旅游运动船艇行政处罚裁量基准</w:t>
      </w:r>
    </w:p>
    <w:tbl>
      <w:tblPr>
        <w:tblStyle w:val="3"/>
        <w:tblpPr w:leftFromText="180" w:rightFromText="180" w:vertAnchor="text" w:horzAnchor="page" w:tblpX="1224" w:tblpY="541"/>
        <w:tblOverlap w:val="never"/>
        <w:tblW w:w="14640" w:type="dxa"/>
        <w:tblInd w:w="0" w:type="dxa"/>
        <w:tblLayout w:type="autofit"/>
        <w:tblCellMar>
          <w:top w:w="0" w:type="dxa"/>
          <w:left w:w="108" w:type="dxa"/>
          <w:bottom w:w="0" w:type="dxa"/>
          <w:right w:w="108" w:type="dxa"/>
        </w:tblCellMar>
      </w:tblPr>
      <w:tblGrid>
        <w:gridCol w:w="910"/>
        <w:gridCol w:w="1884"/>
        <w:gridCol w:w="2924"/>
        <w:gridCol w:w="2970"/>
        <w:gridCol w:w="1360"/>
        <w:gridCol w:w="2932"/>
        <w:gridCol w:w="1660"/>
      </w:tblGrid>
      <w:tr w14:paraId="3C5B8AA1">
        <w:tblPrEx>
          <w:tblCellMar>
            <w:top w:w="0" w:type="dxa"/>
            <w:left w:w="108" w:type="dxa"/>
            <w:bottom w:w="0" w:type="dxa"/>
            <w:right w:w="108" w:type="dxa"/>
          </w:tblCellMar>
        </w:tblPrEx>
        <w:trPr>
          <w:trHeight w:val="1061" w:hRule="atLeast"/>
        </w:trPr>
        <w:tc>
          <w:tcPr>
            <w:tcW w:w="910" w:type="dxa"/>
            <w:tcBorders>
              <w:top w:val="single" w:color="000000" w:sz="4" w:space="0"/>
              <w:left w:val="single" w:color="000000" w:sz="4" w:space="0"/>
              <w:right w:val="single" w:color="000000" w:sz="4" w:space="0"/>
            </w:tcBorders>
            <w:noWrap w:val="0"/>
            <w:vAlign w:val="center"/>
          </w:tcPr>
          <w:p w14:paraId="53268CD9">
            <w:pPr>
              <w:widowControl/>
              <w:jc w:val="center"/>
              <w:textAlignment w:val="top"/>
              <w:rPr>
                <w:rFonts w:ascii="黑体" w:hAnsi="黑体" w:eastAsia="黑体" w:cs="黑体"/>
                <w:sz w:val="30"/>
                <w:szCs w:val="30"/>
                <w:highlight w:val="none"/>
              </w:rPr>
            </w:pPr>
            <w:r>
              <w:rPr>
                <w:rFonts w:hint="eastAsia" w:ascii="黑体" w:hAnsi="黑体" w:eastAsia="黑体" w:cs="黑体"/>
                <w:kern w:val="0"/>
                <w:sz w:val="30"/>
                <w:szCs w:val="30"/>
                <w:highlight w:val="none"/>
              </w:rPr>
              <w:t>序号</w:t>
            </w:r>
          </w:p>
        </w:tc>
        <w:tc>
          <w:tcPr>
            <w:tcW w:w="1884" w:type="dxa"/>
            <w:tcBorders>
              <w:top w:val="single" w:color="000000" w:sz="4" w:space="0"/>
              <w:left w:val="single" w:color="000000" w:sz="4" w:space="0"/>
              <w:right w:val="single" w:color="000000" w:sz="4" w:space="0"/>
            </w:tcBorders>
            <w:noWrap w:val="0"/>
            <w:vAlign w:val="center"/>
          </w:tcPr>
          <w:p w14:paraId="41FE1038">
            <w:pPr>
              <w:widowControl/>
              <w:jc w:val="center"/>
              <w:textAlignment w:val="top"/>
              <w:rPr>
                <w:rFonts w:ascii="黑体" w:hAnsi="黑体" w:eastAsia="黑体" w:cs="黑体"/>
                <w:sz w:val="30"/>
                <w:szCs w:val="30"/>
                <w:highlight w:val="none"/>
              </w:rPr>
            </w:pPr>
            <w:r>
              <w:rPr>
                <w:rFonts w:hint="eastAsia" w:ascii="黑体" w:hAnsi="黑体" w:eastAsia="黑体" w:cs="黑体"/>
                <w:kern w:val="0"/>
                <w:sz w:val="30"/>
                <w:szCs w:val="30"/>
                <w:highlight w:val="none"/>
              </w:rPr>
              <w:t>违法行为</w:t>
            </w:r>
          </w:p>
        </w:tc>
        <w:tc>
          <w:tcPr>
            <w:tcW w:w="2924" w:type="dxa"/>
            <w:tcBorders>
              <w:top w:val="single" w:color="000000" w:sz="4" w:space="0"/>
              <w:left w:val="single" w:color="000000" w:sz="4" w:space="0"/>
              <w:right w:val="single" w:color="000000" w:sz="4" w:space="0"/>
            </w:tcBorders>
            <w:noWrap w:val="0"/>
            <w:vAlign w:val="center"/>
          </w:tcPr>
          <w:p w14:paraId="0FDF30A1">
            <w:pPr>
              <w:widowControl/>
              <w:jc w:val="center"/>
              <w:textAlignment w:val="top"/>
              <w:rPr>
                <w:rFonts w:ascii="黑体" w:hAnsi="黑体" w:eastAsia="黑体" w:cs="黑体"/>
                <w:sz w:val="30"/>
                <w:szCs w:val="30"/>
                <w:highlight w:val="none"/>
              </w:rPr>
            </w:pPr>
            <w:r>
              <w:rPr>
                <w:rFonts w:hint="eastAsia" w:ascii="黑体" w:hAnsi="黑体" w:eastAsia="黑体" w:cs="黑体"/>
                <w:kern w:val="0"/>
                <w:sz w:val="30"/>
                <w:szCs w:val="30"/>
                <w:highlight w:val="none"/>
              </w:rPr>
              <w:t>违法依据</w:t>
            </w:r>
          </w:p>
        </w:tc>
        <w:tc>
          <w:tcPr>
            <w:tcW w:w="2970" w:type="dxa"/>
            <w:tcBorders>
              <w:top w:val="single" w:color="000000" w:sz="4" w:space="0"/>
              <w:left w:val="single" w:color="000000" w:sz="4" w:space="0"/>
              <w:right w:val="single" w:color="000000" w:sz="4" w:space="0"/>
            </w:tcBorders>
            <w:noWrap w:val="0"/>
            <w:vAlign w:val="center"/>
          </w:tcPr>
          <w:p w14:paraId="129ABC78">
            <w:pPr>
              <w:widowControl/>
              <w:jc w:val="center"/>
              <w:textAlignment w:val="top"/>
              <w:rPr>
                <w:rFonts w:ascii="黑体" w:hAnsi="黑体" w:eastAsia="黑体" w:cs="黑体"/>
                <w:sz w:val="30"/>
                <w:szCs w:val="30"/>
                <w:highlight w:val="none"/>
              </w:rPr>
            </w:pPr>
            <w:r>
              <w:rPr>
                <w:rFonts w:hint="eastAsia" w:ascii="黑体" w:hAnsi="黑体" w:eastAsia="黑体" w:cs="黑体"/>
                <w:kern w:val="0"/>
                <w:sz w:val="30"/>
                <w:szCs w:val="30"/>
                <w:highlight w:val="none"/>
              </w:rPr>
              <w:t>处罚依据</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28A62F7D">
            <w:pPr>
              <w:widowControl/>
              <w:jc w:val="center"/>
              <w:textAlignment w:val="center"/>
              <w:rPr>
                <w:rFonts w:ascii="黑体" w:hAnsi="黑体" w:eastAsia="黑体" w:cs="黑体"/>
                <w:kern w:val="0"/>
                <w:sz w:val="30"/>
                <w:szCs w:val="30"/>
                <w:highlight w:val="none"/>
              </w:rPr>
            </w:pPr>
            <w:r>
              <w:rPr>
                <w:rFonts w:hint="eastAsia" w:ascii="黑体" w:hAnsi="黑体" w:eastAsia="黑体" w:cs="黑体"/>
                <w:sz w:val="30"/>
                <w:szCs w:val="30"/>
                <w:highlight w:val="none"/>
              </w:rPr>
              <w:t>裁量阶次</w:t>
            </w:r>
          </w:p>
        </w:tc>
        <w:tc>
          <w:tcPr>
            <w:tcW w:w="2932" w:type="dxa"/>
            <w:tcBorders>
              <w:top w:val="single" w:color="000000" w:sz="4" w:space="0"/>
              <w:left w:val="single" w:color="000000" w:sz="4" w:space="0"/>
              <w:right w:val="single" w:color="000000" w:sz="4" w:space="0"/>
            </w:tcBorders>
            <w:noWrap w:val="0"/>
            <w:vAlign w:val="center"/>
          </w:tcPr>
          <w:p w14:paraId="2B9EEC60">
            <w:pPr>
              <w:widowControl/>
              <w:jc w:val="center"/>
              <w:textAlignment w:val="center"/>
              <w:rPr>
                <w:rFonts w:ascii="黑体" w:hAnsi="黑体" w:eastAsia="黑体" w:cs="黑体"/>
                <w:sz w:val="30"/>
                <w:szCs w:val="30"/>
                <w:highlight w:val="none"/>
              </w:rPr>
            </w:pPr>
            <w:r>
              <w:rPr>
                <w:rFonts w:hint="eastAsia" w:ascii="黑体" w:hAnsi="黑体" w:eastAsia="黑体" w:cs="黑体"/>
                <w:kern w:val="0"/>
                <w:sz w:val="30"/>
                <w:szCs w:val="30"/>
                <w:highlight w:val="none"/>
              </w:rPr>
              <w:t>适用条件</w:t>
            </w:r>
          </w:p>
        </w:tc>
        <w:tc>
          <w:tcPr>
            <w:tcW w:w="1660" w:type="dxa"/>
            <w:tcBorders>
              <w:top w:val="single" w:color="000000" w:sz="4" w:space="0"/>
              <w:left w:val="single" w:color="000000" w:sz="4" w:space="0"/>
              <w:right w:val="single" w:color="000000" w:sz="4" w:space="0"/>
            </w:tcBorders>
            <w:noWrap w:val="0"/>
            <w:vAlign w:val="center"/>
          </w:tcPr>
          <w:p w14:paraId="471A583E">
            <w:pPr>
              <w:widowControl/>
              <w:jc w:val="center"/>
              <w:textAlignment w:val="center"/>
              <w:rPr>
                <w:rFonts w:ascii="黑体" w:hAnsi="黑体" w:eastAsia="黑体" w:cs="黑体"/>
                <w:sz w:val="30"/>
                <w:szCs w:val="30"/>
                <w:highlight w:val="none"/>
              </w:rPr>
            </w:pPr>
            <w:r>
              <w:rPr>
                <w:rFonts w:hint="eastAsia" w:ascii="黑体" w:hAnsi="黑体" w:eastAsia="黑体" w:cs="黑体"/>
                <w:kern w:val="0"/>
                <w:sz w:val="30"/>
                <w:szCs w:val="30"/>
                <w:highlight w:val="none"/>
              </w:rPr>
              <w:t>处罚标准</w:t>
            </w:r>
          </w:p>
        </w:tc>
      </w:tr>
      <w:tr w14:paraId="766EA0E0">
        <w:tblPrEx>
          <w:tblCellMar>
            <w:top w:w="0" w:type="dxa"/>
            <w:left w:w="108" w:type="dxa"/>
            <w:bottom w:w="0" w:type="dxa"/>
            <w:right w:w="108" w:type="dxa"/>
          </w:tblCellMar>
        </w:tblPrEx>
        <w:trPr>
          <w:trHeight w:val="1304" w:hRule="exact"/>
        </w:trPr>
        <w:tc>
          <w:tcPr>
            <w:tcW w:w="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04E8FF">
            <w:pPr>
              <w:widowControl/>
              <w:jc w:val="center"/>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1</w:t>
            </w:r>
          </w:p>
        </w:tc>
        <w:tc>
          <w:tcPr>
            <w:tcW w:w="18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E906F3C">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海上旅游运动船艇航行前，从业人员未指导游客正确穿着救生衣或者未向游客讲解安全注意事项。</w:t>
            </w:r>
          </w:p>
        </w:tc>
        <w:tc>
          <w:tcPr>
            <w:tcW w:w="29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BCCDF4C">
            <w:pPr>
              <w:widowControl/>
              <w:jc w:val="left"/>
              <w:textAlignment w:val="top"/>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《青岛市海上旅游运动船艇管理办法》（2024年4月1日青岛市政府令发布）第二十一条：海上旅游运动船艇航行前，从业人员应当指导游客正确穿着救生衣，讲解海上旅游安全注意事项。</w:t>
            </w:r>
          </w:p>
        </w:tc>
        <w:tc>
          <w:tcPr>
            <w:tcW w:w="2970" w:type="dxa"/>
            <w:vMerge w:val="restart"/>
            <w:tcBorders>
              <w:top w:val="single" w:color="000000" w:sz="4" w:space="0"/>
              <w:left w:val="single" w:color="000000" w:sz="4" w:space="0"/>
              <w:bottom w:val="single" w:color="000000" w:sz="4" w:space="0"/>
              <w:right w:val="single" w:color="000000" w:sz="4" w:space="0"/>
            </w:tcBorders>
            <w:noWrap w:val="0"/>
            <w:vAlign w:val="center"/>
          </w:tcPr>
          <w:p w14:paraId="47BDCAFD">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青岛市海上旅游运动船艇管理办法》（2024年4月1日青岛市政府令发布）第三十二条：海上旅游运动船艇经营者违反本办法第二十一条第一款规定，航行前未指导游客正确穿着救生衣或者未向游客讲解安全注意事项的，由市体育行政部门或者沿海区（市）人民政府确定的部门责令改正，并处5000元以上3万元以下罚款。</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24C79F5E">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不予处罚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47E5CFD3">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lang w:val="en-US" w:eastAsia="zh-CN"/>
              </w:rPr>
              <w:t>违法行为轻微并及时改正，没有造成不良社会影响和危害后果。</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082C310">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不予行政处罚</w:t>
            </w:r>
          </w:p>
        </w:tc>
      </w:tr>
      <w:tr w14:paraId="347363CD">
        <w:tblPrEx>
          <w:tblCellMar>
            <w:top w:w="0" w:type="dxa"/>
            <w:left w:w="108" w:type="dxa"/>
            <w:bottom w:w="0" w:type="dxa"/>
            <w:right w:w="108" w:type="dxa"/>
          </w:tblCellMar>
        </w:tblPrEx>
        <w:trPr>
          <w:trHeight w:val="1304" w:hRule="exact"/>
        </w:trPr>
        <w:tc>
          <w:tcPr>
            <w:tcW w:w="910" w:type="dxa"/>
            <w:vMerge w:val="continue"/>
            <w:tcBorders>
              <w:left w:val="single" w:color="000000" w:sz="4" w:space="0"/>
              <w:right w:val="single" w:color="000000" w:sz="4" w:space="0"/>
            </w:tcBorders>
            <w:noWrap w:val="0"/>
            <w:vAlign w:val="center"/>
          </w:tcPr>
          <w:p w14:paraId="40DC204A">
            <w:pPr>
              <w:widowControl/>
              <w:jc w:val="center"/>
              <w:textAlignment w:val="top"/>
              <w:rPr>
                <w:rFonts w:hint="eastAsia" w:ascii="仿宋_GB2312" w:hAnsi="仿宋_GB2312" w:eastAsia="仿宋_GB2312" w:cs="仿宋_GB2312"/>
                <w:kern w:val="0"/>
                <w:sz w:val="24"/>
                <w:highlight w:val="none"/>
              </w:rPr>
            </w:pPr>
          </w:p>
        </w:tc>
        <w:tc>
          <w:tcPr>
            <w:tcW w:w="1884" w:type="dxa"/>
            <w:vMerge w:val="continue"/>
            <w:tcBorders>
              <w:left w:val="single" w:color="000000" w:sz="4" w:space="0"/>
              <w:right w:val="single" w:color="000000" w:sz="4" w:space="0"/>
            </w:tcBorders>
            <w:noWrap w:val="0"/>
            <w:vAlign w:val="center"/>
          </w:tcPr>
          <w:p w14:paraId="1678E8D7">
            <w:pPr>
              <w:widowControl/>
              <w:jc w:val="left"/>
              <w:textAlignment w:val="top"/>
              <w:rPr>
                <w:rFonts w:hint="eastAsia" w:ascii="仿宋_GB2312" w:hAnsi="仿宋_GB2312" w:eastAsia="仿宋_GB2312" w:cs="仿宋_GB2312"/>
                <w:sz w:val="24"/>
                <w:highlight w:val="none"/>
              </w:rPr>
            </w:pPr>
          </w:p>
        </w:tc>
        <w:tc>
          <w:tcPr>
            <w:tcW w:w="2924" w:type="dxa"/>
            <w:vMerge w:val="continue"/>
            <w:tcBorders>
              <w:left w:val="single" w:color="000000" w:sz="4" w:space="0"/>
              <w:right w:val="single" w:color="000000" w:sz="4" w:space="0"/>
            </w:tcBorders>
            <w:noWrap w:val="0"/>
            <w:vAlign w:val="center"/>
          </w:tcPr>
          <w:p w14:paraId="02ADA969">
            <w:pPr>
              <w:widowControl/>
              <w:jc w:val="left"/>
              <w:textAlignment w:val="top"/>
              <w:rPr>
                <w:rFonts w:hint="eastAsia" w:ascii="仿宋_GB2312" w:hAnsi="仿宋_GB2312" w:eastAsia="仿宋_GB2312" w:cs="仿宋_GB2312"/>
                <w:kern w:val="0"/>
                <w:sz w:val="24"/>
                <w:highlight w:val="none"/>
              </w:rPr>
            </w:pPr>
          </w:p>
        </w:tc>
        <w:tc>
          <w:tcPr>
            <w:tcW w:w="2970" w:type="dxa"/>
            <w:vMerge w:val="continue"/>
            <w:tcBorders>
              <w:left w:val="single" w:color="000000" w:sz="4" w:space="0"/>
              <w:right w:val="single" w:color="000000" w:sz="4" w:space="0"/>
            </w:tcBorders>
            <w:noWrap w:val="0"/>
            <w:vAlign w:val="center"/>
          </w:tcPr>
          <w:p w14:paraId="32E94946">
            <w:pPr>
              <w:widowControl/>
              <w:jc w:val="left"/>
              <w:textAlignment w:val="top"/>
              <w:rPr>
                <w:rFonts w:hint="eastAsia" w:ascii="仿宋_GB2312" w:hAnsi="仿宋_GB2312" w:eastAsia="仿宋_GB2312" w:cs="仿宋_GB2312"/>
                <w:kern w:val="0"/>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69ED5164">
            <w:pPr>
              <w:widowControl/>
              <w:jc w:val="center"/>
              <w:textAlignment w:val="center"/>
              <w:rPr>
                <w:rFonts w:hint="default" w:ascii="仿宋_GB2312" w:hAnsi="仿宋_GB2312" w:eastAsia="仿宋_GB2312" w:cs="仿宋_GB2312"/>
                <w:kern w:val="0"/>
                <w:sz w:val="24"/>
                <w:highlight w:val="none"/>
                <w:lang w:val="en-US" w:eastAsia="zh-CN"/>
              </w:rPr>
            </w:pPr>
            <w:r>
              <w:rPr>
                <w:rFonts w:hint="eastAsia" w:ascii="仿宋_GB2312" w:hAnsi="仿宋_GB2312" w:eastAsia="仿宋_GB2312" w:cs="仿宋_GB2312"/>
                <w:kern w:val="0"/>
                <w:sz w:val="24"/>
                <w:highlight w:val="none"/>
                <w:lang w:val="en-US" w:eastAsia="zh-CN"/>
              </w:rPr>
              <w:t>免予处罚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1038CED9">
            <w:pPr>
              <w:widowControl/>
              <w:jc w:val="both"/>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初次违法且危害后果轻微并及时改正。</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86933A9">
            <w:pPr>
              <w:widowControl/>
              <w:jc w:val="left"/>
              <w:textAlignment w:val="top"/>
              <w:rPr>
                <w:rFonts w:hint="default" w:ascii="仿宋_GB2312" w:hAnsi="仿宋_GB2312" w:eastAsia="仿宋_GB2312" w:cs="仿宋_GB2312"/>
                <w:kern w:val="0"/>
                <w:sz w:val="24"/>
                <w:highlight w:val="none"/>
                <w:lang w:val="en-US" w:eastAsia="zh-CN"/>
              </w:rPr>
            </w:pPr>
            <w:r>
              <w:rPr>
                <w:rFonts w:hint="eastAsia" w:ascii="仿宋_GB2312" w:hAnsi="仿宋_GB2312" w:eastAsia="仿宋_GB2312" w:cs="仿宋_GB2312"/>
                <w:kern w:val="0"/>
                <w:sz w:val="24"/>
                <w:highlight w:val="none"/>
                <w:lang w:val="en-US" w:eastAsia="zh-CN"/>
              </w:rPr>
              <w:t>免予行政处罚</w:t>
            </w:r>
          </w:p>
        </w:tc>
      </w:tr>
      <w:tr w14:paraId="20C65212">
        <w:tblPrEx>
          <w:tblCellMar>
            <w:top w:w="0" w:type="dxa"/>
            <w:left w:w="108" w:type="dxa"/>
            <w:bottom w:w="0" w:type="dxa"/>
            <w:right w:w="108" w:type="dxa"/>
          </w:tblCellMar>
        </w:tblPrEx>
        <w:trPr>
          <w:trHeight w:val="1304"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5AA57">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B7E2B">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3B0321D1">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33087593">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30BFE2F7">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从轻处罚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5D7F1D2A">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初次实施本违法行为，虽然能够及时改正，但是仍然造成不良社会影响。</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761493C">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处5000元以上1万元以下罚款</w:t>
            </w:r>
          </w:p>
        </w:tc>
      </w:tr>
      <w:tr w14:paraId="1B1C53DE">
        <w:tblPrEx>
          <w:tblCellMar>
            <w:top w:w="0" w:type="dxa"/>
            <w:left w:w="108" w:type="dxa"/>
            <w:bottom w:w="0" w:type="dxa"/>
            <w:right w:w="108" w:type="dxa"/>
          </w:tblCellMar>
        </w:tblPrEx>
        <w:trPr>
          <w:trHeight w:val="1304"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70F3D">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08C06">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4D5C80AC">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3FDB2852">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48A84272">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一般处罚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702D2C04">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实施本违法行为2次以上造成不良社会影响或拒不改正，违法行为处于持续状态。</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6D26401">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处1万元以上2万元以下罚款</w:t>
            </w:r>
          </w:p>
        </w:tc>
      </w:tr>
      <w:tr w14:paraId="7B4E5518">
        <w:tblPrEx>
          <w:tblCellMar>
            <w:top w:w="0" w:type="dxa"/>
            <w:left w:w="108" w:type="dxa"/>
            <w:bottom w:w="0" w:type="dxa"/>
            <w:right w:w="108" w:type="dxa"/>
          </w:tblCellMar>
        </w:tblPrEx>
        <w:trPr>
          <w:trHeight w:val="1304"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9BF74">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EFBD3">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5A4D89B2">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102F7C7A">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30B0D146">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从重处罚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78B71AC4">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lang w:val="en-US" w:eastAsia="zh-CN"/>
              </w:rPr>
              <w:t>因实施同类行为受过行政处罚或</w:t>
            </w:r>
            <w:r>
              <w:rPr>
                <w:rFonts w:hint="eastAsia" w:ascii="仿宋_GB2312" w:hAnsi="仿宋_GB2312" w:eastAsia="仿宋_GB2312" w:cs="仿宋_GB2312"/>
                <w:kern w:val="0"/>
                <w:sz w:val="24"/>
                <w:highlight w:val="none"/>
              </w:rPr>
              <w:t>实施本违法行为，造成</w:t>
            </w:r>
            <w:r>
              <w:rPr>
                <w:rFonts w:hint="eastAsia" w:ascii="仿宋_GB2312" w:hAnsi="仿宋_GB2312" w:eastAsia="仿宋_GB2312" w:cs="仿宋_GB2312"/>
                <w:kern w:val="0"/>
                <w:sz w:val="24"/>
                <w:highlight w:val="none"/>
                <w:lang w:val="en-US" w:eastAsia="zh-CN"/>
              </w:rPr>
              <w:t>人员伤亡、较大财产损失等</w:t>
            </w:r>
            <w:r>
              <w:rPr>
                <w:rFonts w:hint="eastAsia" w:ascii="仿宋_GB2312" w:hAnsi="仿宋_GB2312" w:eastAsia="仿宋_GB2312" w:cs="仿宋_GB2312"/>
                <w:kern w:val="0"/>
                <w:sz w:val="24"/>
                <w:highlight w:val="none"/>
              </w:rPr>
              <w:t>严重危害后果。</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A87EC20">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处2万元以上3万元以下罚款</w:t>
            </w:r>
          </w:p>
        </w:tc>
      </w:tr>
      <w:tr w14:paraId="12A7A2BC">
        <w:tblPrEx>
          <w:tblCellMar>
            <w:top w:w="0" w:type="dxa"/>
            <w:left w:w="108" w:type="dxa"/>
            <w:bottom w:w="0" w:type="dxa"/>
            <w:right w:w="108" w:type="dxa"/>
          </w:tblCellMar>
        </w:tblPrEx>
        <w:trPr>
          <w:trHeight w:val="1417" w:hRule="exact"/>
        </w:trPr>
        <w:tc>
          <w:tcPr>
            <w:tcW w:w="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0D2ED9">
            <w:pPr>
              <w:widowControl/>
              <w:jc w:val="center"/>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2</w:t>
            </w:r>
          </w:p>
        </w:tc>
        <w:tc>
          <w:tcPr>
            <w:tcW w:w="18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AFB1CBE">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海上旅游运动船艇载客数量超过核定范围</w:t>
            </w:r>
            <w:r>
              <w:rPr>
                <w:rFonts w:hint="eastAsia" w:ascii="仿宋_GB2312" w:hAnsi="仿宋_GB2312" w:eastAsia="仿宋_GB2312" w:cs="仿宋_GB2312"/>
                <w:sz w:val="24"/>
                <w:highlight w:val="none"/>
              </w:rPr>
              <w:t>。</w:t>
            </w:r>
          </w:p>
        </w:tc>
        <w:tc>
          <w:tcPr>
            <w:tcW w:w="2924" w:type="dxa"/>
            <w:vMerge w:val="restart"/>
            <w:tcBorders>
              <w:top w:val="single" w:color="000000" w:sz="4" w:space="0"/>
              <w:left w:val="single" w:color="000000" w:sz="4" w:space="0"/>
              <w:bottom w:val="single" w:color="000000" w:sz="4" w:space="0"/>
              <w:right w:val="single" w:color="000000" w:sz="4" w:space="0"/>
            </w:tcBorders>
            <w:noWrap w:val="0"/>
            <w:vAlign w:val="center"/>
          </w:tcPr>
          <w:p w14:paraId="037FA817">
            <w:pPr>
              <w:widowControl/>
              <w:jc w:val="left"/>
              <w:textAlignment w:val="top"/>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《青岛市海上旅游运动船艇管理办法》（2024年4月1日青岛市政府令发布）第二十四条：海上旅游运动船艇应当遵守下列安全航行规定：（三）在核定的载客数量范围内载客。</w:t>
            </w:r>
          </w:p>
          <w:p w14:paraId="6FC07203">
            <w:pPr>
              <w:widowControl/>
              <w:jc w:val="left"/>
              <w:textAlignment w:val="top"/>
              <w:rPr>
                <w:rFonts w:ascii="仿宋_GB2312" w:hAnsi="仿宋_GB2312" w:eastAsia="仿宋_GB2312" w:cs="仿宋_GB2312"/>
                <w:kern w:val="0"/>
                <w:sz w:val="24"/>
                <w:highlight w:val="none"/>
              </w:rPr>
            </w:pPr>
          </w:p>
        </w:tc>
        <w:tc>
          <w:tcPr>
            <w:tcW w:w="2970" w:type="dxa"/>
            <w:vMerge w:val="restart"/>
            <w:tcBorders>
              <w:top w:val="single" w:color="000000" w:sz="4" w:space="0"/>
              <w:left w:val="single" w:color="000000" w:sz="4" w:space="0"/>
              <w:bottom w:val="single" w:color="000000" w:sz="4" w:space="0"/>
              <w:right w:val="single" w:color="000000" w:sz="4" w:space="0"/>
            </w:tcBorders>
            <w:noWrap w:val="0"/>
            <w:vAlign w:val="center"/>
          </w:tcPr>
          <w:p w14:paraId="3F24D1DA">
            <w:pPr>
              <w:widowControl/>
              <w:jc w:val="left"/>
              <w:textAlignment w:val="top"/>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青岛市海上旅游运动船艇管理办法》（2024年4月1日青岛市政府令发布）第三十三条：海上旅游运动船艇经营者违反本办法第二十四条第三项、第四项规定，载客数量超过核定范围或者在日落后日出前航行的，由市体育行政部门或者沿海区（市）人民政府确定的部门责令改正，并处1万元以上3万元以下的罚款。</w:t>
            </w:r>
          </w:p>
          <w:p w14:paraId="538854F8">
            <w:pPr>
              <w:widowControl/>
              <w:jc w:val="left"/>
              <w:textAlignment w:val="top"/>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0F4C36C7">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不予处罚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15C5F20F">
            <w:pPr>
              <w:widowControl/>
              <w:jc w:val="both"/>
              <w:textAlignment w:val="center"/>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载客数量不超过核定范围10%并且及时改正，没有造成不良社会影响和危害后果。</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DBBBD74">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不予行政处罚</w:t>
            </w:r>
          </w:p>
        </w:tc>
      </w:tr>
      <w:tr w14:paraId="415FA819">
        <w:tblPrEx>
          <w:tblCellMar>
            <w:top w:w="0" w:type="dxa"/>
            <w:left w:w="108" w:type="dxa"/>
            <w:bottom w:w="0" w:type="dxa"/>
            <w:right w:w="108" w:type="dxa"/>
          </w:tblCellMar>
        </w:tblPrEx>
        <w:trPr>
          <w:trHeight w:val="1417" w:hRule="exact"/>
        </w:trPr>
        <w:tc>
          <w:tcPr>
            <w:tcW w:w="910" w:type="dxa"/>
            <w:vMerge w:val="continue"/>
            <w:tcBorders>
              <w:left w:val="single" w:color="000000" w:sz="4" w:space="0"/>
              <w:right w:val="single" w:color="000000" w:sz="4" w:space="0"/>
            </w:tcBorders>
            <w:noWrap w:val="0"/>
            <w:vAlign w:val="center"/>
          </w:tcPr>
          <w:p w14:paraId="45BB2455">
            <w:pPr>
              <w:widowControl/>
              <w:jc w:val="center"/>
              <w:textAlignment w:val="top"/>
              <w:rPr>
                <w:rFonts w:hint="eastAsia" w:ascii="仿宋_GB2312" w:hAnsi="仿宋_GB2312" w:eastAsia="仿宋_GB2312" w:cs="仿宋_GB2312"/>
                <w:kern w:val="0"/>
                <w:sz w:val="24"/>
                <w:highlight w:val="none"/>
              </w:rPr>
            </w:pPr>
          </w:p>
        </w:tc>
        <w:tc>
          <w:tcPr>
            <w:tcW w:w="1884" w:type="dxa"/>
            <w:vMerge w:val="continue"/>
            <w:tcBorders>
              <w:left w:val="single" w:color="000000" w:sz="4" w:space="0"/>
              <w:right w:val="single" w:color="000000" w:sz="4" w:space="0"/>
            </w:tcBorders>
            <w:noWrap w:val="0"/>
            <w:vAlign w:val="center"/>
          </w:tcPr>
          <w:p w14:paraId="1641CBCF">
            <w:pPr>
              <w:widowControl/>
              <w:jc w:val="left"/>
              <w:textAlignment w:val="top"/>
              <w:rPr>
                <w:rFonts w:hint="eastAsia" w:ascii="仿宋_GB2312" w:hAnsi="仿宋_GB2312" w:eastAsia="仿宋_GB2312" w:cs="仿宋_GB2312"/>
                <w:kern w:val="0"/>
                <w:sz w:val="24"/>
                <w:highlight w:val="none"/>
              </w:rPr>
            </w:pPr>
          </w:p>
        </w:tc>
        <w:tc>
          <w:tcPr>
            <w:tcW w:w="2924" w:type="dxa"/>
            <w:vMerge w:val="continue"/>
            <w:tcBorders>
              <w:left w:val="single" w:color="000000" w:sz="4" w:space="0"/>
              <w:right w:val="single" w:color="000000" w:sz="4" w:space="0"/>
            </w:tcBorders>
            <w:noWrap w:val="0"/>
            <w:vAlign w:val="center"/>
          </w:tcPr>
          <w:p w14:paraId="623E0CC0">
            <w:pPr>
              <w:widowControl/>
              <w:jc w:val="left"/>
              <w:textAlignment w:val="top"/>
              <w:rPr>
                <w:rFonts w:ascii="仿宋_GB2312" w:hAnsi="仿宋_GB2312" w:eastAsia="仿宋_GB2312" w:cs="仿宋_GB2312"/>
                <w:kern w:val="0"/>
                <w:sz w:val="24"/>
                <w:highlight w:val="none"/>
              </w:rPr>
            </w:pPr>
          </w:p>
        </w:tc>
        <w:tc>
          <w:tcPr>
            <w:tcW w:w="2970" w:type="dxa"/>
            <w:vMerge w:val="continue"/>
            <w:tcBorders>
              <w:left w:val="single" w:color="000000" w:sz="4" w:space="0"/>
              <w:right w:val="single" w:color="000000" w:sz="4" w:space="0"/>
            </w:tcBorders>
            <w:noWrap w:val="0"/>
            <w:vAlign w:val="center"/>
          </w:tcPr>
          <w:p w14:paraId="5EBC90ED">
            <w:pPr>
              <w:widowControl/>
              <w:jc w:val="left"/>
              <w:textAlignment w:val="top"/>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3CC553C2">
            <w:pPr>
              <w:widowControl/>
              <w:jc w:val="center"/>
              <w:textAlignment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免予处罚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5492A01E">
            <w:pPr>
              <w:widowControl/>
              <w:jc w:val="both"/>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初次违法且危害后果轻微并及时改正。</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1E5A871">
            <w:pPr>
              <w:widowControl/>
              <w:jc w:val="left"/>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免予行政处罚</w:t>
            </w:r>
          </w:p>
        </w:tc>
      </w:tr>
      <w:tr w14:paraId="43062A36">
        <w:tblPrEx>
          <w:tblCellMar>
            <w:top w:w="0" w:type="dxa"/>
            <w:left w:w="108" w:type="dxa"/>
            <w:bottom w:w="0" w:type="dxa"/>
            <w:right w:w="108" w:type="dxa"/>
          </w:tblCellMar>
        </w:tblPrEx>
        <w:trPr>
          <w:trHeight w:val="1417"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1E3637">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B7B01">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171B2204">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43ADAFF9">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2E63CFB5">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从轻处罚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792C8F75">
            <w:pPr>
              <w:widowControl/>
              <w:jc w:val="both"/>
              <w:textAlignment w:val="center"/>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载客数量超过核定范围10%，不超过30%。</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58A39E1">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处1万元以上15000元以下罚款</w:t>
            </w:r>
          </w:p>
        </w:tc>
      </w:tr>
      <w:tr w14:paraId="17AC20FF">
        <w:tblPrEx>
          <w:tblCellMar>
            <w:top w:w="0" w:type="dxa"/>
            <w:left w:w="108" w:type="dxa"/>
            <w:bottom w:w="0" w:type="dxa"/>
            <w:right w:w="108" w:type="dxa"/>
          </w:tblCellMar>
        </w:tblPrEx>
        <w:trPr>
          <w:trHeight w:val="1417"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D6850">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AE6B4">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5B0BAD01">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1CA9A5AD">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3FF1D3BA">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一般处罚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606C38DB">
            <w:pPr>
              <w:widowControl/>
              <w:jc w:val="both"/>
              <w:textAlignment w:val="center"/>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载客数量超过核定范围30%，不超过50%。</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76D8534">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处15000元以上2万元以下罚款</w:t>
            </w:r>
          </w:p>
        </w:tc>
      </w:tr>
      <w:tr w14:paraId="73506CAB">
        <w:tblPrEx>
          <w:tblCellMar>
            <w:top w:w="0" w:type="dxa"/>
            <w:left w:w="108" w:type="dxa"/>
            <w:bottom w:w="0" w:type="dxa"/>
            <w:right w:w="108" w:type="dxa"/>
          </w:tblCellMar>
        </w:tblPrEx>
        <w:trPr>
          <w:trHeight w:val="1474"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F4D3F">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11FBC">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1AA18D4A">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142E5367">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3BF721BC">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从重处罚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178C1929">
            <w:pPr>
              <w:widowControl/>
              <w:jc w:val="both"/>
              <w:textAlignment w:val="center"/>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超过载客数量核定范围造成严重危害后果或者载客数量超过核定范围50%。</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EBB5638">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处2万元以上3万元以下罚款</w:t>
            </w:r>
          </w:p>
        </w:tc>
      </w:tr>
      <w:tr w14:paraId="00E08A50">
        <w:tblPrEx>
          <w:tblCellMar>
            <w:top w:w="0" w:type="dxa"/>
            <w:left w:w="108" w:type="dxa"/>
            <w:bottom w:w="0" w:type="dxa"/>
            <w:right w:w="108" w:type="dxa"/>
          </w:tblCellMar>
        </w:tblPrEx>
        <w:trPr>
          <w:trHeight w:val="1531" w:hRule="exact"/>
        </w:trPr>
        <w:tc>
          <w:tcPr>
            <w:tcW w:w="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81D63E2">
            <w:pPr>
              <w:widowControl/>
              <w:jc w:val="center"/>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3</w:t>
            </w:r>
          </w:p>
        </w:tc>
        <w:tc>
          <w:tcPr>
            <w:tcW w:w="18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372CA1A">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海上旅游运动船艇在日落后日出前航行</w:t>
            </w:r>
            <w:r>
              <w:rPr>
                <w:rFonts w:hint="eastAsia" w:ascii="仿宋_GB2312" w:hAnsi="仿宋_GB2312" w:eastAsia="仿宋_GB2312" w:cs="仿宋_GB2312"/>
                <w:sz w:val="24"/>
                <w:highlight w:val="none"/>
              </w:rPr>
              <w:t>。</w:t>
            </w:r>
          </w:p>
        </w:tc>
        <w:tc>
          <w:tcPr>
            <w:tcW w:w="29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9960DC5">
            <w:pPr>
              <w:widowControl/>
              <w:jc w:val="left"/>
              <w:textAlignment w:val="top"/>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 xml:space="preserve">《青岛市海上旅游运动船艇管理办法》（2024年4月1日青岛市政府令发布）第二十四条：海上旅游运动船艇应当遵守下列安全航行规定：（四）在日出后日落前航行。  </w:t>
            </w:r>
          </w:p>
        </w:tc>
        <w:tc>
          <w:tcPr>
            <w:tcW w:w="297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8CBED">
            <w:pPr>
              <w:widowControl/>
              <w:jc w:val="left"/>
              <w:textAlignment w:val="top"/>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青岛市海上旅游运动船艇管理办法》（2024年4月1日青岛市政府令发布）第三十三条：海上旅游运动船艇经营者违反本办法第二十四条第三项、第四项规定，载客数量超过核定范围或者在日落后日出前航行的，由市体育行政部门或者沿海区（市）人民政府确定的部门责令改正，并处1万元以上3万元以下的罚款。</w:t>
            </w:r>
          </w:p>
          <w:p w14:paraId="36EDD6F7">
            <w:pPr>
              <w:widowControl/>
              <w:jc w:val="left"/>
              <w:textAlignment w:val="top"/>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6B9587E6">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不予处罚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6059BE67">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lang w:val="en-US" w:eastAsia="zh-CN"/>
              </w:rPr>
              <w:t>违法行为轻微并及时改正，没有造成不良社会影响和危害后果。</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D8DC9FF">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不予行政处罚</w:t>
            </w:r>
          </w:p>
        </w:tc>
      </w:tr>
      <w:tr w14:paraId="4A150531">
        <w:tblPrEx>
          <w:tblCellMar>
            <w:top w:w="0" w:type="dxa"/>
            <w:left w:w="108" w:type="dxa"/>
            <w:bottom w:w="0" w:type="dxa"/>
            <w:right w:w="108" w:type="dxa"/>
          </w:tblCellMar>
        </w:tblPrEx>
        <w:trPr>
          <w:trHeight w:val="1531" w:hRule="exact"/>
        </w:trPr>
        <w:tc>
          <w:tcPr>
            <w:tcW w:w="910" w:type="dxa"/>
            <w:vMerge w:val="continue"/>
            <w:tcBorders>
              <w:left w:val="single" w:color="000000" w:sz="4" w:space="0"/>
              <w:right w:val="single" w:color="000000" w:sz="4" w:space="0"/>
            </w:tcBorders>
            <w:noWrap w:val="0"/>
            <w:vAlign w:val="center"/>
          </w:tcPr>
          <w:p w14:paraId="65647442">
            <w:pPr>
              <w:widowControl/>
              <w:jc w:val="center"/>
              <w:textAlignment w:val="top"/>
              <w:rPr>
                <w:rFonts w:hint="eastAsia" w:ascii="仿宋_GB2312" w:hAnsi="仿宋_GB2312" w:eastAsia="仿宋_GB2312" w:cs="仿宋_GB2312"/>
                <w:kern w:val="0"/>
                <w:sz w:val="24"/>
                <w:highlight w:val="none"/>
              </w:rPr>
            </w:pPr>
          </w:p>
        </w:tc>
        <w:tc>
          <w:tcPr>
            <w:tcW w:w="1884" w:type="dxa"/>
            <w:vMerge w:val="continue"/>
            <w:tcBorders>
              <w:left w:val="single" w:color="000000" w:sz="4" w:space="0"/>
              <w:right w:val="single" w:color="000000" w:sz="4" w:space="0"/>
            </w:tcBorders>
            <w:noWrap w:val="0"/>
            <w:vAlign w:val="center"/>
          </w:tcPr>
          <w:p w14:paraId="28EB97AD">
            <w:pPr>
              <w:widowControl/>
              <w:jc w:val="left"/>
              <w:textAlignment w:val="top"/>
              <w:rPr>
                <w:rFonts w:hint="eastAsia" w:ascii="仿宋_GB2312" w:hAnsi="仿宋_GB2312" w:eastAsia="仿宋_GB2312" w:cs="仿宋_GB2312"/>
                <w:kern w:val="0"/>
                <w:sz w:val="24"/>
                <w:highlight w:val="none"/>
              </w:rPr>
            </w:pPr>
          </w:p>
        </w:tc>
        <w:tc>
          <w:tcPr>
            <w:tcW w:w="2924" w:type="dxa"/>
            <w:vMerge w:val="continue"/>
            <w:tcBorders>
              <w:left w:val="single" w:color="000000" w:sz="4" w:space="0"/>
              <w:right w:val="single" w:color="000000" w:sz="4" w:space="0"/>
            </w:tcBorders>
            <w:noWrap w:val="0"/>
            <w:vAlign w:val="center"/>
          </w:tcPr>
          <w:p w14:paraId="094E5A76">
            <w:pPr>
              <w:widowControl/>
              <w:jc w:val="left"/>
              <w:textAlignment w:val="top"/>
              <w:rPr>
                <w:rFonts w:hint="eastAsia" w:ascii="仿宋_GB2312" w:hAnsi="仿宋_GB2312" w:eastAsia="仿宋_GB2312" w:cs="仿宋_GB2312"/>
                <w:kern w:val="0"/>
                <w:sz w:val="24"/>
                <w:highlight w:val="none"/>
              </w:rPr>
            </w:pPr>
          </w:p>
        </w:tc>
        <w:tc>
          <w:tcPr>
            <w:tcW w:w="2970" w:type="dxa"/>
            <w:vMerge w:val="continue"/>
            <w:tcBorders>
              <w:left w:val="single" w:color="000000" w:sz="4" w:space="0"/>
              <w:right w:val="single" w:color="000000" w:sz="4" w:space="0"/>
            </w:tcBorders>
            <w:noWrap w:val="0"/>
            <w:vAlign w:val="center"/>
          </w:tcPr>
          <w:p w14:paraId="50AEE49C">
            <w:pPr>
              <w:widowControl/>
              <w:jc w:val="left"/>
              <w:textAlignment w:val="top"/>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2CB10260">
            <w:pPr>
              <w:widowControl/>
              <w:jc w:val="center"/>
              <w:textAlignment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免予处罚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1E26760A">
            <w:pPr>
              <w:widowControl/>
              <w:jc w:val="both"/>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初次违法且危害后果轻微并及时改正。</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8AEB4FD">
            <w:pPr>
              <w:widowControl/>
              <w:jc w:val="left"/>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免予行政处罚</w:t>
            </w:r>
          </w:p>
        </w:tc>
      </w:tr>
      <w:tr w14:paraId="78C77E58">
        <w:tblPrEx>
          <w:tblCellMar>
            <w:top w:w="0" w:type="dxa"/>
            <w:left w:w="108" w:type="dxa"/>
            <w:bottom w:w="0" w:type="dxa"/>
            <w:right w:w="108" w:type="dxa"/>
          </w:tblCellMar>
        </w:tblPrEx>
        <w:trPr>
          <w:trHeight w:val="1531"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8AB55">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E8BF4">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43581BB3">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3ED1F383">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6441E1AE">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从轻处罚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6AC4E96C">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初次实施本违法行为，虽然能够及时改正，但是仍然造成不良社会影响。</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9472B8E">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处1万元以上15000元以下罚款</w:t>
            </w:r>
          </w:p>
        </w:tc>
      </w:tr>
      <w:tr w14:paraId="26BB06D6">
        <w:tblPrEx>
          <w:tblCellMar>
            <w:top w:w="0" w:type="dxa"/>
            <w:left w:w="108" w:type="dxa"/>
            <w:bottom w:w="0" w:type="dxa"/>
            <w:right w:w="108" w:type="dxa"/>
          </w:tblCellMar>
        </w:tblPrEx>
        <w:trPr>
          <w:trHeight w:val="1531"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AEEA4">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BEA96">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101E1DE1">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0716CE53">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2C080861">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一般处罚</w:t>
            </w:r>
          </w:p>
        </w:tc>
        <w:tc>
          <w:tcPr>
            <w:tcW w:w="2932" w:type="dxa"/>
            <w:tcBorders>
              <w:top w:val="single" w:color="000000" w:sz="4" w:space="0"/>
              <w:left w:val="single" w:color="000000" w:sz="4" w:space="0"/>
              <w:bottom w:val="single" w:color="000000" w:sz="4" w:space="0"/>
              <w:right w:val="single" w:color="000000" w:sz="4" w:space="0"/>
            </w:tcBorders>
            <w:noWrap w:val="0"/>
            <w:vAlign w:val="center"/>
          </w:tcPr>
          <w:p w14:paraId="64F7F3B9">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实施本违法行为2次以上且造成不良社会影响或拒不改正，违法行为处于持续状态。</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CAC3C66">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处15000元以上2万元以下罚款</w:t>
            </w:r>
          </w:p>
        </w:tc>
      </w:tr>
      <w:tr w14:paraId="750FC3B0">
        <w:tblPrEx>
          <w:tblCellMar>
            <w:top w:w="0" w:type="dxa"/>
            <w:left w:w="108" w:type="dxa"/>
            <w:bottom w:w="0" w:type="dxa"/>
            <w:right w:w="108" w:type="dxa"/>
          </w:tblCellMar>
        </w:tblPrEx>
        <w:trPr>
          <w:trHeight w:val="1531" w:hRule="exac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E43EE">
            <w:pPr>
              <w:jc w:val="center"/>
              <w:rPr>
                <w:rFonts w:ascii="仿宋_GB2312" w:hAnsi="仿宋_GB2312" w:eastAsia="仿宋_GB2312" w:cs="仿宋_GB2312"/>
                <w:sz w:val="24"/>
                <w:highlight w:val="none"/>
              </w:rPr>
            </w:pPr>
          </w:p>
        </w:tc>
        <w:tc>
          <w:tcPr>
            <w:tcW w:w="18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E54D80">
            <w:pPr>
              <w:jc w:val="left"/>
              <w:rPr>
                <w:rFonts w:ascii="仿宋_GB2312" w:hAnsi="仿宋_GB2312" w:eastAsia="仿宋_GB2312" w:cs="仿宋_GB2312"/>
                <w:sz w:val="24"/>
                <w:highlight w:val="none"/>
              </w:rPr>
            </w:pPr>
          </w:p>
        </w:tc>
        <w:tc>
          <w:tcPr>
            <w:tcW w:w="2924" w:type="dxa"/>
            <w:vMerge w:val="continue"/>
            <w:tcBorders>
              <w:top w:val="single" w:color="000000" w:sz="4" w:space="0"/>
              <w:left w:val="single" w:color="000000" w:sz="4" w:space="0"/>
              <w:bottom w:val="single" w:color="000000" w:sz="4" w:space="0"/>
              <w:right w:val="single" w:color="000000" w:sz="4" w:space="0"/>
            </w:tcBorders>
            <w:noWrap w:val="0"/>
            <w:vAlign w:val="top"/>
          </w:tcPr>
          <w:p w14:paraId="0820EA9F">
            <w:pPr>
              <w:jc w:val="left"/>
              <w:rPr>
                <w:rFonts w:ascii="仿宋_GB2312" w:hAnsi="仿宋_GB2312" w:eastAsia="仿宋_GB2312" w:cs="仿宋_GB2312"/>
                <w:sz w:val="24"/>
                <w:highlight w:val="none"/>
              </w:rPr>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top"/>
          </w:tcPr>
          <w:p w14:paraId="537CA724">
            <w:pPr>
              <w:jc w:val="left"/>
              <w:rPr>
                <w:rFonts w:ascii="仿宋_GB2312" w:hAnsi="仿宋_GB2312" w:eastAsia="仿宋_GB2312" w:cs="仿宋_GB2312"/>
                <w:sz w:val="24"/>
                <w:highlight w:val="none"/>
              </w:rPr>
            </w:pPr>
          </w:p>
        </w:tc>
        <w:tc>
          <w:tcPr>
            <w:tcW w:w="1360" w:type="dxa"/>
            <w:tcBorders>
              <w:top w:val="single" w:color="000000" w:sz="4" w:space="0"/>
              <w:left w:val="single" w:color="000000" w:sz="4" w:space="0"/>
              <w:bottom w:val="single" w:color="000000" w:sz="4" w:space="0"/>
              <w:right w:val="single" w:color="auto" w:sz="4" w:space="0"/>
            </w:tcBorders>
            <w:noWrap w:val="0"/>
            <w:vAlign w:val="center"/>
          </w:tcPr>
          <w:p w14:paraId="0BAD6219">
            <w:pPr>
              <w:widowControl/>
              <w:jc w:val="center"/>
              <w:textAlignment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从重处罚</w:t>
            </w:r>
          </w:p>
        </w:tc>
        <w:tc>
          <w:tcPr>
            <w:tcW w:w="2932" w:type="dxa"/>
            <w:tcBorders>
              <w:top w:val="single" w:color="000000" w:sz="4" w:space="0"/>
              <w:left w:val="single" w:color="auto" w:sz="4" w:space="0"/>
              <w:bottom w:val="single" w:color="auto" w:sz="4" w:space="0"/>
              <w:right w:val="single" w:color="auto" w:sz="4" w:space="0"/>
            </w:tcBorders>
            <w:noWrap w:val="0"/>
            <w:vAlign w:val="center"/>
          </w:tcPr>
          <w:p w14:paraId="00583EAC">
            <w:pPr>
              <w:widowControl/>
              <w:jc w:val="both"/>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lang w:val="en-US" w:eastAsia="zh-CN"/>
              </w:rPr>
              <w:t>因实施同类行为受过行政处罚或</w:t>
            </w:r>
            <w:r>
              <w:rPr>
                <w:rFonts w:hint="eastAsia" w:ascii="仿宋_GB2312" w:hAnsi="仿宋_GB2312" w:eastAsia="仿宋_GB2312" w:cs="仿宋_GB2312"/>
                <w:kern w:val="0"/>
                <w:sz w:val="24"/>
                <w:highlight w:val="none"/>
              </w:rPr>
              <w:t>实施本违法行为，造成</w:t>
            </w:r>
            <w:r>
              <w:rPr>
                <w:rFonts w:hint="eastAsia" w:ascii="仿宋_GB2312" w:hAnsi="仿宋_GB2312" w:eastAsia="仿宋_GB2312" w:cs="仿宋_GB2312"/>
                <w:kern w:val="0"/>
                <w:sz w:val="24"/>
                <w:highlight w:val="none"/>
                <w:lang w:val="en-US" w:eastAsia="zh-CN"/>
              </w:rPr>
              <w:t>人员伤亡、较大财产损失等</w:t>
            </w:r>
            <w:r>
              <w:rPr>
                <w:rFonts w:hint="eastAsia" w:ascii="仿宋_GB2312" w:hAnsi="仿宋_GB2312" w:eastAsia="仿宋_GB2312" w:cs="仿宋_GB2312"/>
                <w:kern w:val="0"/>
                <w:sz w:val="24"/>
                <w:highlight w:val="none"/>
              </w:rPr>
              <w:t>严重危害后果。</w:t>
            </w:r>
          </w:p>
        </w:tc>
        <w:tc>
          <w:tcPr>
            <w:tcW w:w="1660" w:type="dxa"/>
            <w:tcBorders>
              <w:top w:val="single" w:color="000000" w:sz="4" w:space="0"/>
              <w:left w:val="single" w:color="auto" w:sz="4" w:space="0"/>
              <w:bottom w:val="single" w:color="auto" w:sz="4" w:space="0"/>
              <w:right w:val="single" w:color="000000" w:sz="4" w:space="0"/>
            </w:tcBorders>
            <w:noWrap w:val="0"/>
            <w:vAlign w:val="center"/>
          </w:tcPr>
          <w:p w14:paraId="6EDA3E13">
            <w:pPr>
              <w:widowControl/>
              <w:jc w:val="left"/>
              <w:textAlignment w:val="top"/>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处2万元以上3万元以下罚款</w:t>
            </w:r>
          </w:p>
        </w:tc>
      </w:tr>
      <w:tr w14:paraId="56054584">
        <w:tblPrEx>
          <w:tblCellMar>
            <w:top w:w="0" w:type="dxa"/>
            <w:left w:w="108" w:type="dxa"/>
            <w:bottom w:w="0" w:type="dxa"/>
            <w:right w:w="108" w:type="dxa"/>
          </w:tblCellMar>
        </w:tblPrEx>
        <w:trPr>
          <w:trHeight w:val="1304" w:hRule="exact"/>
        </w:trPr>
        <w:tc>
          <w:tcPr>
            <w:tcW w:w="910" w:type="dxa"/>
            <w:vMerge w:val="restart"/>
            <w:tcBorders>
              <w:top w:val="single" w:color="000000" w:sz="4" w:space="0"/>
              <w:left w:val="single" w:color="000000" w:sz="4" w:space="0"/>
              <w:right w:val="single" w:color="000000" w:sz="4" w:space="0"/>
            </w:tcBorders>
            <w:noWrap w:val="0"/>
            <w:vAlign w:val="center"/>
          </w:tcPr>
          <w:p w14:paraId="6FDCA6FE">
            <w:pPr>
              <w:jc w:val="center"/>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4</w:t>
            </w:r>
          </w:p>
        </w:tc>
        <w:tc>
          <w:tcPr>
            <w:tcW w:w="1884" w:type="dxa"/>
            <w:vMerge w:val="restart"/>
            <w:tcBorders>
              <w:top w:val="single" w:color="000000" w:sz="4" w:space="0"/>
              <w:left w:val="single" w:color="000000" w:sz="4" w:space="0"/>
              <w:right w:val="single" w:color="auto" w:sz="4" w:space="0"/>
            </w:tcBorders>
            <w:noWrap w:val="0"/>
            <w:vAlign w:val="center"/>
          </w:tcPr>
          <w:p w14:paraId="0DDC03E6">
            <w:pPr>
              <w:widowControl/>
              <w:jc w:val="left"/>
              <w:textAlignment w:val="top"/>
              <w:rPr>
                <w:rFonts w:hint="eastAsia" w:ascii="仿宋_GB2312" w:hAnsi="仿宋_GB2312" w:eastAsia="仿宋_GB2312" w:cs="仿宋_GB2312"/>
                <w:kern w:val="0"/>
                <w:sz w:val="24"/>
                <w:highlight w:val="none"/>
                <w:lang w:eastAsia="zh-CN"/>
              </w:rPr>
            </w:pPr>
            <w:r>
              <w:rPr>
                <w:rFonts w:hint="eastAsia" w:ascii="仿宋_GB2312" w:hAnsi="仿宋_GB2312" w:eastAsia="仿宋_GB2312" w:cs="仿宋_GB2312"/>
                <w:kern w:val="0"/>
                <w:sz w:val="24"/>
                <w:highlight w:val="none"/>
              </w:rPr>
              <w:t>海上旅游运动船艇的经营者未在规定的旅游码头、停靠站点、浮动设施或者下水点停靠和上下客</w:t>
            </w:r>
            <w:r>
              <w:rPr>
                <w:rFonts w:hint="eastAsia" w:ascii="仿宋_GB2312" w:hAnsi="仿宋_GB2312" w:eastAsia="仿宋_GB2312" w:cs="仿宋_GB2312"/>
                <w:kern w:val="0"/>
                <w:sz w:val="24"/>
                <w:highlight w:val="none"/>
                <w:lang w:eastAsia="zh-CN"/>
              </w:rPr>
              <w:t>。</w:t>
            </w:r>
          </w:p>
        </w:tc>
        <w:tc>
          <w:tcPr>
            <w:tcW w:w="2924" w:type="dxa"/>
            <w:vMerge w:val="restart"/>
            <w:tcBorders>
              <w:top w:val="single" w:color="000000" w:sz="4" w:space="0"/>
              <w:left w:val="single" w:color="auto" w:sz="4" w:space="0"/>
              <w:right w:val="single" w:color="auto" w:sz="4" w:space="0"/>
            </w:tcBorders>
            <w:noWrap w:val="0"/>
            <w:vAlign w:val="center"/>
          </w:tcPr>
          <w:p w14:paraId="760C20D3">
            <w:pPr>
              <w:widowControl/>
              <w:jc w:val="left"/>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eastAsia="zh-CN"/>
              </w:rPr>
              <w:t>《</w:t>
            </w:r>
            <w:r>
              <w:rPr>
                <w:rFonts w:hint="eastAsia" w:ascii="仿宋_GB2312" w:hAnsi="仿宋_GB2312" w:eastAsia="仿宋_GB2312" w:cs="仿宋_GB2312"/>
                <w:kern w:val="0"/>
                <w:sz w:val="24"/>
                <w:highlight w:val="none"/>
                <w:lang w:val="en-US" w:eastAsia="zh-CN"/>
              </w:rPr>
              <w:t>青岛市旅游条例</w:t>
            </w:r>
            <w:r>
              <w:rPr>
                <w:rFonts w:hint="eastAsia" w:ascii="仿宋_GB2312" w:hAnsi="仿宋_GB2312" w:eastAsia="仿宋_GB2312" w:cs="仿宋_GB2312"/>
                <w:kern w:val="0"/>
                <w:sz w:val="24"/>
                <w:highlight w:val="none"/>
                <w:lang w:eastAsia="zh-CN"/>
              </w:rPr>
              <w:t>》（2026年3月31日山东省第十四届人民代表大会常务委员会第二十二次会议批准）</w:t>
            </w:r>
            <w:r>
              <w:rPr>
                <w:rFonts w:hint="eastAsia" w:ascii="仿宋_GB2312" w:hAnsi="仿宋_GB2312" w:eastAsia="仿宋_GB2312" w:cs="仿宋_GB2312"/>
                <w:kern w:val="0"/>
                <w:sz w:val="24"/>
                <w:highlight w:val="none"/>
              </w:rPr>
              <w:t>第五十二条</w:t>
            </w:r>
            <w:r>
              <w:rPr>
                <w:rFonts w:hint="eastAsia" w:ascii="仿宋_GB2312" w:hAnsi="仿宋_GB2312" w:eastAsia="仿宋_GB2312" w:cs="仿宋_GB2312"/>
                <w:kern w:val="0"/>
                <w:sz w:val="24"/>
                <w:highlight w:val="none"/>
                <w:lang w:eastAsia="zh-CN"/>
              </w:rPr>
              <w:t>：</w:t>
            </w:r>
            <w:r>
              <w:rPr>
                <w:rFonts w:hint="eastAsia" w:ascii="仿宋_GB2312" w:hAnsi="仿宋_GB2312" w:eastAsia="仿宋_GB2312" w:cs="仿宋_GB2312"/>
                <w:kern w:val="0"/>
                <w:sz w:val="24"/>
                <w:highlight w:val="none"/>
              </w:rPr>
              <w:t>海上旅游客运船舶、海上旅游运动船艇、休闲海钓船舶的经营者，应当遵守下列规定：（五）在规定的旅游码头、停靠站点、浮动设施或者下水点停靠和上下客</w:t>
            </w:r>
            <w:r>
              <w:rPr>
                <w:rFonts w:hint="eastAsia" w:ascii="仿宋_GB2312" w:hAnsi="仿宋_GB2312" w:eastAsia="仿宋_GB2312" w:cs="仿宋_GB2312"/>
                <w:kern w:val="0"/>
                <w:sz w:val="24"/>
                <w:highlight w:val="none"/>
                <w:lang w:eastAsia="zh-CN"/>
              </w:rPr>
              <w:t>。</w:t>
            </w:r>
          </w:p>
          <w:p w14:paraId="08BEEB36">
            <w:pPr>
              <w:widowControl/>
              <w:jc w:val="left"/>
              <w:textAlignment w:val="top"/>
              <w:rPr>
                <w:rFonts w:hint="eastAsia" w:ascii="仿宋_GB2312" w:hAnsi="仿宋_GB2312" w:eastAsia="仿宋_GB2312" w:cs="仿宋_GB2312"/>
                <w:kern w:val="0"/>
                <w:sz w:val="24"/>
                <w:highlight w:val="none"/>
                <w:lang w:eastAsia="zh-CN"/>
              </w:rPr>
            </w:pPr>
          </w:p>
        </w:tc>
        <w:tc>
          <w:tcPr>
            <w:tcW w:w="2970" w:type="dxa"/>
            <w:vMerge w:val="restart"/>
            <w:tcBorders>
              <w:top w:val="single" w:color="000000" w:sz="4" w:space="0"/>
              <w:left w:val="single" w:color="auto" w:sz="4" w:space="0"/>
              <w:right w:val="single" w:color="auto" w:sz="4" w:space="0"/>
            </w:tcBorders>
            <w:noWrap w:val="0"/>
            <w:vAlign w:val="center"/>
          </w:tcPr>
          <w:p w14:paraId="352AA549">
            <w:pPr>
              <w:widowControl/>
              <w:jc w:val="left"/>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eastAsia="zh-CN"/>
              </w:rPr>
              <w:t>《</w:t>
            </w:r>
            <w:r>
              <w:rPr>
                <w:rFonts w:hint="eastAsia" w:ascii="仿宋_GB2312" w:hAnsi="仿宋_GB2312" w:eastAsia="仿宋_GB2312" w:cs="仿宋_GB2312"/>
                <w:kern w:val="0"/>
                <w:sz w:val="24"/>
                <w:highlight w:val="none"/>
                <w:lang w:val="en-US" w:eastAsia="zh-CN"/>
              </w:rPr>
              <w:t>青岛市旅游条例</w:t>
            </w:r>
            <w:r>
              <w:rPr>
                <w:rFonts w:hint="eastAsia" w:ascii="仿宋_GB2312" w:hAnsi="仿宋_GB2312" w:eastAsia="仿宋_GB2312" w:cs="仿宋_GB2312"/>
                <w:kern w:val="0"/>
                <w:sz w:val="24"/>
                <w:highlight w:val="none"/>
                <w:lang w:eastAsia="zh-CN"/>
              </w:rPr>
              <w:t>》（2026年3月31日山东省第十四届人民代表大会常务委员会第二十二次会议批准）</w:t>
            </w:r>
            <w:r>
              <w:rPr>
                <w:rFonts w:hint="eastAsia" w:ascii="仿宋_GB2312" w:hAnsi="仿宋_GB2312" w:eastAsia="仿宋_GB2312" w:cs="仿宋_GB2312"/>
                <w:kern w:val="0"/>
                <w:sz w:val="24"/>
                <w:highlight w:val="none"/>
              </w:rPr>
              <w:t>第七十条</w:t>
            </w:r>
            <w:r>
              <w:rPr>
                <w:rFonts w:hint="eastAsia" w:ascii="仿宋_GB2312" w:hAnsi="仿宋_GB2312" w:eastAsia="仿宋_GB2312" w:cs="仿宋_GB2312"/>
                <w:kern w:val="0"/>
                <w:sz w:val="24"/>
                <w:highlight w:val="none"/>
                <w:lang w:eastAsia="zh-CN"/>
              </w:rPr>
              <w:t>：</w:t>
            </w:r>
            <w:r>
              <w:rPr>
                <w:rFonts w:hint="eastAsia" w:ascii="仿宋_GB2312" w:hAnsi="仿宋_GB2312" w:eastAsia="仿宋_GB2312" w:cs="仿宋_GB2312"/>
                <w:kern w:val="0"/>
                <w:sz w:val="24"/>
                <w:highlight w:val="none"/>
              </w:rPr>
              <w:t>违反本条例第五十二条规定，海上旅游运动船艇的经营者未在规定的旅游码头、停靠站点、浮动设施或者下水点停靠和上下客的，由体育行政部门责令改正，逾期不改正的，处三千元以上三万元以下罚款。</w:t>
            </w:r>
          </w:p>
          <w:p w14:paraId="4C7DADB6">
            <w:pPr>
              <w:widowControl/>
              <w:jc w:val="left"/>
              <w:textAlignment w:val="top"/>
              <w:rPr>
                <w:rFonts w:hint="eastAsia" w:ascii="仿宋_GB2312" w:hAnsi="仿宋_GB2312" w:eastAsia="仿宋_GB2312" w:cs="仿宋_GB2312"/>
                <w:kern w:val="0"/>
                <w:sz w:val="24"/>
                <w:highlight w:val="none"/>
              </w:rPr>
            </w:pPr>
          </w:p>
        </w:tc>
        <w:tc>
          <w:tcPr>
            <w:tcW w:w="1360" w:type="dxa"/>
            <w:tcBorders>
              <w:top w:val="single" w:color="000000" w:sz="4" w:space="0"/>
              <w:left w:val="single" w:color="auto" w:sz="4" w:space="0"/>
              <w:bottom w:val="single" w:color="000000" w:sz="4" w:space="0"/>
              <w:right w:val="single" w:color="auto" w:sz="4" w:space="0"/>
            </w:tcBorders>
            <w:noWrap w:val="0"/>
            <w:vAlign w:val="center"/>
          </w:tcPr>
          <w:p w14:paraId="34FD8704">
            <w:pPr>
              <w:widowControl/>
              <w:jc w:val="center"/>
              <w:textAlignment w:val="center"/>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不予处罚</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1C590540">
            <w:pPr>
              <w:widowControl/>
              <w:jc w:val="both"/>
              <w:textAlignment w:val="top"/>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lang w:val="en-US" w:eastAsia="zh-CN"/>
              </w:rPr>
              <w:t>违法行为轻微并及时改正，没有造成不良影响和危害后果</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569AF1A3">
            <w:pPr>
              <w:widowControl/>
              <w:jc w:val="left"/>
              <w:textAlignment w:val="top"/>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不予行政处罚</w:t>
            </w:r>
          </w:p>
        </w:tc>
      </w:tr>
      <w:tr w14:paraId="4BE768A8">
        <w:tblPrEx>
          <w:tblCellMar>
            <w:top w:w="0" w:type="dxa"/>
            <w:left w:w="108" w:type="dxa"/>
            <w:bottom w:w="0" w:type="dxa"/>
            <w:right w:w="108" w:type="dxa"/>
          </w:tblCellMar>
        </w:tblPrEx>
        <w:trPr>
          <w:trHeight w:val="1304" w:hRule="exact"/>
        </w:trPr>
        <w:tc>
          <w:tcPr>
            <w:tcW w:w="910" w:type="dxa"/>
            <w:vMerge w:val="continue"/>
            <w:tcBorders>
              <w:left w:val="single" w:color="000000" w:sz="4" w:space="0"/>
              <w:right w:val="single" w:color="000000" w:sz="4" w:space="0"/>
            </w:tcBorders>
            <w:noWrap w:val="0"/>
            <w:vAlign w:val="center"/>
          </w:tcPr>
          <w:p w14:paraId="4593A536">
            <w:pPr>
              <w:jc w:val="center"/>
              <w:rPr>
                <w:rFonts w:hint="eastAsia" w:ascii="仿宋_GB2312" w:hAnsi="仿宋_GB2312" w:eastAsia="仿宋_GB2312" w:cs="仿宋_GB2312"/>
                <w:sz w:val="24"/>
                <w:highlight w:val="none"/>
                <w:lang w:val="en-US" w:eastAsia="zh-CN"/>
              </w:rPr>
            </w:pPr>
          </w:p>
        </w:tc>
        <w:tc>
          <w:tcPr>
            <w:tcW w:w="1884" w:type="dxa"/>
            <w:vMerge w:val="continue"/>
            <w:tcBorders>
              <w:left w:val="single" w:color="000000" w:sz="4" w:space="0"/>
              <w:right w:val="single" w:color="auto" w:sz="4" w:space="0"/>
            </w:tcBorders>
            <w:noWrap w:val="0"/>
            <w:vAlign w:val="center"/>
          </w:tcPr>
          <w:p w14:paraId="6816A8F9">
            <w:pPr>
              <w:widowControl/>
              <w:jc w:val="left"/>
              <w:textAlignment w:val="top"/>
              <w:rPr>
                <w:rFonts w:hint="eastAsia" w:ascii="仿宋_GB2312" w:hAnsi="仿宋_GB2312" w:eastAsia="仿宋_GB2312" w:cs="仿宋_GB2312"/>
                <w:kern w:val="0"/>
                <w:sz w:val="24"/>
                <w:highlight w:val="none"/>
              </w:rPr>
            </w:pPr>
          </w:p>
        </w:tc>
        <w:tc>
          <w:tcPr>
            <w:tcW w:w="2924" w:type="dxa"/>
            <w:vMerge w:val="continue"/>
            <w:tcBorders>
              <w:left w:val="single" w:color="auto" w:sz="4" w:space="0"/>
              <w:right w:val="single" w:color="auto" w:sz="4" w:space="0"/>
            </w:tcBorders>
            <w:noWrap w:val="0"/>
            <w:vAlign w:val="center"/>
          </w:tcPr>
          <w:p w14:paraId="2544AC0D">
            <w:pPr>
              <w:widowControl/>
              <w:jc w:val="left"/>
              <w:textAlignment w:val="top"/>
              <w:rPr>
                <w:rFonts w:hint="eastAsia" w:ascii="仿宋_GB2312" w:hAnsi="仿宋_GB2312" w:eastAsia="仿宋_GB2312" w:cs="仿宋_GB2312"/>
                <w:kern w:val="0"/>
                <w:sz w:val="24"/>
                <w:highlight w:val="none"/>
                <w:lang w:eastAsia="zh-CN"/>
              </w:rPr>
            </w:pPr>
          </w:p>
        </w:tc>
        <w:tc>
          <w:tcPr>
            <w:tcW w:w="2970" w:type="dxa"/>
            <w:vMerge w:val="continue"/>
            <w:tcBorders>
              <w:left w:val="single" w:color="auto" w:sz="4" w:space="0"/>
              <w:right w:val="single" w:color="auto" w:sz="4" w:space="0"/>
            </w:tcBorders>
            <w:noWrap w:val="0"/>
            <w:vAlign w:val="center"/>
          </w:tcPr>
          <w:p w14:paraId="594A37C1">
            <w:pPr>
              <w:widowControl/>
              <w:jc w:val="left"/>
              <w:textAlignment w:val="top"/>
              <w:rPr>
                <w:rFonts w:hint="eastAsia" w:ascii="仿宋_GB2312" w:hAnsi="仿宋_GB2312" w:eastAsia="仿宋_GB2312" w:cs="仿宋_GB2312"/>
                <w:kern w:val="0"/>
                <w:sz w:val="24"/>
                <w:highlight w:val="none"/>
              </w:rPr>
            </w:pPr>
          </w:p>
        </w:tc>
        <w:tc>
          <w:tcPr>
            <w:tcW w:w="1360" w:type="dxa"/>
            <w:tcBorders>
              <w:top w:val="single" w:color="000000" w:sz="4" w:space="0"/>
              <w:left w:val="single" w:color="auto" w:sz="4" w:space="0"/>
              <w:bottom w:val="single" w:color="000000" w:sz="4" w:space="0"/>
              <w:right w:val="single" w:color="auto" w:sz="4" w:space="0"/>
            </w:tcBorders>
            <w:noWrap w:val="0"/>
            <w:vAlign w:val="center"/>
          </w:tcPr>
          <w:p w14:paraId="3CAE1FB3">
            <w:pPr>
              <w:widowControl/>
              <w:jc w:val="center"/>
              <w:textAlignment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免予处罚</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3BEA8B66">
            <w:pPr>
              <w:widowControl/>
              <w:jc w:val="both"/>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初次违法且危害后果轻微并及时改正。</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12F1A2E">
            <w:pPr>
              <w:widowControl/>
              <w:jc w:val="left"/>
              <w:textAlignment w:val="top"/>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免予行政处罚</w:t>
            </w:r>
          </w:p>
        </w:tc>
      </w:tr>
      <w:tr w14:paraId="08B6643A">
        <w:tblPrEx>
          <w:tblCellMar>
            <w:top w:w="0" w:type="dxa"/>
            <w:left w:w="108" w:type="dxa"/>
            <w:bottom w:w="0" w:type="dxa"/>
            <w:right w:w="108" w:type="dxa"/>
          </w:tblCellMar>
        </w:tblPrEx>
        <w:trPr>
          <w:trHeight w:val="1304" w:hRule="exact"/>
        </w:trPr>
        <w:tc>
          <w:tcPr>
            <w:tcW w:w="910" w:type="dxa"/>
            <w:vMerge w:val="continue"/>
            <w:tcBorders>
              <w:left w:val="single" w:color="000000" w:sz="4" w:space="0"/>
              <w:right w:val="single" w:color="000000" w:sz="4" w:space="0"/>
            </w:tcBorders>
            <w:noWrap w:val="0"/>
            <w:vAlign w:val="center"/>
          </w:tcPr>
          <w:p w14:paraId="05980B2F">
            <w:pPr>
              <w:widowControl/>
              <w:jc w:val="left"/>
              <w:textAlignment w:val="top"/>
              <w:rPr>
                <w:highlight w:val="none"/>
              </w:rPr>
            </w:pPr>
          </w:p>
        </w:tc>
        <w:tc>
          <w:tcPr>
            <w:tcW w:w="1884" w:type="dxa"/>
            <w:vMerge w:val="continue"/>
            <w:tcBorders>
              <w:left w:val="single" w:color="000000" w:sz="4" w:space="0"/>
              <w:right w:val="single" w:color="auto" w:sz="4" w:space="0"/>
            </w:tcBorders>
            <w:noWrap w:val="0"/>
            <w:vAlign w:val="center"/>
          </w:tcPr>
          <w:p w14:paraId="40DEFA23">
            <w:pPr>
              <w:widowControl/>
              <w:jc w:val="left"/>
              <w:textAlignment w:val="top"/>
              <w:rPr>
                <w:highlight w:val="none"/>
              </w:rPr>
            </w:pPr>
          </w:p>
        </w:tc>
        <w:tc>
          <w:tcPr>
            <w:tcW w:w="2924" w:type="dxa"/>
            <w:vMerge w:val="continue"/>
            <w:tcBorders>
              <w:left w:val="single" w:color="auto" w:sz="4" w:space="0"/>
              <w:right w:val="single" w:color="auto" w:sz="4" w:space="0"/>
            </w:tcBorders>
            <w:noWrap w:val="0"/>
            <w:vAlign w:val="center"/>
          </w:tcPr>
          <w:p w14:paraId="0DD0ACAD">
            <w:pPr>
              <w:widowControl/>
              <w:jc w:val="left"/>
              <w:textAlignment w:val="top"/>
              <w:rPr>
                <w:highlight w:val="none"/>
              </w:rPr>
            </w:pPr>
          </w:p>
        </w:tc>
        <w:tc>
          <w:tcPr>
            <w:tcW w:w="2970" w:type="dxa"/>
            <w:vMerge w:val="continue"/>
            <w:tcBorders>
              <w:left w:val="single" w:color="auto" w:sz="4" w:space="0"/>
              <w:right w:val="single" w:color="auto" w:sz="4" w:space="0"/>
            </w:tcBorders>
            <w:noWrap w:val="0"/>
            <w:vAlign w:val="center"/>
          </w:tcPr>
          <w:p w14:paraId="2F6E481E">
            <w:pPr>
              <w:widowControl/>
              <w:jc w:val="left"/>
              <w:textAlignment w:val="top"/>
              <w:rPr>
                <w:highlight w:val="none"/>
              </w:rPr>
            </w:pPr>
          </w:p>
        </w:tc>
        <w:tc>
          <w:tcPr>
            <w:tcW w:w="1360" w:type="dxa"/>
            <w:tcBorders>
              <w:top w:val="single" w:color="000000" w:sz="4" w:space="0"/>
              <w:left w:val="single" w:color="auto" w:sz="4" w:space="0"/>
              <w:bottom w:val="single" w:color="000000" w:sz="4" w:space="0"/>
              <w:right w:val="single" w:color="auto" w:sz="4" w:space="0"/>
            </w:tcBorders>
            <w:noWrap w:val="0"/>
            <w:vAlign w:val="center"/>
          </w:tcPr>
          <w:p w14:paraId="1B882C26">
            <w:pPr>
              <w:widowControl/>
              <w:jc w:val="center"/>
              <w:textAlignment w:val="center"/>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从轻处罚</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74B4B86C">
            <w:pPr>
              <w:widowControl/>
              <w:jc w:val="both"/>
              <w:textAlignment w:val="top"/>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lang w:val="en-US" w:eastAsia="zh-CN"/>
              </w:rPr>
              <w:t>逾期未改正，</w:t>
            </w:r>
            <w:r>
              <w:rPr>
                <w:rFonts w:hint="eastAsia" w:ascii="仿宋_GB2312" w:hAnsi="仿宋_GB2312" w:eastAsia="仿宋_GB2312" w:cs="仿宋_GB2312"/>
                <w:kern w:val="0"/>
                <w:sz w:val="24"/>
                <w:highlight w:val="none"/>
              </w:rPr>
              <w:t>初次实施本违法行为</w:t>
            </w:r>
            <w:r>
              <w:rPr>
                <w:rFonts w:hint="eastAsia" w:ascii="仿宋_GB2312" w:hAnsi="仿宋_GB2312" w:eastAsia="仿宋_GB2312" w:cs="仿宋_GB2312"/>
                <w:kern w:val="0"/>
                <w:sz w:val="24"/>
                <w:highlight w:val="none"/>
                <w:lang w:eastAsia="zh-CN"/>
              </w:rPr>
              <w:t>，</w:t>
            </w:r>
            <w:r>
              <w:rPr>
                <w:rFonts w:hint="eastAsia" w:ascii="仿宋_GB2312" w:hAnsi="仿宋_GB2312" w:eastAsia="仿宋_GB2312" w:cs="仿宋_GB2312"/>
                <w:kern w:val="0"/>
                <w:sz w:val="24"/>
                <w:highlight w:val="none"/>
              </w:rPr>
              <w:t>造成不良社会影响。</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6F37A3D7">
            <w:pPr>
              <w:widowControl/>
              <w:jc w:val="left"/>
              <w:textAlignment w:val="top"/>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处</w:t>
            </w:r>
            <w:r>
              <w:rPr>
                <w:rFonts w:hint="eastAsia" w:ascii="仿宋_GB2312" w:hAnsi="仿宋_GB2312" w:eastAsia="仿宋_GB2312" w:cs="仿宋_GB2312"/>
                <w:kern w:val="0"/>
                <w:sz w:val="24"/>
                <w:highlight w:val="none"/>
                <w:lang w:val="en-US" w:eastAsia="zh-CN"/>
              </w:rPr>
              <w:t>3000元</w:t>
            </w:r>
            <w:r>
              <w:rPr>
                <w:rFonts w:hint="eastAsia" w:ascii="仿宋_GB2312" w:hAnsi="仿宋_GB2312" w:eastAsia="仿宋_GB2312" w:cs="仿宋_GB2312"/>
                <w:kern w:val="0"/>
                <w:sz w:val="24"/>
                <w:highlight w:val="none"/>
              </w:rPr>
              <w:t>以上</w:t>
            </w:r>
            <w:r>
              <w:rPr>
                <w:rFonts w:hint="eastAsia" w:ascii="仿宋_GB2312" w:hAnsi="仿宋_GB2312" w:eastAsia="仿宋_GB2312" w:cs="仿宋_GB2312"/>
                <w:kern w:val="0"/>
                <w:sz w:val="24"/>
                <w:highlight w:val="none"/>
                <w:lang w:val="en-US" w:eastAsia="zh-CN"/>
              </w:rPr>
              <w:t>1万</w:t>
            </w:r>
            <w:r>
              <w:rPr>
                <w:rFonts w:hint="eastAsia" w:ascii="仿宋_GB2312" w:hAnsi="仿宋_GB2312" w:eastAsia="仿宋_GB2312" w:cs="仿宋_GB2312"/>
                <w:kern w:val="0"/>
                <w:sz w:val="24"/>
                <w:highlight w:val="none"/>
              </w:rPr>
              <w:t>元以下罚款</w:t>
            </w:r>
          </w:p>
        </w:tc>
      </w:tr>
      <w:tr w14:paraId="4B96F48B">
        <w:tblPrEx>
          <w:tblCellMar>
            <w:top w:w="0" w:type="dxa"/>
            <w:left w:w="108" w:type="dxa"/>
            <w:bottom w:w="0" w:type="dxa"/>
            <w:right w:w="108" w:type="dxa"/>
          </w:tblCellMar>
        </w:tblPrEx>
        <w:trPr>
          <w:trHeight w:val="1304" w:hRule="exact"/>
        </w:trPr>
        <w:tc>
          <w:tcPr>
            <w:tcW w:w="910" w:type="dxa"/>
            <w:vMerge w:val="continue"/>
            <w:tcBorders>
              <w:left w:val="single" w:color="000000" w:sz="4" w:space="0"/>
              <w:right w:val="single" w:color="000000" w:sz="4" w:space="0"/>
            </w:tcBorders>
            <w:noWrap w:val="0"/>
            <w:vAlign w:val="center"/>
          </w:tcPr>
          <w:p w14:paraId="27BCEA6A">
            <w:pPr>
              <w:widowControl/>
              <w:jc w:val="left"/>
              <w:textAlignment w:val="top"/>
              <w:rPr>
                <w:rFonts w:hint="eastAsia" w:ascii="仿宋_GB2312" w:hAnsi="宋体" w:eastAsia="仿宋_GB2312" w:cs="宋体"/>
                <w:kern w:val="0"/>
                <w:sz w:val="22"/>
                <w:highlight w:val="none"/>
              </w:rPr>
            </w:pPr>
          </w:p>
        </w:tc>
        <w:tc>
          <w:tcPr>
            <w:tcW w:w="1884" w:type="dxa"/>
            <w:vMerge w:val="continue"/>
            <w:tcBorders>
              <w:left w:val="single" w:color="000000" w:sz="4" w:space="0"/>
              <w:right w:val="single" w:color="auto" w:sz="4" w:space="0"/>
            </w:tcBorders>
            <w:noWrap w:val="0"/>
            <w:vAlign w:val="center"/>
          </w:tcPr>
          <w:p w14:paraId="64BB1EA2">
            <w:pPr>
              <w:widowControl/>
              <w:jc w:val="left"/>
              <w:textAlignment w:val="top"/>
              <w:rPr>
                <w:rFonts w:hint="eastAsia" w:ascii="仿宋_GB2312" w:hAnsi="宋体" w:eastAsia="仿宋_GB2312" w:cs="宋体"/>
                <w:kern w:val="0"/>
                <w:sz w:val="22"/>
                <w:highlight w:val="none"/>
              </w:rPr>
            </w:pPr>
          </w:p>
        </w:tc>
        <w:tc>
          <w:tcPr>
            <w:tcW w:w="2924" w:type="dxa"/>
            <w:vMerge w:val="continue"/>
            <w:tcBorders>
              <w:left w:val="single" w:color="auto" w:sz="4" w:space="0"/>
              <w:right w:val="single" w:color="auto" w:sz="4" w:space="0"/>
            </w:tcBorders>
            <w:noWrap w:val="0"/>
            <w:vAlign w:val="center"/>
          </w:tcPr>
          <w:p w14:paraId="47F41B38">
            <w:pPr>
              <w:widowControl/>
              <w:jc w:val="left"/>
              <w:textAlignment w:val="top"/>
              <w:rPr>
                <w:rFonts w:hint="eastAsia" w:ascii="仿宋_GB2312" w:hAnsi="宋体" w:eastAsia="仿宋_GB2312" w:cs="宋体"/>
                <w:kern w:val="0"/>
                <w:sz w:val="22"/>
                <w:highlight w:val="none"/>
              </w:rPr>
            </w:pPr>
          </w:p>
        </w:tc>
        <w:tc>
          <w:tcPr>
            <w:tcW w:w="2970" w:type="dxa"/>
            <w:vMerge w:val="continue"/>
            <w:tcBorders>
              <w:left w:val="single" w:color="auto" w:sz="4" w:space="0"/>
              <w:right w:val="single" w:color="auto" w:sz="4" w:space="0"/>
            </w:tcBorders>
            <w:noWrap w:val="0"/>
            <w:vAlign w:val="center"/>
          </w:tcPr>
          <w:p w14:paraId="704459A5">
            <w:pPr>
              <w:widowControl/>
              <w:jc w:val="left"/>
              <w:textAlignment w:val="top"/>
              <w:rPr>
                <w:rFonts w:hint="eastAsia" w:ascii="仿宋_GB2312" w:hAnsi="宋体" w:eastAsia="仿宋_GB2312" w:cs="宋体"/>
                <w:kern w:val="0"/>
                <w:sz w:val="22"/>
                <w:highlight w:val="none"/>
              </w:rPr>
            </w:pPr>
          </w:p>
        </w:tc>
        <w:tc>
          <w:tcPr>
            <w:tcW w:w="1360" w:type="dxa"/>
            <w:tcBorders>
              <w:top w:val="single" w:color="000000" w:sz="4" w:space="0"/>
              <w:left w:val="single" w:color="auto" w:sz="4" w:space="0"/>
              <w:bottom w:val="single" w:color="000000" w:sz="4" w:space="0"/>
              <w:right w:val="single" w:color="auto" w:sz="4" w:space="0"/>
            </w:tcBorders>
            <w:noWrap w:val="0"/>
            <w:vAlign w:val="center"/>
          </w:tcPr>
          <w:p w14:paraId="06557773">
            <w:pPr>
              <w:widowControl/>
              <w:jc w:val="center"/>
              <w:textAlignment w:val="center"/>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一般处罚</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7D4AA330">
            <w:pPr>
              <w:widowControl/>
              <w:jc w:val="both"/>
              <w:textAlignment w:val="top"/>
              <w:rPr>
                <w:rFonts w:hint="eastAsia" w:ascii="仿宋_GB2312" w:hAnsi="宋体" w:eastAsia="仿宋_GB2312" w:cs="宋体"/>
                <w:kern w:val="0"/>
                <w:sz w:val="22"/>
                <w:highlight w:val="none"/>
                <w:lang w:eastAsia="zh-CN"/>
              </w:rPr>
            </w:pPr>
            <w:r>
              <w:rPr>
                <w:rFonts w:hint="eastAsia" w:ascii="仿宋_GB2312" w:hAnsi="仿宋_GB2312" w:eastAsia="仿宋_GB2312" w:cs="仿宋_GB2312"/>
                <w:kern w:val="0"/>
                <w:sz w:val="24"/>
                <w:highlight w:val="none"/>
                <w:lang w:val="en-US" w:eastAsia="zh-CN"/>
              </w:rPr>
              <w:t>逾期未改正，</w:t>
            </w:r>
            <w:r>
              <w:rPr>
                <w:rFonts w:hint="eastAsia" w:ascii="仿宋_GB2312" w:hAnsi="仿宋_GB2312" w:eastAsia="仿宋_GB2312" w:cs="仿宋_GB2312"/>
                <w:kern w:val="0"/>
                <w:sz w:val="24"/>
                <w:highlight w:val="none"/>
              </w:rPr>
              <w:t>实施本违法行为2次以上造成不良社会影响</w:t>
            </w:r>
            <w:r>
              <w:rPr>
                <w:rFonts w:hint="eastAsia" w:ascii="仿宋_GB2312" w:hAnsi="仿宋_GB2312" w:eastAsia="仿宋_GB2312" w:cs="仿宋_GB2312"/>
                <w:kern w:val="0"/>
                <w:sz w:val="24"/>
                <w:highlight w:val="none"/>
                <w:lang w:val="en-US" w:eastAsia="zh-CN"/>
              </w:rPr>
              <w:t>或拒不改正，</w:t>
            </w:r>
            <w:r>
              <w:rPr>
                <w:rFonts w:hint="eastAsia" w:ascii="仿宋_GB2312" w:hAnsi="仿宋_GB2312" w:eastAsia="仿宋_GB2312" w:cs="仿宋_GB2312"/>
                <w:kern w:val="0"/>
                <w:sz w:val="24"/>
                <w:highlight w:val="none"/>
              </w:rPr>
              <w:t>违法行为处于持续状态</w:t>
            </w:r>
            <w:r>
              <w:rPr>
                <w:rFonts w:hint="eastAsia" w:ascii="仿宋_GB2312" w:hAnsi="仿宋_GB2312" w:eastAsia="仿宋_GB2312" w:cs="仿宋_GB2312"/>
                <w:kern w:val="0"/>
                <w:sz w:val="24"/>
                <w:highlight w:val="none"/>
                <w:lang w:eastAsia="zh-CN"/>
              </w:rPr>
              <w:t>。</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763B0400">
            <w:pPr>
              <w:widowControl/>
              <w:jc w:val="left"/>
              <w:textAlignment w:val="top"/>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处</w:t>
            </w:r>
            <w:r>
              <w:rPr>
                <w:rFonts w:hint="eastAsia" w:ascii="仿宋_GB2312" w:hAnsi="仿宋_GB2312" w:eastAsia="仿宋_GB2312" w:cs="仿宋_GB2312"/>
                <w:kern w:val="0"/>
                <w:sz w:val="24"/>
                <w:highlight w:val="none"/>
                <w:lang w:val="en-US" w:eastAsia="zh-CN"/>
              </w:rPr>
              <w:t>1万</w:t>
            </w:r>
            <w:r>
              <w:rPr>
                <w:rFonts w:hint="eastAsia" w:ascii="仿宋_GB2312" w:hAnsi="仿宋_GB2312" w:eastAsia="仿宋_GB2312" w:cs="仿宋_GB2312"/>
                <w:kern w:val="0"/>
                <w:sz w:val="24"/>
                <w:highlight w:val="none"/>
              </w:rPr>
              <w:t>元以上2万元以下罚款</w:t>
            </w:r>
          </w:p>
        </w:tc>
      </w:tr>
      <w:tr w14:paraId="68BBBD10">
        <w:tblPrEx>
          <w:tblCellMar>
            <w:top w:w="0" w:type="dxa"/>
            <w:left w:w="108" w:type="dxa"/>
            <w:bottom w:w="0" w:type="dxa"/>
            <w:right w:w="108" w:type="dxa"/>
          </w:tblCellMar>
        </w:tblPrEx>
        <w:trPr>
          <w:trHeight w:val="1304" w:hRule="exact"/>
        </w:trPr>
        <w:tc>
          <w:tcPr>
            <w:tcW w:w="910" w:type="dxa"/>
            <w:vMerge w:val="continue"/>
            <w:tcBorders>
              <w:left w:val="single" w:color="000000" w:sz="4" w:space="0"/>
              <w:bottom w:val="single" w:color="000000" w:sz="4" w:space="0"/>
              <w:right w:val="single" w:color="000000" w:sz="4" w:space="0"/>
            </w:tcBorders>
            <w:noWrap w:val="0"/>
            <w:vAlign w:val="center"/>
          </w:tcPr>
          <w:p w14:paraId="00215D03">
            <w:pPr>
              <w:widowControl/>
              <w:jc w:val="left"/>
              <w:textAlignment w:val="top"/>
              <w:rPr>
                <w:rFonts w:hint="eastAsia" w:ascii="仿宋_GB2312" w:hAnsi="宋体" w:eastAsia="仿宋_GB2312" w:cs="宋体"/>
                <w:kern w:val="0"/>
                <w:sz w:val="22"/>
                <w:highlight w:val="none"/>
              </w:rPr>
            </w:pPr>
          </w:p>
        </w:tc>
        <w:tc>
          <w:tcPr>
            <w:tcW w:w="1884" w:type="dxa"/>
            <w:vMerge w:val="continue"/>
            <w:tcBorders>
              <w:left w:val="single" w:color="000000" w:sz="4" w:space="0"/>
              <w:bottom w:val="single" w:color="000000" w:sz="4" w:space="0"/>
              <w:right w:val="single" w:color="auto" w:sz="4" w:space="0"/>
            </w:tcBorders>
            <w:noWrap w:val="0"/>
            <w:vAlign w:val="center"/>
          </w:tcPr>
          <w:p w14:paraId="6315CB3D">
            <w:pPr>
              <w:widowControl/>
              <w:jc w:val="left"/>
              <w:textAlignment w:val="top"/>
              <w:rPr>
                <w:rFonts w:hint="eastAsia" w:ascii="仿宋_GB2312" w:hAnsi="宋体" w:eastAsia="仿宋_GB2312" w:cs="宋体"/>
                <w:kern w:val="0"/>
                <w:sz w:val="22"/>
                <w:highlight w:val="none"/>
              </w:rPr>
            </w:pPr>
          </w:p>
        </w:tc>
        <w:tc>
          <w:tcPr>
            <w:tcW w:w="2924" w:type="dxa"/>
            <w:vMerge w:val="continue"/>
            <w:tcBorders>
              <w:left w:val="single" w:color="auto" w:sz="4" w:space="0"/>
              <w:bottom w:val="single" w:color="000000" w:sz="4" w:space="0"/>
              <w:right w:val="single" w:color="auto" w:sz="4" w:space="0"/>
            </w:tcBorders>
            <w:noWrap w:val="0"/>
            <w:vAlign w:val="center"/>
          </w:tcPr>
          <w:p w14:paraId="42784E1A">
            <w:pPr>
              <w:widowControl/>
              <w:jc w:val="left"/>
              <w:textAlignment w:val="top"/>
              <w:rPr>
                <w:rFonts w:hint="eastAsia" w:ascii="仿宋_GB2312" w:hAnsi="宋体" w:eastAsia="仿宋_GB2312" w:cs="宋体"/>
                <w:kern w:val="0"/>
                <w:sz w:val="22"/>
                <w:highlight w:val="none"/>
              </w:rPr>
            </w:pPr>
          </w:p>
        </w:tc>
        <w:tc>
          <w:tcPr>
            <w:tcW w:w="2970" w:type="dxa"/>
            <w:vMerge w:val="continue"/>
            <w:tcBorders>
              <w:left w:val="single" w:color="auto" w:sz="4" w:space="0"/>
              <w:bottom w:val="single" w:color="000000" w:sz="4" w:space="0"/>
              <w:right w:val="single" w:color="auto" w:sz="4" w:space="0"/>
            </w:tcBorders>
            <w:noWrap w:val="0"/>
            <w:vAlign w:val="center"/>
          </w:tcPr>
          <w:p w14:paraId="3C90C191">
            <w:pPr>
              <w:widowControl/>
              <w:jc w:val="left"/>
              <w:textAlignment w:val="top"/>
              <w:rPr>
                <w:rFonts w:hint="eastAsia" w:ascii="仿宋_GB2312" w:hAnsi="宋体" w:eastAsia="仿宋_GB2312" w:cs="宋体"/>
                <w:kern w:val="0"/>
                <w:sz w:val="22"/>
                <w:highlight w:val="none"/>
              </w:rPr>
            </w:pPr>
          </w:p>
        </w:tc>
        <w:tc>
          <w:tcPr>
            <w:tcW w:w="1360" w:type="dxa"/>
            <w:tcBorders>
              <w:top w:val="single" w:color="000000" w:sz="4" w:space="0"/>
              <w:left w:val="single" w:color="auto" w:sz="4" w:space="0"/>
              <w:bottom w:val="single" w:color="000000" w:sz="4" w:space="0"/>
              <w:right w:val="single" w:color="auto" w:sz="4" w:space="0"/>
            </w:tcBorders>
            <w:noWrap w:val="0"/>
            <w:vAlign w:val="center"/>
          </w:tcPr>
          <w:p w14:paraId="347550F2">
            <w:pPr>
              <w:widowControl/>
              <w:jc w:val="center"/>
              <w:textAlignment w:val="center"/>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从重处罚</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675E3930">
            <w:pPr>
              <w:widowControl/>
              <w:jc w:val="both"/>
              <w:textAlignment w:val="top"/>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lang w:val="en-US" w:eastAsia="zh-CN"/>
              </w:rPr>
              <w:t>逾期未改正，因实施同类行为受过行政处罚或</w:t>
            </w:r>
            <w:r>
              <w:rPr>
                <w:rFonts w:hint="eastAsia" w:ascii="仿宋_GB2312" w:hAnsi="仿宋_GB2312" w:eastAsia="仿宋_GB2312" w:cs="仿宋_GB2312"/>
                <w:kern w:val="0"/>
                <w:sz w:val="24"/>
                <w:highlight w:val="none"/>
              </w:rPr>
              <w:t>造成</w:t>
            </w:r>
            <w:r>
              <w:rPr>
                <w:rFonts w:hint="eastAsia" w:ascii="仿宋_GB2312" w:hAnsi="仿宋_GB2312" w:eastAsia="仿宋_GB2312" w:cs="仿宋_GB2312"/>
                <w:kern w:val="0"/>
                <w:sz w:val="24"/>
                <w:highlight w:val="none"/>
                <w:lang w:val="en-US" w:eastAsia="zh-CN"/>
              </w:rPr>
              <w:t>人员伤亡、较大财产损失等</w:t>
            </w:r>
            <w:r>
              <w:rPr>
                <w:rFonts w:hint="eastAsia" w:ascii="仿宋_GB2312" w:hAnsi="仿宋_GB2312" w:eastAsia="仿宋_GB2312" w:cs="仿宋_GB2312"/>
                <w:kern w:val="0"/>
                <w:sz w:val="24"/>
                <w:highlight w:val="none"/>
              </w:rPr>
              <w:t>严重危害后果。</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7233F7FD">
            <w:pPr>
              <w:widowControl/>
              <w:jc w:val="left"/>
              <w:textAlignment w:val="top"/>
              <w:rPr>
                <w:rFonts w:hint="eastAsia" w:ascii="仿宋_GB2312" w:hAnsi="宋体" w:eastAsia="仿宋_GB2312" w:cs="宋体"/>
                <w:kern w:val="0"/>
                <w:sz w:val="22"/>
                <w:highlight w:val="none"/>
              </w:rPr>
            </w:pPr>
            <w:r>
              <w:rPr>
                <w:rFonts w:hint="eastAsia" w:ascii="仿宋_GB2312" w:hAnsi="仿宋_GB2312" w:eastAsia="仿宋_GB2312" w:cs="仿宋_GB2312"/>
                <w:kern w:val="0"/>
                <w:sz w:val="24"/>
                <w:highlight w:val="none"/>
              </w:rPr>
              <w:t>处2万元以上3万元以下罚款</w:t>
            </w:r>
          </w:p>
        </w:tc>
      </w:tr>
      <w:tr w14:paraId="054BB234">
        <w:tblPrEx>
          <w:tblCellMar>
            <w:top w:w="0" w:type="dxa"/>
            <w:left w:w="108" w:type="dxa"/>
            <w:bottom w:w="0" w:type="dxa"/>
            <w:right w:w="108" w:type="dxa"/>
          </w:tblCellMar>
        </w:tblPrEx>
        <w:trPr>
          <w:trHeight w:val="1390" w:hRule="atLeast"/>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EA212D7">
            <w:pPr>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备注</w:t>
            </w:r>
          </w:p>
        </w:tc>
        <w:tc>
          <w:tcPr>
            <w:tcW w:w="13730" w:type="dxa"/>
            <w:gridSpan w:val="6"/>
            <w:tcBorders>
              <w:top w:val="single" w:color="000000" w:sz="4" w:space="0"/>
              <w:left w:val="single" w:color="000000" w:sz="4" w:space="0"/>
              <w:bottom w:val="single" w:color="000000" w:sz="4" w:space="0"/>
              <w:right w:val="single" w:color="000000" w:sz="4" w:space="0"/>
            </w:tcBorders>
            <w:noWrap w:val="0"/>
            <w:vAlign w:val="center"/>
          </w:tcPr>
          <w:p w14:paraId="44A3F864">
            <w:pPr>
              <w:widowControl/>
              <w:jc w:val="left"/>
              <w:textAlignment w:val="top"/>
              <w:rPr>
                <w:rFonts w:ascii="仿宋_GB2312" w:hAnsi="仿宋_GB2312" w:eastAsia="仿宋_GB2312" w:cs="仿宋_GB2312"/>
                <w:kern w:val="0"/>
                <w:sz w:val="24"/>
                <w:highlight w:val="none"/>
              </w:rPr>
            </w:pPr>
            <w:r>
              <w:rPr>
                <w:rFonts w:hint="eastAsia" w:ascii="仿宋_GB2312" w:hAnsi="宋体" w:eastAsia="仿宋_GB2312" w:cs="宋体"/>
                <w:kern w:val="0"/>
                <w:sz w:val="22"/>
                <w:highlight w:val="none"/>
              </w:rPr>
              <w:t>1.当事人有《中华人民共和国行政处罚法》规定不予</w:t>
            </w:r>
            <w:r>
              <w:rPr>
                <w:rFonts w:ascii="仿宋_GB2312" w:hAnsi="宋体" w:eastAsia="仿宋_GB2312" w:cs="宋体"/>
                <w:kern w:val="0"/>
                <w:sz w:val="22"/>
                <w:highlight w:val="none"/>
              </w:rPr>
              <w:t>、免予</w:t>
            </w:r>
            <w:r>
              <w:rPr>
                <w:rFonts w:hint="eastAsia" w:ascii="仿宋_GB2312" w:hAnsi="宋体" w:eastAsia="仿宋_GB2312" w:cs="宋体"/>
                <w:kern w:val="0"/>
                <w:sz w:val="22"/>
                <w:highlight w:val="none"/>
              </w:rPr>
              <w:t>、从轻、减轻或者从重行政</w:t>
            </w:r>
            <w:r>
              <w:rPr>
                <w:rFonts w:ascii="仿宋_GB2312" w:hAnsi="宋体" w:eastAsia="仿宋_GB2312" w:cs="宋体"/>
                <w:kern w:val="0"/>
                <w:sz w:val="22"/>
                <w:highlight w:val="none"/>
              </w:rPr>
              <w:t>处罚</w:t>
            </w:r>
            <w:r>
              <w:rPr>
                <w:rFonts w:hint="eastAsia" w:ascii="仿宋_GB2312" w:hAnsi="宋体" w:eastAsia="仿宋_GB2312" w:cs="宋体"/>
                <w:kern w:val="0"/>
                <w:sz w:val="22"/>
                <w:highlight w:val="none"/>
              </w:rPr>
              <w:t>情节的，应当依法不予</w:t>
            </w:r>
            <w:r>
              <w:rPr>
                <w:rFonts w:ascii="仿宋_GB2312" w:hAnsi="宋体" w:eastAsia="仿宋_GB2312" w:cs="宋体"/>
                <w:kern w:val="0"/>
                <w:sz w:val="22"/>
                <w:highlight w:val="none"/>
              </w:rPr>
              <w:t>、免予、</w:t>
            </w:r>
            <w:r>
              <w:rPr>
                <w:rFonts w:hint="eastAsia" w:ascii="仿宋_GB2312" w:hAnsi="宋体" w:eastAsia="仿宋_GB2312" w:cs="宋体"/>
                <w:kern w:val="0"/>
                <w:sz w:val="22"/>
                <w:highlight w:val="none"/>
              </w:rPr>
              <w:t>从轻、减轻或者从重处罚。</w:t>
            </w:r>
            <w:r>
              <w:rPr>
                <w:rFonts w:hint="eastAsia" w:ascii="仿宋_GB2312" w:hAnsi="宋体" w:eastAsia="仿宋_GB2312" w:cs="宋体"/>
                <w:kern w:val="0"/>
                <w:sz w:val="22"/>
                <w:highlight w:val="none"/>
              </w:rPr>
              <w:br w:type="textWrapping"/>
            </w:r>
            <w:r>
              <w:rPr>
                <w:rFonts w:hint="eastAsia" w:ascii="仿宋_GB2312" w:hAnsi="宋体" w:eastAsia="仿宋_GB2312" w:cs="宋体"/>
                <w:kern w:val="0"/>
                <w:sz w:val="22"/>
                <w:highlight w:val="none"/>
              </w:rPr>
              <w:t>2.本裁量基准违法情节、处罚裁量标准中“以上”包括本数，“以下”不包括本数，但最高阶次“以下”均包括本数。</w:t>
            </w:r>
          </w:p>
        </w:tc>
      </w:tr>
    </w:tbl>
    <w:p w14:paraId="4A70E6E9"/>
    <w:p w14:paraId="6E499D08"/>
    <w:p w14:paraId="6F4B5175">
      <w:bookmarkStart w:id="0" w:name="_GoBack"/>
      <w:bookmarkEnd w:id="0"/>
    </w:p>
    <w:sectPr>
      <w:footerReference r:id="rId3"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简体"/>
    <w:panose1 w:val="02000000000000000000"/>
    <w:charset w:val="86"/>
    <w:family w:val="auto"/>
    <w:pitch w:val="default"/>
    <w:sig w:usb0="00000001" w:usb1="08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3DC73">
    <w:pPr>
      <w:pStyle w:val="2"/>
      <w:jc w:val="right"/>
    </w:pPr>
    <w:r>
      <w:rPr>
        <w:rFonts w:hint="eastAsia"/>
      </w:rPr>
      <w:t xml:space="preserve">- </w:t>
    </w:r>
    <w:r>
      <w:fldChar w:fldCharType="begin"/>
    </w:r>
    <w:r>
      <w:instrText xml:space="preserve"> PAGE   \* MERGEFORMAT </w:instrText>
    </w:r>
    <w:r>
      <w:fldChar w:fldCharType="separate"/>
    </w:r>
    <w:r>
      <w:rPr>
        <w:lang w:val="zh-CN"/>
      </w:rPr>
      <w:t>1</w:t>
    </w:r>
    <w:r>
      <w:rPr>
        <w:lang w:val="zh-CN"/>
      </w:rPr>
      <w:fldChar w:fldCharType="end"/>
    </w:r>
    <w:r>
      <w:rPr>
        <w:rFonts w:hint="eastAsia"/>
      </w:rPr>
      <w:t xml:space="preserve"> -</w:t>
    </w:r>
  </w:p>
  <w:p w14:paraId="5D0F7EC0">
    <w:pPr>
      <w:pStyle w:val="2"/>
      <w:tabs>
        <w:tab w:val="left" w:pos="10017"/>
        <w:tab w:val="clear" w:pos="4153"/>
        <w:tab w:val="clear" w:pos="8306"/>
      </w:tabs>
    </w:pPr>
    <w: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9B7FFF"/>
    <w:rsid w:val="069B7FFF"/>
    <w:rsid w:val="07832970"/>
    <w:rsid w:val="2935022C"/>
    <w:rsid w:val="30CB3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ascii="宋体" w:hAnsi="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1034</Words>
  <Characters>1071</Characters>
  <Lines>0</Lines>
  <Paragraphs>0</Paragraphs>
  <TotalTime>13</TotalTime>
  <ScaleCrop>false</ScaleCrop>
  <LinksUpToDate>false</LinksUpToDate>
  <CharactersWithSpaces>1071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2026-10-22T09:04:00Z</dcterms:created>
  <dc:creator>帽子峰</dc:creator>
  <cp:lastModifiedBy>尚亚</cp:lastModifiedBy>
  <cp:lastPrinted>2026-10-22T09:06:00Z</cp:lastPrinted>
  <dcterms:modified xsi:type="dcterms:W3CDTF">2026-10-28T08:10:35Z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5EC94A7543744594A86C250550FDF3E1_13</vt:lpwstr>
  </property>
  <property fmtid="{D5CDD505-2E9C-101B-9397-08002B2CF9AE}" pid="4" name="KSOTemplateDocerSaveRecord">
    <vt:lpwstr>eyJoZGlkIjoiNTAwY2Q3NDI5ZjBhMjMxOWYzNWQzNWUxZTE5NjE4OGMiLCJ1c2VySWQiOiI1NTQzNDEyMTYifQ==</vt:lpwstr>
  </property>
</Properties>
</file>