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ascii="华文中宋" w:hAnsi="华文中宋" w:eastAsiaTheme="minorEastAsia"/>
          <w:bCs/>
          <w:sz w:val="44"/>
          <w:szCs w:val="44"/>
          <w:lang w:eastAsia="zh-CN"/>
        </w:rPr>
      </w:pPr>
    </w:p>
    <w:p>
      <w:pPr>
        <w:ind w:firstLine="0" w:firstLineChars="0"/>
        <w:jc w:val="center"/>
        <w:rPr>
          <w:rFonts w:ascii="华文中宋" w:hAnsi="华文中宋" w:eastAsia="华文中宋"/>
          <w:bCs/>
          <w:sz w:val="44"/>
          <w:szCs w:val="44"/>
        </w:rPr>
      </w:pPr>
    </w:p>
    <w:p>
      <w:pPr>
        <w:ind w:firstLine="0" w:firstLineChars="0"/>
        <w:jc w:val="center"/>
        <w:rPr>
          <w:rFonts w:ascii="华文中宋" w:hAnsi="华文中宋" w:eastAsia="华文中宋"/>
          <w:bCs/>
          <w:sz w:val="44"/>
          <w:szCs w:val="44"/>
        </w:rPr>
      </w:pPr>
      <w:r>
        <w:rPr>
          <w:rFonts w:hint="eastAsia" w:ascii="华文中宋" w:hAnsi="华文中宋" w:eastAsia="华文中宋"/>
          <w:bCs/>
          <w:sz w:val="44"/>
          <w:szCs w:val="44"/>
        </w:rPr>
        <w:t>青岛市“十四五”体育事业发展规划</w:t>
      </w:r>
    </w:p>
    <w:p>
      <w:pPr>
        <w:ind w:firstLine="0" w:firstLineChars="0"/>
        <w:jc w:val="center"/>
        <w:rPr>
          <w:rFonts w:ascii="华文中宋" w:hAnsi="华文中宋" w:eastAsia="华文中宋"/>
          <w:bCs/>
          <w:sz w:val="44"/>
          <w:szCs w:val="44"/>
        </w:rPr>
      </w:pPr>
      <w:r>
        <w:rPr>
          <w:rFonts w:hint="eastAsia" w:ascii="华文中宋" w:hAnsi="华文中宋" w:eastAsia="华文中宋"/>
          <w:bCs/>
          <w:sz w:val="44"/>
          <w:szCs w:val="44"/>
        </w:rPr>
        <w:t>（征求意见稿）</w:t>
      </w:r>
    </w:p>
    <w:p>
      <w:pPr>
        <w:ind w:firstLine="0" w:firstLineChars="0"/>
        <w:jc w:val="center"/>
        <w:rPr>
          <w:rFonts w:ascii="华文中宋" w:hAnsi="华文中宋" w:eastAsia="华文中宋"/>
          <w:bCs/>
          <w:sz w:val="44"/>
          <w:szCs w:val="44"/>
        </w:rPr>
      </w:pPr>
    </w:p>
    <w:p>
      <w:pPr>
        <w:ind w:firstLine="0" w:firstLineChars="0"/>
        <w:jc w:val="center"/>
        <w:rPr>
          <w:rFonts w:ascii="华文中宋" w:hAnsi="华文中宋" w:eastAsia="华文中宋"/>
          <w:bCs/>
          <w:sz w:val="44"/>
          <w:szCs w:val="44"/>
        </w:rPr>
      </w:pPr>
    </w:p>
    <w:p>
      <w:pPr>
        <w:ind w:firstLine="0" w:firstLineChars="0"/>
        <w:jc w:val="center"/>
        <w:rPr>
          <w:rFonts w:ascii="华文中宋" w:hAnsi="华文中宋" w:eastAsia="华文中宋"/>
          <w:bCs/>
          <w:sz w:val="44"/>
          <w:szCs w:val="44"/>
        </w:rPr>
      </w:pPr>
    </w:p>
    <w:p>
      <w:pPr>
        <w:ind w:firstLine="0" w:firstLineChars="0"/>
        <w:jc w:val="center"/>
        <w:rPr>
          <w:rFonts w:ascii="华文中宋" w:hAnsi="华文中宋" w:eastAsia="华文中宋"/>
          <w:bCs/>
          <w:sz w:val="44"/>
          <w:szCs w:val="44"/>
        </w:rPr>
      </w:pPr>
    </w:p>
    <w:p>
      <w:pPr>
        <w:ind w:firstLine="0" w:firstLineChars="0"/>
        <w:jc w:val="center"/>
        <w:rPr>
          <w:rFonts w:ascii="华文中宋" w:hAnsi="华文中宋" w:eastAsia="华文中宋"/>
          <w:bCs/>
          <w:sz w:val="44"/>
          <w:szCs w:val="44"/>
        </w:rPr>
      </w:pPr>
    </w:p>
    <w:p>
      <w:pPr>
        <w:ind w:firstLine="0" w:firstLineChars="0"/>
        <w:jc w:val="center"/>
        <w:rPr>
          <w:rFonts w:ascii="华文中宋" w:hAnsi="华文中宋" w:eastAsia="华文中宋"/>
          <w:bCs/>
          <w:sz w:val="44"/>
          <w:szCs w:val="44"/>
        </w:rPr>
      </w:pPr>
    </w:p>
    <w:p>
      <w:pPr>
        <w:ind w:firstLine="0" w:firstLineChars="0"/>
        <w:jc w:val="center"/>
        <w:rPr>
          <w:rFonts w:ascii="华文中宋" w:hAnsi="华文中宋" w:eastAsia="华文中宋"/>
          <w:bCs/>
          <w:sz w:val="44"/>
          <w:szCs w:val="44"/>
        </w:rPr>
      </w:pPr>
    </w:p>
    <w:p>
      <w:pPr>
        <w:ind w:firstLine="0" w:firstLineChars="0"/>
        <w:jc w:val="center"/>
        <w:rPr>
          <w:rFonts w:ascii="华文中宋" w:hAnsi="华文中宋" w:eastAsia="华文中宋"/>
          <w:bCs/>
          <w:sz w:val="44"/>
          <w:szCs w:val="44"/>
        </w:rPr>
      </w:pPr>
    </w:p>
    <w:p>
      <w:pPr>
        <w:ind w:firstLine="0" w:firstLineChars="0"/>
        <w:jc w:val="center"/>
        <w:rPr>
          <w:rFonts w:ascii="华文中宋" w:hAnsi="华文中宋" w:eastAsia="华文中宋"/>
          <w:bCs/>
          <w:sz w:val="44"/>
          <w:szCs w:val="44"/>
        </w:rPr>
      </w:pPr>
    </w:p>
    <w:p>
      <w:pPr>
        <w:ind w:firstLine="0" w:firstLineChars="0"/>
        <w:jc w:val="center"/>
        <w:rPr>
          <w:rFonts w:ascii="华文中宋" w:hAnsi="华文中宋" w:eastAsia="华文中宋"/>
          <w:bCs/>
          <w:sz w:val="44"/>
          <w:szCs w:val="44"/>
        </w:rPr>
      </w:pPr>
    </w:p>
    <w:p>
      <w:pPr>
        <w:ind w:firstLine="0" w:firstLineChars="0"/>
        <w:jc w:val="center"/>
        <w:rPr>
          <w:rFonts w:ascii="华文中宋" w:hAnsi="华文中宋" w:eastAsia="华文中宋"/>
          <w:bCs/>
          <w:sz w:val="44"/>
          <w:szCs w:val="44"/>
        </w:rPr>
      </w:pPr>
    </w:p>
    <w:p>
      <w:pPr>
        <w:ind w:firstLine="0" w:firstLineChars="0"/>
        <w:jc w:val="center"/>
        <w:rPr>
          <w:rFonts w:ascii="华文中宋" w:hAnsi="华文中宋" w:eastAsia="华文中宋"/>
          <w:bCs/>
          <w:sz w:val="44"/>
          <w:szCs w:val="44"/>
        </w:rPr>
      </w:pPr>
    </w:p>
    <w:p>
      <w:pPr>
        <w:ind w:firstLine="0" w:firstLineChars="0"/>
        <w:jc w:val="center"/>
        <w:rPr>
          <w:rFonts w:ascii="华文中宋" w:hAnsi="华文中宋" w:eastAsia="华文中宋"/>
          <w:bCs/>
          <w:sz w:val="44"/>
          <w:szCs w:val="44"/>
        </w:rPr>
      </w:pPr>
    </w:p>
    <w:p>
      <w:pPr>
        <w:ind w:firstLine="0" w:firstLineChars="0"/>
        <w:jc w:val="center"/>
        <w:rPr>
          <w:rFonts w:ascii="华文中宋" w:hAnsi="华文中宋" w:eastAsia="华文中宋"/>
          <w:bCs/>
          <w:sz w:val="44"/>
          <w:szCs w:val="44"/>
        </w:rPr>
      </w:pPr>
    </w:p>
    <w:p>
      <w:pPr>
        <w:ind w:firstLine="0" w:firstLineChars="0"/>
        <w:jc w:val="center"/>
        <w:rPr>
          <w:rFonts w:ascii="华文中宋" w:hAnsi="华文中宋" w:eastAsia="华文中宋"/>
          <w:bCs/>
          <w:sz w:val="44"/>
          <w:szCs w:val="44"/>
        </w:rPr>
      </w:pPr>
    </w:p>
    <w:p>
      <w:pPr>
        <w:ind w:firstLine="0" w:firstLineChars="0"/>
        <w:jc w:val="center"/>
        <w:rPr>
          <w:rFonts w:ascii="华文中宋" w:hAnsi="华文中宋" w:eastAsia="华文中宋"/>
          <w:bCs/>
          <w:sz w:val="44"/>
          <w:szCs w:val="44"/>
        </w:rPr>
      </w:pPr>
    </w:p>
    <w:p>
      <w:pPr>
        <w:ind w:firstLine="0" w:firstLineChars="0"/>
        <w:jc w:val="center"/>
        <w:rPr>
          <w:rFonts w:ascii="楷体" w:hAnsi="楷体" w:eastAsia="楷体"/>
          <w:bCs/>
          <w:sz w:val="44"/>
          <w:szCs w:val="44"/>
        </w:rPr>
      </w:pPr>
      <w:r>
        <w:rPr>
          <w:rFonts w:hint="eastAsia" w:ascii="楷体" w:hAnsi="楷体" w:eastAsia="楷体"/>
          <w:bCs/>
          <w:sz w:val="44"/>
          <w:szCs w:val="44"/>
        </w:rPr>
        <w:t>2021年3月</w:t>
      </w:r>
    </w:p>
    <w:p>
      <w:pPr>
        <w:ind w:firstLine="0" w:firstLineChars="0"/>
        <w:jc w:val="center"/>
        <w:rPr>
          <w:rFonts w:ascii="华文中宋" w:hAnsi="华文中宋" w:eastAsia="华文中宋"/>
          <w:bCs/>
          <w:sz w:val="44"/>
          <w:szCs w:val="44"/>
        </w:rPr>
      </w:pPr>
    </w:p>
    <w:p>
      <w:pPr>
        <w:ind w:firstLine="0" w:firstLineChars="0"/>
        <w:jc w:val="center"/>
        <w:rPr>
          <w:rFonts w:ascii="华文中宋" w:hAnsi="华文中宋" w:eastAsia="华文中宋"/>
          <w:bCs/>
          <w:sz w:val="44"/>
          <w:szCs w:val="44"/>
        </w:rPr>
      </w:pPr>
    </w:p>
    <w:p>
      <w:pPr>
        <w:pStyle w:val="6"/>
        <w:ind w:firstLine="640"/>
        <w:rPr>
          <w:bCs/>
        </w:rPr>
        <w:sectPr>
          <w:headerReference r:id="rId7" w:type="first"/>
          <w:footerReference r:id="rId10" w:type="first"/>
          <w:headerReference r:id="rId5" w:type="default"/>
          <w:footerReference r:id="rId8" w:type="default"/>
          <w:headerReference r:id="rId6" w:type="even"/>
          <w:footerReference r:id="rId9" w:type="even"/>
          <w:pgSz w:w="11906" w:h="16838"/>
          <w:pgMar w:top="1588" w:right="1588" w:bottom="1588" w:left="1588" w:header="851" w:footer="992" w:gutter="0"/>
          <w:cols w:space="425" w:num="1"/>
          <w:docGrid w:type="lines" w:linePitch="312" w:charSpace="0"/>
        </w:sectPr>
      </w:pPr>
    </w:p>
    <w:p>
      <w:pPr>
        <w:pStyle w:val="18"/>
        <w:tabs>
          <w:tab w:val="right" w:leader="dot" w:pos="8296"/>
        </w:tabs>
        <w:ind w:firstLine="0" w:firstLineChars="0"/>
        <w:jc w:val="center"/>
        <w:rPr>
          <w:rFonts w:eastAsia="黑体" w:cs="Times New Roman"/>
          <w:bCs/>
          <w:sz w:val="44"/>
          <w:szCs w:val="44"/>
        </w:rPr>
      </w:pPr>
      <w:r>
        <w:rPr>
          <w:rFonts w:hint="eastAsia" w:eastAsia="黑体" w:cs="Times New Roman"/>
          <w:bCs/>
          <w:sz w:val="44"/>
          <w:szCs w:val="44"/>
        </w:rPr>
        <w:t>目 录</w:t>
      </w:r>
    </w:p>
    <w:p>
      <w:pPr>
        <w:ind w:firstLine="640"/>
        <w:rPr>
          <w:bCs/>
        </w:rPr>
      </w:pPr>
    </w:p>
    <w:p>
      <w:pPr>
        <w:pStyle w:val="6"/>
        <w:rPr>
          <w:rFonts w:asciiTheme="minorHAnsi" w:hAnsiTheme="minorHAnsi" w:eastAsiaTheme="minorEastAsia"/>
          <w:sz w:val="21"/>
        </w:rPr>
      </w:pPr>
      <w:r>
        <w:rPr>
          <w:bCs/>
          <w:szCs w:val="32"/>
        </w:rPr>
        <w:fldChar w:fldCharType="begin"/>
      </w:r>
      <w:r>
        <w:rPr>
          <w:bCs/>
          <w:szCs w:val="32"/>
        </w:rPr>
        <w:instrText xml:space="preserve"> TOC \o "1-3" \h \z \u </w:instrText>
      </w:r>
      <w:r>
        <w:rPr>
          <w:bCs/>
          <w:szCs w:val="32"/>
        </w:rPr>
        <w:fldChar w:fldCharType="separate"/>
      </w:r>
      <w:r>
        <w:fldChar w:fldCharType="begin"/>
      </w:r>
      <w:r>
        <w:instrText xml:space="preserve"> HYPERLINK \l "_Toc66174882" </w:instrText>
      </w:r>
      <w:r>
        <w:fldChar w:fldCharType="separate"/>
      </w:r>
      <w:r>
        <w:rPr>
          <w:rStyle w:val="12"/>
          <w:rFonts w:hint="eastAsia" w:ascii="黑体" w:hAnsi="黑体" w:eastAsia="黑体"/>
          <w:bCs/>
        </w:rPr>
        <w:t>一、开启全面迈向社会主义现代化体育强市新征程</w:t>
      </w:r>
      <w:r>
        <w:tab/>
      </w:r>
      <w:r>
        <w:fldChar w:fldCharType="begin"/>
      </w:r>
      <w:r>
        <w:instrText xml:space="preserve"> PAGEREF _Toc66174882 \h </w:instrText>
      </w:r>
      <w:r>
        <w:fldChar w:fldCharType="separate"/>
      </w:r>
      <w:r>
        <w:t>1</w:t>
      </w:r>
      <w:r>
        <w:fldChar w:fldCharType="end"/>
      </w:r>
      <w:r>
        <w:fldChar w:fldCharType="end"/>
      </w:r>
    </w:p>
    <w:p>
      <w:pPr>
        <w:pStyle w:val="7"/>
        <w:tabs>
          <w:tab w:val="right" w:leader="dot" w:pos="8720"/>
        </w:tabs>
        <w:ind w:left="0" w:leftChars="0" w:firstLine="640"/>
        <w:rPr>
          <w:rFonts w:asciiTheme="minorHAnsi" w:hAnsiTheme="minorHAnsi" w:eastAsiaTheme="minorEastAsia"/>
          <w:sz w:val="21"/>
        </w:rPr>
      </w:pPr>
      <w:r>
        <w:fldChar w:fldCharType="begin"/>
      </w:r>
      <w:r>
        <w:instrText xml:space="preserve"> HYPERLINK \l "_Toc66174883" </w:instrText>
      </w:r>
      <w:r>
        <w:fldChar w:fldCharType="separate"/>
      </w:r>
      <w:r>
        <w:rPr>
          <w:rStyle w:val="12"/>
          <w:rFonts w:hint="eastAsia" w:ascii="楷体" w:hAnsi="楷体" w:eastAsia="楷体"/>
          <w:bCs/>
        </w:rPr>
        <w:t>（一）“十三五”时期青岛市体育发展取得显著成就</w:t>
      </w:r>
      <w:r>
        <w:tab/>
      </w:r>
      <w:r>
        <w:fldChar w:fldCharType="begin"/>
      </w:r>
      <w:r>
        <w:instrText xml:space="preserve"> PAGEREF _Toc66174883 \h </w:instrText>
      </w:r>
      <w:r>
        <w:fldChar w:fldCharType="separate"/>
      </w:r>
      <w:r>
        <w:t>1</w:t>
      </w:r>
      <w:r>
        <w:fldChar w:fldCharType="end"/>
      </w:r>
      <w:r>
        <w:fldChar w:fldCharType="end"/>
      </w:r>
    </w:p>
    <w:p>
      <w:pPr>
        <w:pStyle w:val="7"/>
        <w:tabs>
          <w:tab w:val="right" w:leader="dot" w:pos="8720"/>
        </w:tabs>
        <w:ind w:left="0" w:leftChars="0" w:firstLine="640"/>
        <w:rPr>
          <w:rStyle w:val="12"/>
          <w:rFonts w:ascii="楷体" w:hAnsi="楷体" w:eastAsia="楷体"/>
          <w:bCs/>
        </w:rPr>
      </w:pPr>
      <w:r>
        <w:fldChar w:fldCharType="begin"/>
      </w:r>
      <w:r>
        <w:instrText xml:space="preserve"> HYPERLINK \l "_Toc66174884" </w:instrText>
      </w:r>
      <w:r>
        <w:fldChar w:fldCharType="separate"/>
      </w:r>
      <w:r>
        <w:rPr>
          <w:rStyle w:val="12"/>
          <w:rFonts w:hint="eastAsia" w:ascii="楷体" w:hAnsi="楷体" w:eastAsia="楷体"/>
          <w:bCs/>
        </w:rPr>
        <w:t>（二）“十三五”时期青岛市体育发展存在的问题</w:t>
      </w:r>
      <w:r>
        <w:rPr>
          <w:rStyle w:val="12"/>
          <w:rFonts w:ascii="楷体" w:hAnsi="楷体" w:eastAsia="楷体"/>
          <w:bCs/>
        </w:rPr>
        <w:tab/>
      </w:r>
      <w:r>
        <w:rPr>
          <w:rStyle w:val="12"/>
          <w:rFonts w:ascii="楷体" w:hAnsi="楷体" w:eastAsia="楷体"/>
          <w:bCs/>
        </w:rPr>
        <w:fldChar w:fldCharType="begin"/>
      </w:r>
      <w:r>
        <w:rPr>
          <w:rStyle w:val="12"/>
          <w:rFonts w:ascii="楷体" w:hAnsi="楷体" w:eastAsia="楷体"/>
          <w:bCs/>
        </w:rPr>
        <w:instrText xml:space="preserve"> PAGEREF _Toc66174884 \h </w:instrText>
      </w:r>
      <w:r>
        <w:rPr>
          <w:rStyle w:val="12"/>
          <w:rFonts w:ascii="楷体" w:hAnsi="楷体" w:eastAsia="楷体"/>
          <w:bCs/>
        </w:rPr>
        <w:fldChar w:fldCharType="separate"/>
      </w:r>
      <w:r>
        <w:rPr>
          <w:rStyle w:val="12"/>
          <w:rFonts w:ascii="楷体" w:hAnsi="楷体" w:eastAsia="楷体"/>
          <w:bCs/>
        </w:rPr>
        <w:t>5</w:t>
      </w:r>
      <w:r>
        <w:rPr>
          <w:rStyle w:val="12"/>
          <w:rFonts w:ascii="楷体" w:hAnsi="楷体" w:eastAsia="楷体"/>
          <w:bCs/>
        </w:rPr>
        <w:fldChar w:fldCharType="end"/>
      </w:r>
      <w:r>
        <w:rPr>
          <w:rStyle w:val="12"/>
          <w:rFonts w:ascii="楷体" w:hAnsi="楷体" w:eastAsia="楷体"/>
          <w:bCs/>
        </w:rPr>
        <w:fldChar w:fldCharType="end"/>
      </w:r>
    </w:p>
    <w:p>
      <w:pPr>
        <w:pStyle w:val="7"/>
        <w:tabs>
          <w:tab w:val="right" w:leader="dot" w:pos="8720"/>
        </w:tabs>
        <w:ind w:left="0" w:leftChars="0" w:firstLine="640"/>
        <w:rPr>
          <w:rStyle w:val="12"/>
          <w:rFonts w:ascii="楷体" w:hAnsi="楷体" w:eastAsia="楷体"/>
          <w:bCs/>
        </w:rPr>
      </w:pPr>
      <w:r>
        <w:fldChar w:fldCharType="begin"/>
      </w:r>
      <w:r>
        <w:instrText xml:space="preserve"> HYPERLINK \l "_Toc66174885" </w:instrText>
      </w:r>
      <w:r>
        <w:fldChar w:fldCharType="separate"/>
      </w:r>
      <w:r>
        <w:rPr>
          <w:rStyle w:val="12"/>
          <w:rFonts w:hint="eastAsia" w:ascii="楷体" w:hAnsi="楷体" w:eastAsia="楷体"/>
          <w:bCs/>
        </w:rPr>
        <w:t>（三）新时期我市体育发展环境面临深刻复杂变化</w:t>
      </w:r>
      <w:r>
        <w:rPr>
          <w:rStyle w:val="12"/>
          <w:rFonts w:ascii="楷体" w:hAnsi="楷体" w:eastAsia="楷体"/>
          <w:bCs/>
        </w:rPr>
        <w:tab/>
      </w:r>
      <w:r>
        <w:rPr>
          <w:rStyle w:val="12"/>
          <w:rFonts w:ascii="楷体" w:hAnsi="楷体" w:eastAsia="楷体"/>
          <w:bCs/>
        </w:rPr>
        <w:fldChar w:fldCharType="begin"/>
      </w:r>
      <w:r>
        <w:rPr>
          <w:rStyle w:val="12"/>
          <w:rFonts w:ascii="楷体" w:hAnsi="楷体" w:eastAsia="楷体"/>
          <w:bCs/>
        </w:rPr>
        <w:instrText xml:space="preserve"> PAGEREF _Toc66174885 \h </w:instrText>
      </w:r>
      <w:r>
        <w:rPr>
          <w:rStyle w:val="12"/>
          <w:rFonts w:ascii="楷体" w:hAnsi="楷体" w:eastAsia="楷体"/>
          <w:bCs/>
        </w:rPr>
        <w:fldChar w:fldCharType="separate"/>
      </w:r>
      <w:r>
        <w:rPr>
          <w:rStyle w:val="12"/>
          <w:rFonts w:ascii="楷体" w:hAnsi="楷体" w:eastAsia="楷体"/>
          <w:bCs/>
        </w:rPr>
        <w:t>6</w:t>
      </w:r>
      <w:r>
        <w:rPr>
          <w:rStyle w:val="12"/>
          <w:rFonts w:ascii="楷体" w:hAnsi="楷体" w:eastAsia="楷体"/>
          <w:bCs/>
        </w:rPr>
        <w:fldChar w:fldCharType="end"/>
      </w:r>
      <w:r>
        <w:rPr>
          <w:rStyle w:val="12"/>
          <w:rFonts w:ascii="楷体" w:hAnsi="楷体" w:eastAsia="楷体"/>
          <w:bCs/>
        </w:rPr>
        <w:fldChar w:fldCharType="end"/>
      </w:r>
    </w:p>
    <w:p>
      <w:pPr>
        <w:pStyle w:val="7"/>
        <w:tabs>
          <w:tab w:val="right" w:leader="dot" w:pos="8720"/>
        </w:tabs>
        <w:ind w:left="0" w:leftChars="0" w:firstLine="640"/>
        <w:rPr>
          <w:rStyle w:val="12"/>
          <w:rFonts w:ascii="楷体" w:hAnsi="楷体" w:eastAsia="楷体"/>
          <w:bCs/>
        </w:rPr>
      </w:pPr>
      <w:r>
        <w:fldChar w:fldCharType="begin"/>
      </w:r>
      <w:r>
        <w:instrText xml:space="preserve"> HYPERLINK \l "_Toc66174886" </w:instrText>
      </w:r>
      <w:r>
        <w:fldChar w:fldCharType="separate"/>
      </w:r>
      <w:r>
        <w:rPr>
          <w:rStyle w:val="12"/>
          <w:rFonts w:hint="eastAsia" w:ascii="楷体" w:hAnsi="楷体" w:eastAsia="楷体"/>
          <w:bCs/>
        </w:rPr>
        <w:t>（四）到二〇三五年建成体育强市远景目标</w:t>
      </w:r>
      <w:r>
        <w:rPr>
          <w:rStyle w:val="12"/>
          <w:rFonts w:ascii="楷体" w:hAnsi="楷体" w:eastAsia="楷体"/>
          <w:bCs/>
        </w:rPr>
        <w:tab/>
      </w:r>
      <w:r>
        <w:rPr>
          <w:rStyle w:val="12"/>
          <w:rFonts w:ascii="楷体" w:hAnsi="楷体" w:eastAsia="楷体"/>
          <w:bCs/>
        </w:rPr>
        <w:fldChar w:fldCharType="begin"/>
      </w:r>
      <w:r>
        <w:rPr>
          <w:rStyle w:val="12"/>
          <w:rFonts w:ascii="楷体" w:hAnsi="楷体" w:eastAsia="楷体"/>
          <w:bCs/>
        </w:rPr>
        <w:instrText xml:space="preserve"> PAGEREF _Toc66174886 \h </w:instrText>
      </w:r>
      <w:r>
        <w:rPr>
          <w:rStyle w:val="12"/>
          <w:rFonts w:ascii="楷体" w:hAnsi="楷体" w:eastAsia="楷体"/>
          <w:bCs/>
        </w:rPr>
        <w:fldChar w:fldCharType="separate"/>
      </w:r>
      <w:r>
        <w:rPr>
          <w:rStyle w:val="12"/>
          <w:rFonts w:ascii="楷体" w:hAnsi="楷体" w:eastAsia="楷体"/>
          <w:bCs/>
        </w:rPr>
        <w:t>8</w:t>
      </w:r>
      <w:r>
        <w:rPr>
          <w:rStyle w:val="12"/>
          <w:rFonts w:ascii="楷体" w:hAnsi="楷体" w:eastAsia="楷体"/>
          <w:bCs/>
        </w:rPr>
        <w:fldChar w:fldCharType="end"/>
      </w:r>
      <w:r>
        <w:rPr>
          <w:rStyle w:val="12"/>
          <w:rFonts w:ascii="楷体" w:hAnsi="楷体" w:eastAsia="楷体"/>
          <w:bCs/>
        </w:rPr>
        <w:fldChar w:fldCharType="end"/>
      </w:r>
    </w:p>
    <w:p>
      <w:pPr>
        <w:pStyle w:val="6"/>
        <w:rPr>
          <w:rFonts w:asciiTheme="minorHAnsi" w:hAnsiTheme="minorHAnsi" w:eastAsiaTheme="minorEastAsia"/>
          <w:sz w:val="21"/>
        </w:rPr>
      </w:pPr>
      <w:r>
        <w:fldChar w:fldCharType="begin"/>
      </w:r>
      <w:r>
        <w:instrText xml:space="preserve"> HYPERLINK \l "_Toc66174887" </w:instrText>
      </w:r>
      <w:r>
        <w:fldChar w:fldCharType="separate"/>
      </w:r>
      <w:r>
        <w:rPr>
          <w:rStyle w:val="12"/>
          <w:rFonts w:hint="eastAsia" w:ascii="黑体" w:hAnsi="黑体" w:eastAsia="黑体"/>
          <w:bCs/>
        </w:rPr>
        <w:t>二、“十四五”时期体育发展指导思想和主要目标</w:t>
      </w:r>
      <w:r>
        <w:tab/>
      </w:r>
      <w:r>
        <w:fldChar w:fldCharType="begin"/>
      </w:r>
      <w:r>
        <w:instrText xml:space="preserve"> PAGEREF _Toc66174887 \h </w:instrText>
      </w:r>
      <w:r>
        <w:fldChar w:fldCharType="separate"/>
      </w:r>
      <w:r>
        <w:t>8</w:t>
      </w:r>
      <w:r>
        <w:fldChar w:fldCharType="end"/>
      </w:r>
      <w:r>
        <w:fldChar w:fldCharType="end"/>
      </w:r>
    </w:p>
    <w:p>
      <w:pPr>
        <w:pStyle w:val="7"/>
        <w:tabs>
          <w:tab w:val="right" w:leader="dot" w:pos="8720"/>
        </w:tabs>
        <w:ind w:left="0" w:leftChars="0" w:firstLine="640"/>
        <w:rPr>
          <w:rStyle w:val="12"/>
          <w:rFonts w:ascii="楷体" w:hAnsi="楷体" w:eastAsia="楷体"/>
          <w:bCs/>
        </w:rPr>
      </w:pPr>
      <w:r>
        <w:fldChar w:fldCharType="begin"/>
      </w:r>
      <w:r>
        <w:instrText xml:space="preserve"> HYPERLINK \l "_Toc66174888" </w:instrText>
      </w:r>
      <w:r>
        <w:fldChar w:fldCharType="separate"/>
      </w:r>
      <w:r>
        <w:rPr>
          <w:rStyle w:val="12"/>
          <w:rFonts w:hint="eastAsia" w:ascii="楷体" w:hAnsi="楷体" w:eastAsia="楷体"/>
          <w:bCs/>
        </w:rPr>
        <w:t>（一）“十四五”时期指导思想</w:t>
      </w:r>
      <w:r>
        <w:rPr>
          <w:rStyle w:val="12"/>
          <w:rFonts w:ascii="楷体" w:hAnsi="楷体" w:eastAsia="楷体"/>
          <w:bCs/>
        </w:rPr>
        <w:tab/>
      </w:r>
      <w:r>
        <w:rPr>
          <w:rStyle w:val="12"/>
          <w:rFonts w:ascii="楷体" w:hAnsi="楷体" w:eastAsia="楷体"/>
          <w:bCs/>
        </w:rPr>
        <w:fldChar w:fldCharType="begin"/>
      </w:r>
      <w:r>
        <w:rPr>
          <w:rStyle w:val="12"/>
          <w:rFonts w:ascii="楷体" w:hAnsi="楷体" w:eastAsia="楷体"/>
          <w:bCs/>
        </w:rPr>
        <w:instrText xml:space="preserve"> PAGEREF _Toc66174888 \h </w:instrText>
      </w:r>
      <w:r>
        <w:rPr>
          <w:rStyle w:val="12"/>
          <w:rFonts w:ascii="楷体" w:hAnsi="楷体" w:eastAsia="楷体"/>
          <w:bCs/>
        </w:rPr>
        <w:fldChar w:fldCharType="separate"/>
      </w:r>
      <w:r>
        <w:rPr>
          <w:rStyle w:val="12"/>
          <w:rFonts w:ascii="楷体" w:hAnsi="楷体" w:eastAsia="楷体"/>
          <w:bCs/>
        </w:rPr>
        <w:t>9</w:t>
      </w:r>
      <w:r>
        <w:rPr>
          <w:rStyle w:val="12"/>
          <w:rFonts w:ascii="楷体" w:hAnsi="楷体" w:eastAsia="楷体"/>
          <w:bCs/>
        </w:rPr>
        <w:fldChar w:fldCharType="end"/>
      </w:r>
      <w:r>
        <w:rPr>
          <w:rStyle w:val="12"/>
          <w:rFonts w:ascii="楷体" w:hAnsi="楷体" w:eastAsia="楷体"/>
          <w:bCs/>
        </w:rPr>
        <w:fldChar w:fldCharType="end"/>
      </w:r>
    </w:p>
    <w:p>
      <w:pPr>
        <w:pStyle w:val="7"/>
        <w:tabs>
          <w:tab w:val="right" w:leader="dot" w:pos="8720"/>
        </w:tabs>
        <w:ind w:left="0" w:leftChars="0" w:firstLine="640"/>
        <w:rPr>
          <w:rStyle w:val="12"/>
          <w:rFonts w:ascii="楷体" w:hAnsi="楷体" w:eastAsia="楷体"/>
          <w:bCs/>
        </w:rPr>
      </w:pPr>
      <w:r>
        <w:fldChar w:fldCharType="begin"/>
      </w:r>
      <w:r>
        <w:instrText xml:space="preserve"> HYPERLINK \l "_Toc66174889" </w:instrText>
      </w:r>
      <w:r>
        <w:fldChar w:fldCharType="separate"/>
      </w:r>
      <w:r>
        <w:rPr>
          <w:rStyle w:val="12"/>
          <w:rFonts w:hint="eastAsia" w:ascii="楷体" w:hAnsi="楷体" w:eastAsia="楷体"/>
          <w:bCs/>
        </w:rPr>
        <w:t>（二）“十四五”时期基本原则</w:t>
      </w:r>
      <w:r>
        <w:rPr>
          <w:rStyle w:val="12"/>
          <w:rFonts w:ascii="楷体" w:hAnsi="楷体" w:eastAsia="楷体"/>
          <w:bCs/>
        </w:rPr>
        <w:tab/>
      </w:r>
      <w:r>
        <w:rPr>
          <w:rStyle w:val="12"/>
          <w:rFonts w:ascii="楷体" w:hAnsi="楷体" w:eastAsia="楷体"/>
          <w:bCs/>
        </w:rPr>
        <w:fldChar w:fldCharType="begin"/>
      </w:r>
      <w:r>
        <w:rPr>
          <w:rStyle w:val="12"/>
          <w:rFonts w:ascii="楷体" w:hAnsi="楷体" w:eastAsia="楷体"/>
          <w:bCs/>
        </w:rPr>
        <w:instrText xml:space="preserve"> PAGEREF _Toc66174889 \h </w:instrText>
      </w:r>
      <w:r>
        <w:rPr>
          <w:rStyle w:val="12"/>
          <w:rFonts w:ascii="楷体" w:hAnsi="楷体" w:eastAsia="楷体"/>
          <w:bCs/>
        </w:rPr>
        <w:fldChar w:fldCharType="separate"/>
      </w:r>
      <w:r>
        <w:rPr>
          <w:rStyle w:val="12"/>
          <w:rFonts w:ascii="楷体" w:hAnsi="楷体" w:eastAsia="楷体"/>
          <w:bCs/>
        </w:rPr>
        <w:t>9</w:t>
      </w:r>
      <w:r>
        <w:rPr>
          <w:rStyle w:val="12"/>
          <w:rFonts w:ascii="楷体" w:hAnsi="楷体" w:eastAsia="楷体"/>
          <w:bCs/>
        </w:rPr>
        <w:fldChar w:fldCharType="end"/>
      </w:r>
      <w:r>
        <w:rPr>
          <w:rStyle w:val="12"/>
          <w:rFonts w:ascii="楷体" w:hAnsi="楷体" w:eastAsia="楷体"/>
          <w:bCs/>
        </w:rPr>
        <w:fldChar w:fldCharType="end"/>
      </w:r>
    </w:p>
    <w:p>
      <w:pPr>
        <w:pStyle w:val="7"/>
        <w:tabs>
          <w:tab w:val="right" w:leader="dot" w:pos="8720"/>
        </w:tabs>
        <w:ind w:left="0" w:leftChars="0" w:firstLine="640"/>
        <w:rPr>
          <w:rStyle w:val="12"/>
          <w:rFonts w:ascii="楷体" w:hAnsi="楷体" w:eastAsia="楷体"/>
          <w:bCs/>
        </w:rPr>
      </w:pPr>
      <w:r>
        <w:fldChar w:fldCharType="begin"/>
      </w:r>
      <w:r>
        <w:instrText xml:space="preserve"> HYPERLINK \l "_Toc66174890" </w:instrText>
      </w:r>
      <w:r>
        <w:fldChar w:fldCharType="separate"/>
      </w:r>
      <w:r>
        <w:rPr>
          <w:rStyle w:val="12"/>
          <w:rFonts w:hint="eastAsia" w:ascii="楷体" w:hAnsi="楷体" w:eastAsia="楷体"/>
          <w:bCs/>
        </w:rPr>
        <w:t>（三）“十四五”时期发展目标</w:t>
      </w:r>
      <w:r>
        <w:rPr>
          <w:rStyle w:val="12"/>
          <w:rFonts w:ascii="楷体" w:hAnsi="楷体" w:eastAsia="楷体"/>
          <w:bCs/>
        </w:rPr>
        <w:tab/>
      </w:r>
      <w:r>
        <w:rPr>
          <w:rStyle w:val="12"/>
          <w:rFonts w:ascii="楷体" w:hAnsi="楷体" w:eastAsia="楷体"/>
          <w:bCs/>
        </w:rPr>
        <w:fldChar w:fldCharType="begin"/>
      </w:r>
      <w:r>
        <w:rPr>
          <w:rStyle w:val="12"/>
          <w:rFonts w:ascii="楷体" w:hAnsi="楷体" w:eastAsia="楷体"/>
          <w:bCs/>
        </w:rPr>
        <w:instrText xml:space="preserve"> PAGEREF _Toc66174890 \h </w:instrText>
      </w:r>
      <w:r>
        <w:rPr>
          <w:rStyle w:val="12"/>
          <w:rFonts w:ascii="楷体" w:hAnsi="楷体" w:eastAsia="楷体"/>
          <w:bCs/>
        </w:rPr>
        <w:fldChar w:fldCharType="separate"/>
      </w:r>
      <w:r>
        <w:rPr>
          <w:rStyle w:val="12"/>
          <w:rFonts w:ascii="楷体" w:hAnsi="楷体" w:eastAsia="楷体"/>
          <w:bCs/>
        </w:rPr>
        <w:t>10</w:t>
      </w:r>
      <w:r>
        <w:rPr>
          <w:rStyle w:val="12"/>
          <w:rFonts w:ascii="楷体" w:hAnsi="楷体" w:eastAsia="楷体"/>
          <w:bCs/>
        </w:rPr>
        <w:fldChar w:fldCharType="end"/>
      </w:r>
      <w:r>
        <w:rPr>
          <w:rStyle w:val="12"/>
          <w:rFonts w:ascii="楷体" w:hAnsi="楷体" w:eastAsia="楷体"/>
          <w:bCs/>
        </w:rPr>
        <w:fldChar w:fldCharType="end"/>
      </w:r>
    </w:p>
    <w:p>
      <w:pPr>
        <w:pStyle w:val="6"/>
        <w:rPr>
          <w:rFonts w:asciiTheme="minorHAnsi" w:hAnsiTheme="minorHAnsi" w:eastAsiaTheme="minorEastAsia"/>
          <w:sz w:val="21"/>
        </w:rPr>
      </w:pPr>
      <w:r>
        <w:fldChar w:fldCharType="begin"/>
      </w:r>
      <w:r>
        <w:instrText xml:space="preserve"> HYPERLINK \l "_Toc66174891" </w:instrText>
      </w:r>
      <w:r>
        <w:fldChar w:fldCharType="separate"/>
      </w:r>
      <w:r>
        <w:rPr>
          <w:rStyle w:val="12"/>
          <w:rFonts w:hint="eastAsia" w:ascii="黑体" w:hAnsi="黑体" w:eastAsia="黑体"/>
          <w:bCs/>
        </w:rPr>
        <w:t>三、塑造城市体育名片，提升青岛国际知名度</w:t>
      </w:r>
      <w:r>
        <w:tab/>
      </w:r>
      <w:r>
        <w:fldChar w:fldCharType="begin"/>
      </w:r>
      <w:r>
        <w:instrText xml:space="preserve"> PAGEREF _Toc66174891 \h </w:instrText>
      </w:r>
      <w:r>
        <w:fldChar w:fldCharType="separate"/>
      </w:r>
      <w:r>
        <w:t>13</w:t>
      </w:r>
      <w:r>
        <w:fldChar w:fldCharType="end"/>
      </w:r>
      <w:r>
        <w:fldChar w:fldCharType="end"/>
      </w:r>
    </w:p>
    <w:p>
      <w:pPr>
        <w:pStyle w:val="7"/>
        <w:tabs>
          <w:tab w:val="right" w:leader="dot" w:pos="8720"/>
        </w:tabs>
        <w:ind w:left="0" w:leftChars="0" w:firstLine="640"/>
        <w:rPr>
          <w:rStyle w:val="12"/>
          <w:rFonts w:ascii="楷体" w:hAnsi="楷体" w:eastAsia="楷体"/>
          <w:bCs/>
        </w:rPr>
      </w:pPr>
      <w:r>
        <w:fldChar w:fldCharType="begin"/>
      </w:r>
      <w:r>
        <w:instrText xml:space="preserve"> HYPERLINK \l "_Toc66174892" </w:instrText>
      </w:r>
      <w:r>
        <w:fldChar w:fldCharType="separate"/>
      </w:r>
      <w:r>
        <w:rPr>
          <w:rStyle w:val="12"/>
          <w:rFonts w:hint="eastAsia" w:ascii="楷体" w:hAnsi="楷体" w:eastAsia="楷体"/>
          <w:bCs/>
        </w:rPr>
        <w:t>（一）打造世界帆船之都</w:t>
      </w:r>
      <w:r>
        <w:rPr>
          <w:rStyle w:val="12"/>
          <w:rFonts w:ascii="楷体" w:hAnsi="楷体" w:eastAsia="楷体"/>
          <w:bCs/>
        </w:rPr>
        <w:tab/>
      </w:r>
      <w:r>
        <w:rPr>
          <w:rStyle w:val="12"/>
          <w:rFonts w:ascii="楷体" w:hAnsi="楷体" w:eastAsia="楷体"/>
          <w:bCs/>
        </w:rPr>
        <w:fldChar w:fldCharType="begin"/>
      </w:r>
      <w:r>
        <w:rPr>
          <w:rStyle w:val="12"/>
          <w:rFonts w:ascii="楷体" w:hAnsi="楷体" w:eastAsia="楷体"/>
          <w:bCs/>
        </w:rPr>
        <w:instrText xml:space="preserve"> PAGEREF _Toc66174892 \h </w:instrText>
      </w:r>
      <w:r>
        <w:rPr>
          <w:rStyle w:val="12"/>
          <w:rFonts w:ascii="楷体" w:hAnsi="楷体" w:eastAsia="楷体"/>
          <w:bCs/>
        </w:rPr>
        <w:fldChar w:fldCharType="separate"/>
      </w:r>
      <w:r>
        <w:rPr>
          <w:rStyle w:val="12"/>
          <w:rFonts w:ascii="楷体" w:hAnsi="楷体" w:eastAsia="楷体"/>
          <w:bCs/>
        </w:rPr>
        <w:t>13</w:t>
      </w:r>
      <w:r>
        <w:rPr>
          <w:rStyle w:val="12"/>
          <w:rFonts w:ascii="楷体" w:hAnsi="楷体" w:eastAsia="楷体"/>
          <w:bCs/>
        </w:rPr>
        <w:fldChar w:fldCharType="end"/>
      </w:r>
      <w:r>
        <w:rPr>
          <w:rStyle w:val="12"/>
          <w:rFonts w:ascii="楷体" w:hAnsi="楷体" w:eastAsia="楷体"/>
          <w:bCs/>
        </w:rPr>
        <w:fldChar w:fldCharType="end"/>
      </w:r>
    </w:p>
    <w:p>
      <w:pPr>
        <w:pStyle w:val="7"/>
        <w:tabs>
          <w:tab w:val="right" w:leader="dot" w:pos="8720"/>
        </w:tabs>
        <w:ind w:left="0" w:leftChars="0" w:firstLine="640"/>
        <w:rPr>
          <w:rStyle w:val="12"/>
          <w:rFonts w:ascii="楷体" w:hAnsi="楷体" w:eastAsia="楷体"/>
          <w:bCs/>
        </w:rPr>
      </w:pPr>
      <w:r>
        <w:fldChar w:fldCharType="begin"/>
      </w:r>
      <w:r>
        <w:instrText xml:space="preserve"> HYPERLINK \l "_Toc66174893" </w:instrText>
      </w:r>
      <w:r>
        <w:fldChar w:fldCharType="separate"/>
      </w:r>
      <w:r>
        <w:rPr>
          <w:rStyle w:val="12"/>
          <w:rFonts w:hint="eastAsia" w:ascii="楷体" w:hAnsi="楷体" w:eastAsia="楷体"/>
          <w:bCs/>
        </w:rPr>
        <w:t>（二）建设国际足球名城</w:t>
      </w:r>
      <w:r>
        <w:rPr>
          <w:rStyle w:val="12"/>
          <w:rFonts w:ascii="楷体" w:hAnsi="楷体" w:eastAsia="楷体"/>
          <w:bCs/>
        </w:rPr>
        <w:tab/>
      </w:r>
      <w:r>
        <w:rPr>
          <w:rStyle w:val="12"/>
          <w:rFonts w:ascii="楷体" w:hAnsi="楷体" w:eastAsia="楷体"/>
          <w:bCs/>
        </w:rPr>
        <w:fldChar w:fldCharType="begin"/>
      </w:r>
      <w:r>
        <w:rPr>
          <w:rStyle w:val="12"/>
          <w:rFonts w:ascii="楷体" w:hAnsi="楷体" w:eastAsia="楷体"/>
          <w:bCs/>
        </w:rPr>
        <w:instrText xml:space="preserve"> PAGEREF _Toc66174893 \h </w:instrText>
      </w:r>
      <w:r>
        <w:rPr>
          <w:rStyle w:val="12"/>
          <w:rFonts w:ascii="楷体" w:hAnsi="楷体" w:eastAsia="楷体"/>
          <w:bCs/>
        </w:rPr>
        <w:fldChar w:fldCharType="separate"/>
      </w:r>
      <w:r>
        <w:rPr>
          <w:rStyle w:val="12"/>
          <w:rFonts w:ascii="楷体" w:hAnsi="楷体" w:eastAsia="楷体"/>
          <w:bCs/>
        </w:rPr>
        <w:t>15</w:t>
      </w:r>
      <w:r>
        <w:rPr>
          <w:rStyle w:val="12"/>
          <w:rFonts w:ascii="楷体" w:hAnsi="楷体" w:eastAsia="楷体"/>
          <w:bCs/>
        </w:rPr>
        <w:fldChar w:fldCharType="end"/>
      </w:r>
      <w:r>
        <w:rPr>
          <w:rStyle w:val="12"/>
          <w:rFonts w:ascii="楷体" w:hAnsi="楷体" w:eastAsia="楷体"/>
          <w:bCs/>
        </w:rPr>
        <w:fldChar w:fldCharType="end"/>
      </w:r>
    </w:p>
    <w:p>
      <w:pPr>
        <w:pStyle w:val="7"/>
        <w:tabs>
          <w:tab w:val="right" w:leader="dot" w:pos="8720"/>
        </w:tabs>
        <w:ind w:left="0" w:leftChars="0" w:firstLine="640"/>
        <w:rPr>
          <w:rStyle w:val="12"/>
          <w:rFonts w:ascii="楷体" w:hAnsi="楷体" w:eastAsia="楷体"/>
          <w:bCs/>
        </w:rPr>
      </w:pPr>
      <w:r>
        <w:fldChar w:fldCharType="begin"/>
      </w:r>
      <w:r>
        <w:instrText xml:space="preserve"> HYPERLINK \l "_Toc66174894" </w:instrText>
      </w:r>
      <w:r>
        <w:fldChar w:fldCharType="separate"/>
      </w:r>
      <w:r>
        <w:rPr>
          <w:rStyle w:val="12"/>
          <w:rFonts w:hint="eastAsia" w:ascii="楷体" w:hAnsi="楷体" w:eastAsia="楷体"/>
          <w:bCs/>
        </w:rPr>
        <w:t>（三）推进体育对外交流</w:t>
      </w:r>
      <w:r>
        <w:rPr>
          <w:rStyle w:val="12"/>
          <w:rFonts w:ascii="楷体" w:hAnsi="楷体" w:eastAsia="楷体"/>
          <w:bCs/>
        </w:rPr>
        <w:tab/>
      </w:r>
      <w:r>
        <w:rPr>
          <w:rStyle w:val="12"/>
          <w:rFonts w:ascii="楷体" w:hAnsi="楷体" w:eastAsia="楷体"/>
          <w:bCs/>
        </w:rPr>
        <w:fldChar w:fldCharType="begin"/>
      </w:r>
      <w:r>
        <w:rPr>
          <w:rStyle w:val="12"/>
          <w:rFonts w:ascii="楷体" w:hAnsi="楷体" w:eastAsia="楷体"/>
          <w:bCs/>
        </w:rPr>
        <w:instrText xml:space="preserve"> PAGEREF _Toc66174894 \h </w:instrText>
      </w:r>
      <w:r>
        <w:rPr>
          <w:rStyle w:val="12"/>
          <w:rFonts w:ascii="楷体" w:hAnsi="楷体" w:eastAsia="楷体"/>
          <w:bCs/>
        </w:rPr>
        <w:fldChar w:fldCharType="separate"/>
      </w:r>
      <w:r>
        <w:rPr>
          <w:rStyle w:val="12"/>
          <w:rFonts w:ascii="楷体" w:hAnsi="楷体" w:eastAsia="楷体"/>
          <w:bCs/>
        </w:rPr>
        <w:t>16</w:t>
      </w:r>
      <w:r>
        <w:rPr>
          <w:rStyle w:val="12"/>
          <w:rFonts w:ascii="楷体" w:hAnsi="楷体" w:eastAsia="楷体"/>
          <w:bCs/>
        </w:rPr>
        <w:fldChar w:fldCharType="end"/>
      </w:r>
      <w:r>
        <w:rPr>
          <w:rStyle w:val="12"/>
          <w:rFonts w:ascii="楷体" w:hAnsi="楷体" w:eastAsia="楷体"/>
          <w:bCs/>
        </w:rPr>
        <w:fldChar w:fldCharType="end"/>
      </w:r>
    </w:p>
    <w:p>
      <w:pPr>
        <w:pStyle w:val="7"/>
        <w:tabs>
          <w:tab w:val="right" w:leader="dot" w:pos="8720"/>
        </w:tabs>
        <w:ind w:left="0" w:leftChars="0" w:firstLine="640"/>
        <w:rPr>
          <w:rStyle w:val="12"/>
          <w:rFonts w:ascii="楷体" w:hAnsi="楷体" w:eastAsia="楷体"/>
          <w:bCs/>
        </w:rPr>
      </w:pPr>
      <w:r>
        <w:fldChar w:fldCharType="begin"/>
      </w:r>
      <w:r>
        <w:instrText xml:space="preserve"> HYPERLINK \l "_Toc66174895" </w:instrText>
      </w:r>
      <w:r>
        <w:fldChar w:fldCharType="separate"/>
      </w:r>
      <w:r>
        <w:rPr>
          <w:rStyle w:val="12"/>
          <w:rFonts w:hint="eastAsia" w:ascii="楷体" w:hAnsi="楷体" w:eastAsia="楷体"/>
          <w:bCs/>
        </w:rPr>
        <w:t>（四）传递体育文化价值</w:t>
      </w:r>
      <w:r>
        <w:rPr>
          <w:rStyle w:val="12"/>
          <w:rFonts w:ascii="楷体" w:hAnsi="楷体" w:eastAsia="楷体"/>
          <w:bCs/>
        </w:rPr>
        <w:tab/>
      </w:r>
      <w:r>
        <w:rPr>
          <w:rStyle w:val="12"/>
          <w:rFonts w:ascii="楷体" w:hAnsi="楷体" w:eastAsia="楷体"/>
          <w:bCs/>
        </w:rPr>
        <w:fldChar w:fldCharType="begin"/>
      </w:r>
      <w:r>
        <w:rPr>
          <w:rStyle w:val="12"/>
          <w:rFonts w:ascii="楷体" w:hAnsi="楷体" w:eastAsia="楷体"/>
          <w:bCs/>
        </w:rPr>
        <w:instrText xml:space="preserve"> PAGEREF _Toc66174895 \h </w:instrText>
      </w:r>
      <w:r>
        <w:rPr>
          <w:rStyle w:val="12"/>
          <w:rFonts w:ascii="楷体" w:hAnsi="楷体" w:eastAsia="楷体"/>
          <w:bCs/>
        </w:rPr>
        <w:fldChar w:fldCharType="separate"/>
      </w:r>
      <w:r>
        <w:rPr>
          <w:rStyle w:val="12"/>
          <w:rFonts w:ascii="楷体" w:hAnsi="楷体" w:eastAsia="楷体"/>
          <w:bCs/>
        </w:rPr>
        <w:t>18</w:t>
      </w:r>
      <w:r>
        <w:rPr>
          <w:rStyle w:val="12"/>
          <w:rFonts w:ascii="楷体" w:hAnsi="楷体" w:eastAsia="楷体"/>
          <w:bCs/>
        </w:rPr>
        <w:fldChar w:fldCharType="end"/>
      </w:r>
      <w:r>
        <w:rPr>
          <w:rStyle w:val="12"/>
          <w:rFonts w:ascii="楷体" w:hAnsi="楷体" w:eastAsia="楷体"/>
          <w:bCs/>
        </w:rPr>
        <w:fldChar w:fldCharType="end"/>
      </w:r>
    </w:p>
    <w:p>
      <w:pPr>
        <w:pStyle w:val="6"/>
        <w:rPr>
          <w:rFonts w:asciiTheme="minorHAnsi" w:hAnsiTheme="minorHAnsi" w:eastAsiaTheme="minorEastAsia"/>
          <w:sz w:val="21"/>
        </w:rPr>
      </w:pPr>
      <w:r>
        <w:fldChar w:fldCharType="begin"/>
      </w:r>
      <w:r>
        <w:instrText xml:space="preserve"> HYPERLINK \l "_Toc66174896" </w:instrText>
      </w:r>
      <w:r>
        <w:fldChar w:fldCharType="separate"/>
      </w:r>
      <w:r>
        <w:rPr>
          <w:rStyle w:val="12"/>
          <w:rFonts w:hint="eastAsia" w:ascii="黑体" w:hAnsi="黑体" w:eastAsia="黑体"/>
          <w:bCs/>
        </w:rPr>
        <w:t>四、广泛开展群众体育，打造国家全民健身示范中心</w:t>
      </w:r>
      <w:r>
        <w:tab/>
      </w:r>
      <w:r>
        <w:fldChar w:fldCharType="begin"/>
      </w:r>
      <w:r>
        <w:instrText xml:space="preserve"> PAGEREF _Toc66174896 \h </w:instrText>
      </w:r>
      <w:r>
        <w:fldChar w:fldCharType="separate"/>
      </w:r>
      <w:r>
        <w:t>19</w:t>
      </w:r>
      <w:r>
        <w:fldChar w:fldCharType="end"/>
      </w:r>
      <w:r>
        <w:fldChar w:fldCharType="end"/>
      </w:r>
    </w:p>
    <w:p>
      <w:pPr>
        <w:pStyle w:val="7"/>
        <w:tabs>
          <w:tab w:val="right" w:leader="dot" w:pos="8720"/>
        </w:tabs>
        <w:ind w:left="0" w:leftChars="0" w:firstLine="640"/>
        <w:rPr>
          <w:rStyle w:val="12"/>
          <w:rFonts w:ascii="楷体" w:hAnsi="楷体" w:eastAsia="楷体"/>
          <w:bCs/>
        </w:rPr>
      </w:pPr>
      <w:r>
        <w:fldChar w:fldCharType="begin"/>
      </w:r>
      <w:r>
        <w:instrText xml:space="preserve"> HYPERLINK \l "_Toc66174897" </w:instrText>
      </w:r>
      <w:r>
        <w:fldChar w:fldCharType="separate"/>
      </w:r>
      <w:r>
        <w:rPr>
          <w:rStyle w:val="12"/>
          <w:rFonts w:hint="eastAsia" w:ascii="楷体" w:hAnsi="楷体" w:eastAsia="楷体"/>
          <w:bCs/>
        </w:rPr>
        <w:t>（一）加快体育设施提档升级</w:t>
      </w:r>
      <w:r>
        <w:rPr>
          <w:rStyle w:val="12"/>
          <w:rFonts w:ascii="楷体" w:hAnsi="楷体" w:eastAsia="楷体"/>
          <w:bCs/>
        </w:rPr>
        <w:tab/>
      </w:r>
      <w:r>
        <w:rPr>
          <w:rStyle w:val="12"/>
          <w:rFonts w:ascii="楷体" w:hAnsi="楷体" w:eastAsia="楷体"/>
          <w:bCs/>
        </w:rPr>
        <w:fldChar w:fldCharType="begin"/>
      </w:r>
      <w:r>
        <w:rPr>
          <w:rStyle w:val="12"/>
          <w:rFonts w:ascii="楷体" w:hAnsi="楷体" w:eastAsia="楷体"/>
          <w:bCs/>
        </w:rPr>
        <w:instrText xml:space="preserve"> PAGEREF _Toc66174897 \h </w:instrText>
      </w:r>
      <w:r>
        <w:rPr>
          <w:rStyle w:val="12"/>
          <w:rFonts w:ascii="楷体" w:hAnsi="楷体" w:eastAsia="楷体"/>
          <w:bCs/>
        </w:rPr>
        <w:fldChar w:fldCharType="separate"/>
      </w:r>
      <w:r>
        <w:rPr>
          <w:rStyle w:val="12"/>
          <w:rFonts w:ascii="楷体" w:hAnsi="楷体" w:eastAsia="楷体"/>
          <w:bCs/>
        </w:rPr>
        <w:t>19</w:t>
      </w:r>
      <w:r>
        <w:rPr>
          <w:rStyle w:val="12"/>
          <w:rFonts w:ascii="楷体" w:hAnsi="楷体" w:eastAsia="楷体"/>
          <w:bCs/>
        </w:rPr>
        <w:fldChar w:fldCharType="end"/>
      </w:r>
      <w:r>
        <w:rPr>
          <w:rStyle w:val="12"/>
          <w:rFonts w:ascii="楷体" w:hAnsi="楷体" w:eastAsia="楷体"/>
          <w:bCs/>
        </w:rPr>
        <w:fldChar w:fldCharType="end"/>
      </w:r>
    </w:p>
    <w:p>
      <w:pPr>
        <w:pStyle w:val="7"/>
        <w:tabs>
          <w:tab w:val="right" w:leader="dot" w:pos="8720"/>
        </w:tabs>
        <w:ind w:left="0" w:leftChars="0" w:firstLine="640"/>
        <w:rPr>
          <w:rStyle w:val="12"/>
          <w:rFonts w:ascii="楷体" w:hAnsi="楷体" w:eastAsia="楷体"/>
          <w:bCs/>
        </w:rPr>
      </w:pPr>
      <w:r>
        <w:fldChar w:fldCharType="begin"/>
      </w:r>
      <w:r>
        <w:instrText xml:space="preserve"> HYPERLINK \l "_Toc66174898" </w:instrText>
      </w:r>
      <w:r>
        <w:fldChar w:fldCharType="separate"/>
      </w:r>
      <w:r>
        <w:rPr>
          <w:rStyle w:val="12"/>
          <w:rFonts w:hint="eastAsia" w:ascii="楷体" w:hAnsi="楷体" w:eastAsia="楷体"/>
          <w:bCs/>
        </w:rPr>
        <w:t>（二）完善全民健身组织体系</w:t>
      </w:r>
      <w:r>
        <w:rPr>
          <w:rStyle w:val="12"/>
          <w:rFonts w:ascii="楷体" w:hAnsi="楷体" w:eastAsia="楷体"/>
          <w:bCs/>
        </w:rPr>
        <w:tab/>
      </w:r>
      <w:r>
        <w:rPr>
          <w:rStyle w:val="12"/>
          <w:rFonts w:ascii="楷体" w:hAnsi="楷体" w:eastAsia="楷体"/>
          <w:bCs/>
        </w:rPr>
        <w:fldChar w:fldCharType="begin"/>
      </w:r>
      <w:r>
        <w:rPr>
          <w:rStyle w:val="12"/>
          <w:rFonts w:ascii="楷体" w:hAnsi="楷体" w:eastAsia="楷体"/>
          <w:bCs/>
        </w:rPr>
        <w:instrText xml:space="preserve"> PAGEREF _Toc66174898 \h </w:instrText>
      </w:r>
      <w:r>
        <w:rPr>
          <w:rStyle w:val="12"/>
          <w:rFonts w:ascii="楷体" w:hAnsi="楷体" w:eastAsia="楷体"/>
          <w:bCs/>
        </w:rPr>
        <w:fldChar w:fldCharType="separate"/>
      </w:r>
      <w:r>
        <w:rPr>
          <w:rStyle w:val="12"/>
          <w:rFonts w:ascii="楷体" w:hAnsi="楷体" w:eastAsia="楷体"/>
          <w:bCs/>
        </w:rPr>
        <w:t>20</w:t>
      </w:r>
      <w:r>
        <w:rPr>
          <w:rStyle w:val="12"/>
          <w:rFonts w:ascii="楷体" w:hAnsi="楷体" w:eastAsia="楷体"/>
          <w:bCs/>
        </w:rPr>
        <w:fldChar w:fldCharType="end"/>
      </w:r>
      <w:r>
        <w:rPr>
          <w:rStyle w:val="12"/>
          <w:rFonts w:ascii="楷体" w:hAnsi="楷体" w:eastAsia="楷体"/>
          <w:bCs/>
        </w:rPr>
        <w:fldChar w:fldCharType="end"/>
      </w:r>
    </w:p>
    <w:p>
      <w:pPr>
        <w:pStyle w:val="7"/>
        <w:tabs>
          <w:tab w:val="right" w:leader="dot" w:pos="8720"/>
        </w:tabs>
        <w:ind w:left="0" w:leftChars="0" w:firstLine="640"/>
        <w:rPr>
          <w:rStyle w:val="12"/>
          <w:rFonts w:ascii="楷体" w:hAnsi="楷体" w:eastAsia="楷体"/>
          <w:bCs/>
        </w:rPr>
      </w:pPr>
      <w:r>
        <w:fldChar w:fldCharType="begin"/>
      </w:r>
      <w:r>
        <w:instrText xml:space="preserve"> HYPERLINK \l "_Toc66174899" </w:instrText>
      </w:r>
      <w:r>
        <w:fldChar w:fldCharType="separate"/>
      </w:r>
      <w:r>
        <w:rPr>
          <w:rStyle w:val="12"/>
          <w:rFonts w:hint="eastAsia" w:ascii="楷体" w:hAnsi="楷体" w:eastAsia="楷体"/>
          <w:bCs/>
        </w:rPr>
        <w:t>（三）丰富群众体育赛事活动</w:t>
      </w:r>
      <w:r>
        <w:rPr>
          <w:rStyle w:val="12"/>
          <w:rFonts w:ascii="楷体" w:hAnsi="楷体" w:eastAsia="楷体"/>
          <w:bCs/>
        </w:rPr>
        <w:tab/>
      </w:r>
      <w:r>
        <w:rPr>
          <w:rStyle w:val="12"/>
          <w:rFonts w:ascii="楷体" w:hAnsi="楷体" w:eastAsia="楷体"/>
          <w:bCs/>
        </w:rPr>
        <w:fldChar w:fldCharType="begin"/>
      </w:r>
      <w:r>
        <w:rPr>
          <w:rStyle w:val="12"/>
          <w:rFonts w:ascii="楷体" w:hAnsi="楷体" w:eastAsia="楷体"/>
          <w:bCs/>
        </w:rPr>
        <w:instrText xml:space="preserve"> PAGEREF _Toc66174899 \h </w:instrText>
      </w:r>
      <w:r>
        <w:rPr>
          <w:rStyle w:val="12"/>
          <w:rFonts w:ascii="楷体" w:hAnsi="楷体" w:eastAsia="楷体"/>
          <w:bCs/>
        </w:rPr>
        <w:fldChar w:fldCharType="separate"/>
      </w:r>
      <w:r>
        <w:rPr>
          <w:rStyle w:val="12"/>
          <w:rFonts w:ascii="楷体" w:hAnsi="楷体" w:eastAsia="楷体"/>
          <w:bCs/>
        </w:rPr>
        <w:t>21</w:t>
      </w:r>
      <w:r>
        <w:rPr>
          <w:rStyle w:val="12"/>
          <w:rFonts w:ascii="楷体" w:hAnsi="楷体" w:eastAsia="楷体"/>
          <w:bCs/>
        </w:rPr>
        <w:fldChar w:fldCharType="end"/>
      </w:r>
      <w:r>
        <w:rPr>
          <w:rStyle w:val="12"/>
          <w:rFonts w:ascii="楷体" w:hAnsi="楷体" w:eastAsia="楷体"/>
          <w:bCs/>
        </w:rPr>
        <w:fldChar w:fldCharType="end"/>
      </w:r>
    </w:p>
    <w:p>
      <w:pPr>
        <w:pStyle w:val="7"/>
        <w:tabs>
          <w:tab w:val="right" w:leader="dot" w:pos="8720"/>
        </w:tabs>
        <w:ind w:left="0" w:leftChars="0" w:firstLine="640"/>
        <w:rPr>
          <w:rStyle w:val="12"/>
          <w:rFonts w:ascii="楷体" w:hAnsi="楷体" w:eastAsia="楷体"/>
          <w:bCs/>
        </w:rPr>
      </w:pPr>
      <w:r>
        <w:fldChar w:fldCharType="begin"/>
      </w:r>
      <w:r>
        <w:instrText xml:space="preserve"> HYPERLINK \l "_Toc66174900" </w:instrText>
      </w:r>
      <w:r>
        <w:fldChar w:fldCharType="separate"/>
      </w:r>
      <w:r>
        <w:rPr>
          <w:rStyle w:val="12"/>
          <w:rFonts w:hint="eastAsia" w:ascii="楷体" w:hAnsi="楷体" w:eastAsia="楷体"/>
          <w:bCs/>
        </w:rPr>
        <w:t>（四）加强科学健身指导</w:t>
      </w:r>
      <w:r>
        <w:rPr>
          <w:rStyle w:val="12"/>
          <w:rFonts w:ascii="楷体" w:hAnsi="楷体" w:eastAsia="楷体"/>
          <w:bCs/>
        </w:rPr>
        <w:tab/>
      </w:r>
      <w:r>
        <w:rPr>
          <w:rStyle w:val="12"/>
          <w:rFonts w:ascii="楷体" w:hAnsi="楷体" w:eastAsia="楷体"/>
          <w:bCs/>
        </w:rPr>
        <w:fldChar w:fldCharType="begin"/>
      </w:r>
      <w:r>
        <w:rPr>
          <w:rStyle w:val="12"/>
          <w:rFonts w:ascii="楷体" w:hAnsi="楷体" w:eastAsia="楷体"/>
          <w:bCs/>
        </w:rPr>
        <w:instrText xml:space="preserve"> PAGEREF _Toc66174900 \h </w:instrText>
      </w:r>
      <w:r>
        <w:rPr>
          <w:rStyle w:val="12"/>
          <w:rFonts w:ascii="楷体" w:hAnsi="楷体" w:eastAsia="楷体"/>
          <w:bCs/>
        </w:rPr>
        <w:fldChar w:fldCharType="separate"/>
      </w:r>
      <w:r>
        <w:rPr>
          <w:rStyle w:val="12"/>
          <w:rFonts w:ascii="楷体" w:hAnsi="楷体" w:eastAsia="楷体"/>
          <w:bCs/>
        </w:rPr>
        <w:t>22</w:t>
      </w:r>
      <w:r>
        <w:rPr>
          <w:rStyle w:val="12"/>
          <w:rFonts w:ascii="楷体" w:hAnsi="楷体" w:eastAsia="楷体"/>
          <w:bCs/>
        </w:rPr>
        <w:fldChar w:fldCharType="end"/>
      </w:r>
      <w:r>
        <w:rPr>
          <w:rStyle w:val="12"/>
          <w:rFonts w:ascii="楷体" w:hAnsi="楷体" w:eastAsia="楷体"/>
          <w:bCs/>
        </w:rPr>
        <w:fldChar w:fldCharType="end"/>
      </w:r>
    </w:p>
    <w:p>
      <w:pPr>
        <w:pStyle w:val="7"/>
        <w:tabs>
          <w:tab w:val="right" w:leader="dot" w:pos="8720"/>
        </w:tabs>
        <w:ind w:left="0" w:leftChars="0" w:firstLine="640"/>
        <w:rPr>
          <w:rStyle w:val="12"/>
          <w:rFonts w:ascii="楷体" w:hAnsi="楷体" w:eastAsia="楷体"/>
          <w:bCs/>
        </w:rPr>
      </w:pPr>
      <w:r>
        <w:fldChar w:fldCharType="begin"/>
      </w:r>
      <w:r>
        <w:instrText xml:space="preserve"> HYPERLINK \l "_Toc66174901" </w:instrText>
      </w:r>
      <w:r>
        <w:fldChar w:fldCharType="separate"/>
      </w:r>
      <w:r>
        <w:rPr>
          <w:rStyle w:val="12"/>
          <w:rFonts w:hint="eastAsia" w:ascii="楷体" w:hAnsi="楷体" w:eastAsia="楷体"/>
          <w:bCs/>
        </w:rPr>
        <w:t>（五）推动全民健身家庭化、智慧化发展</w:t>
      </w:r>
      <w:r>
        <w:rPr>
          <w:rStyle w:val="12"/>
          <w:rFonts w:ascii="楷体" w:hAnsi="楷体" w:eastAsia="楷体"/>
          <w:bCs/>
        </w:rPr>
        <w:tab/>
      </w:r>
      <w:r>
        <w:rPr>
          <w:rStyle w:val="12"/>
          <w:rFonts w:ascii="楷体" w:hAnsi="楷体" w:eastAsia="楷体"/>
          <w:bCs/>
        </w:rPr>
        <w:fldChar w:fldCharType="begin"/>
      </w:r>
      <w:r>
        <w:rPr>
          <w:rStyle w:val="12"/>
          <w:rFonts w:ascii="楷体" w:hAnsi="楷体" w:eastAsia="楷体"/>
          <w:bCs/>
        </w:rPr>
        <w:instrText xml:space="preserve"> PAGEREF _Toc66174901 \h </w:instrText>
      </w:r>
      <w:r>
        <w:rPr>
          <w:rStyle w:val="12"/>
          <w:rFonts w:ascii="楷体" w:hAnsi="楷体" w:eastAsia="楷体"/>
          <w:bCs/>
        </w:rPr>
        <w:fldChar w:fldCharType="separate"/>
      </w:r>
      <w:r>
        <w:rPr>
          <w:rStyle w:val="12"/>
          <w:rFonts w:ascii="楷体" w:hAnsi="楷体" w:eastAsia="楷体"/>
          <w:bCs/>
        </w:rPr>
        <w:t>22</w:t>
      </w:r>
      <w:r>
        <w:rPr>
          <w:rStyle w:val="12"/>
          <w:rFonts w:ascii="楷体" w:hAnsi="楷体" w:eastAsia="楷体"/>
          <w:bCs/>
        </w:rPr>
        <w:fldChar w:fldCharType="end"/>
      </w:r>
      <w:r>
        <w:rPr>
          <w:rStyle w:val="12"/>
          <w:rFonts w:ascii="楷体" w:hAnsi="楷体" w:eastAsia="楷体"/>
          <w:bCs/>
        </w:rPr>
        <w:fldChar w:fldCharType="end"/>
      </w:r>
    </w:p>
    <w:p>
      <w:pPr>
        <w:pStyle w:val="6"/>
        <w:rPr>
          <w:rFonts w:asciiTheme="minorHAnsi" w:hAnsiTheme="minorHAnsi" w:eastAsiaTheme="minorEastAsia"/>
          <w:sz w:val="21"/>
        </w:rPr>
      </w:pPr>
      <w:r>
        <w:fldChar w:fldCharType="begin"/>
      </w:r>
      <w:r>
        <w:instrText xml:space="preserve"> HYPERLINK \l "_Toc66174902" </w:instrText>
      </w:r>
      <w:r>
        <w:fldChar w:fldCharType="separate"/>
      </w:r>
      <w:r>
        <w:rPr>
          <w:rStyle w:val="12"/>
          <w:rFonts w:hint="eastAsia" w:ascii="黑体" w:hAnsi="黑体" w:eastAsia="黑体"/>
          <w:bCs/>
        </w:rPr>
        <w:t>五、大力实施奥运争光计划，打造国家竞技体育人才输出中心</w:t>
      </w:r>
      <w:r>
        <w:tab/>
      </w:r>
      <w:r>
        <w:fldChar w:fldCharType="begin"/>
      </w:r>
      <w:r>
        <w:instrText xml:space="preserve"> PAGEREF _Toc66174902 \h </w:instrText>
      </w:r>
      <w:r>
        <w:fldChar w:fldCharType="separate"/>
      </w:r>
      <w:r>
        <w:t>23</w:t>
      </w:r>
      <w:r>
        <w:fldChar w:fldCharType="end"/>
      </w:r>
      <w:r>
        <w:fldChar w:fldCharType="end"/>
      </w:r>
    </w:p>
    <w:p>
      <w:pPr>
        <w:pStyle w:val="7"/>
        <w:tabs>
          <w:tab w:val="right" w:leader="dot" w:pos="8720"/>
        </w:tabs>
        <w:ind w:left="0" w:leftChars="0" w:firstLine="640"/>
        <w:rPr>
          <w:rStyle w:val="12"/>
          <w:rFonts w:ascii="楷体" w:hAnsi="楷体" w:eastAsia="楷体"/>
          <w:bCs/>
        </w:rPr>
      </w:pPr>
      <w:r>
        <w:fldChar w:fldCharType="begin"/>
      </w:r>
      <w:r>
        <w:instrText xml:space="preserve"> HYPERLINK \l "_Toc66174903" </w:instrText>
      </w:r>
      <w:r>
        <w:fldChar w:fldCharType="separate"/>
      </w:r>
      <w:r>
        <w:rPr>
          <w:rStyle w:val="12"/>
          <w:rFonts w:hint="eastAsia" w:ascii="楷体" w:hAnsi="楷体" w:eastAsia="楷体"/>
          <w:bCs/>
        </w:rPr>
        <w:t>（一）完成重大体育赛事任务</w:t>
      </w:r>
      <w:r>
        <w:rPr>
          <w:rStyle w:val="12"/>
          <w:rFonts w:ascii="楷体" w:hAnsi="楷体" w:eastAsia="楷体"/>
          <w:bCs/>
        </w:rPr>
        <w:tab/>
      </w:r>
      <w:r>
        <w:rPr>
          <w:rStyle w:val="12"/>
          <w:rFonts w:ascii="楷体" w:hAnsi="楷体" w:eastAsia="楷体"/>
          <w:bCs/>
        </w:rPr>
        <w:fldChar w:fldCharType="begin"/>
      </w:r>
      <w:r>
        <w:rPr>
          <w:rStyle w:val="12"/>
          <w:rFonts w:ascii="楷体" w:hAnsi="楷体" w:eastAsia="楷体"/>
          <w:bCs/>
        </w:rPr>
        <w:instrText xml:space="preserve"> PAGEREF _Toc66174903 \h </w:instrText>
      </w:r>
      <w:r>
        <w:rPr>
          <w:rStyle w:val="12"/>
          <w:rFonts w:ascii="楷体" w:hAnsi="楷体" w:eastAsia="楷体"/>
          <w:bCs/>
        </w:rPr>
        <w:fldChar w:fldCharType="separate"/>
      </w:r>
      <w:r>
        <w:rPr>
          <w:rStyle w:val="12"/>
          <w:rFonts w:ascii="楷体" w:hAnsi="楷体" w:eastAsia="楷体"/>
          <w:bCs/>
        </w:rPr>
        <w:t>23</w:t>
      </w:r>
      <w:r>
        <w:rPr>
          <w:rStyle w:val="12"/>
          <w:rFonts w:ascii="楷体" w:hAnsi="楷体" w:eastAsia="楷体"/>
          <w:bCs/>
        </w:rPr>
        <w:fldChar w:fldCharType="end"/>
      </w:r>
      <w:r>
        <w:rPr>
          <w:rStyle w:val="12"/>
          <w:rFonts w:ascii="楷体" w:hAnsi="楷体" w:eastAsia="楷体"/>
          <w:bCs/>
        </w:rPr>
        <w:fldChar w:fldCharType="end"/>
      </w:r>
    </w:p>
    <w:p>
      <w:pPr>
        <w:pStyle w:val="7"/>
        <w:tabs>
          <w:tab w:val="right" w:leader="dot" w:pos="8720"/>
        </w:tabs>
        <w:ind w:left="0" w:leftChars="0" w:firstLine="640"/>
        <w:rPr>
          <w:rStyle w:val="12"/>
          <w:rFonts w:ascii="楷体" w:hAnsi="楷体" w:eastAsia="楷体"/>
          <w:bCs/>
        </w:rPr>
      </w:pPr>
      <w:r>
        <w:fldChar w:fldCharType="begin"/>
      </w:r>
      <w:r>
        <w:instrText xml:space="preserve"> HYPERLINK \l "_Toc66174904" </w:instrText>
      </w:r>
      <w:r>
        <w:fldChar w:fldCharType="separate"/>
      </w:r>
      <w:r>
        <w:rPr>
          <w:rStyle w:val="12"/>
          <w:rFonts w:hint="eastAsia" w:ascii="楷体" w:hAnsi="楷体" w:eastAsia="楷体"/>
          <w:bCs/>
        </w:rPr>
        <w:t>（二）优化项目结构和布局</w:t>
      </w:r>
      <w:r>
        <w:rPr>
          <w:rStyle w:val="12"/>
          <w:rFonts w:ascii="楷体" w:hAnsi="楷体" w:eastAsia="楷体"/>
          <w:bCs/>
        </w:rPr>
        <w:tab/>
      </w:r>
      <w:r>
        <w:rPr>
          <w:rStyle w:val="12"/>
          <w:rFonts w:ascii="楷体" w:hAnsi="楷体" w:eastAsia="楷体"/>
          <w:bCs/>
        </w:rPr>
        <w:fldChar w:fldCharType="begin"/>
      </w:r>
      <w:r>
        <w:rPr>
          <w:rStyle w:val="12"/>
          <w:rFonts w:ascii="楷体" w:hAnsi="楷体" w:eastAsia="楷体"/>
          <w:bCs/>
        </w:rPr>
        <w:instrText xml:space="preserve"> PAGEREF _Toc66174904 \h </w:instrText>
      </w:r>
      <w:r>
        <w:rPr>
          <w:rStyle w:val="12"/>
          <w:rFonts w:ascii="楷体" w:hAnsi="楷体" w:eastAsia="楷体"/>
          <w:bCs/>
        </w:rPr>
        <w:fldChar w:fldCharType="separate"/>
      </w:r>
      <w:r>
        <w:rPr>
          <w:rStyle w:val="12"/>
          <w:rFonts w:ascii="楷体" w:hAnsi="楷体" w:eastAsia="楷体"/>
          <w:bCs/>
        </w:rPr>
        <w:t>24</w:t>
      </w:r>
      <w:r>
        <w:rPr>
          <w:rStyle w:val="12"/>
          <w:rFonts w:ascii="楷体" w:hAnsi="楷体" w:eastAsia="楷体"/>
          <w:bCs/>
        </w:rPr>
        <w:fldChar w:fldCharType="end"/>
      </w:r>
      <w:r>
        <w:rPr>
          <w:rStyle w:val="12"/>
          <w:rFonts w:ascii="楷体" w:hAnsi="楷体" w:eastAsia="楷体"/>
          <w:bCs/>
        </w:rPr>
        <w:fldChar w:fldCharType="end"/>
      </w:r>
    </w:p>
    <w:p>
      <w:pPr>
        <w:pStyle w:val="7"/>
        <w:tabs>
          <w:tab w:val="right" w:leader="dot" w:pos="8720"/>
        </w:tabs>
        <w:ind w:left="0" w:leftChars="0" w:firstLine="640"/>
        <w:rPr>
          <w:rStyle w:val="12"/>
          <w:rFonts w:ascii="楷体" w:hAnsi="楷体" w:eastAsia="楷体"/>
          <w:bCs/>
        </w:rPr>
      </w:pPr>
      <w:r>
        <w:fldChar w:fldCharType="begin"/>
      </w:r>
      <w:r>
        <w:instrText xml:space="preserve"> HYPERLINK \l "_Toc66174905" </w:instrText>
      </w:r>
      <w:r>
        <w:fldChar w:fldCharType="separate"/>
      </w:r>
      <w:r>
        <w:rPr>
          <w:rStyle w:val="12"/>
          <w:rFonts w:hint="eastAsia" w:ascii="楷体" w:hAnsi="楷体" w:eastAsia="楷体"/>
          <w:bCs/>
        </w:rPr>
        <w:t>（三）加强青少年体育工作</w:t>
      </w:r>
      <w:r>
        <w:rPr>
          <w:rStyle w:val="12"/>
          <w:rFonts w:ascii="楷体" w:hAnsi="楷体" w:eastAsia="楷体"/>
          <w:bCs/>
        </w:rPr>
        <w:tab/>
      </w:r>
      <w:r>
        <w:rPr>
          <w:rStyle w:val="12"/>
          <w:rFonts w:ascii="楷体" w:hAnsi="楷体" w:eastAsia="楷体"/>
          <w:bCs/>
        </w:rPr>
        <w:fldChar w:fldCharType="begin"/>
      </w:r>
      <w:r>
        <w:rPr>
          <w:rStyle w:val="12"/>
          <w:rFonts w:ascii="楷体" w:hAnsi="楷体" w:eastAsia="楷体"/>
          <w:bCs/>
        </w:rPr>
        <w:instrText xml:space="preserve"> PAGEREF _Toc66174905 \h </w:instrText>
      </w:r>
      <w:r>
        <w:rPr>
          <w:rStyle w:val="12"/>
          <w:rFonts w:ascii="楷体" w:hAnsi="楷体" w:eastAsia="楷体"/>
          <w:bCs/>
        </w:rPr>
        <w:fldChar w:fldCharType="separate"/>
      </w:r>
      <w:r>
        <w:rPr>
          <w:rStyle w:val="12"/>
          <w:rFonts w:ascii="楷体" w:hAnsi="楷体" w:eastAsia="楷体"/>
          <w:bCs/>
        </w:rPr>
        <w:t>25</w:t>
      </w:r>
      <w:r>
        <w:rPr>
          <w:rStyle w:val="12"/>
          <w:rFonts w:ascii="楷体" w:hAnsi="楷体" w:eastAsia="楷体"/>
          <w:bCs/>
        </w:rPr>
        <w:fldChar w:fldCharType="end"/>
      </w:r>
      <w:r>
        <w:rPr>
          <w:rStyle w:val="12"/>
          <w:rFonts w:ascii="楷体" w:hAnsi="楷体" w:eastAsia="楷体"/>
          <w:bCs/>
        </w:rPr>
        <w:fldChar w:fldCharType="end"/>
      </w:r>
    </w:p>
    <w:p>
      <w:pPr>
        <w:pStyle w:val="7"/>
        <w:tabs>
          <w:tab w:val="right" w:leader="dot" w:pos="8720"/>
        </w:tabs>
        <w:ind w:left="0" w:leftChars="0" w:firstLine="640"/>
        <w:rPr>
          <w:rStyle w:val="12"/>
          <w:rFonts w:ascii="楷体" w:hAnsi="楷体" w:eastAsia="楷体"/>
          <w:bCs/>
        </w:rPr>
      </w:pPr>
      <w:r>
        <w:fldChar w:fldCharType="begin"/>
      </w:r>
      <w:r>
        <w:instrText xml:space="preserve"> HYPERLINK \l "_Toc66174906" </w:instrText>
      </w:r>
      <w:r>
        <w:fldChar w:fldCharType="separate"/>
      </w:r>
      <w:r>
        <w:rPr>
          <w:rStyle w:val="12"/>
          <w:rFonts w:hint="eastAsia" w:ascii="楷体" w:hAnsi="楷体" w:eastAsia="楷体"/>
          <w:bCs/>
        </w:rPr>
        <w:t>（四）加大高水平后备人才输送力度</w:t>
      </w:r>
      <w:r>
        <w:rPr>
          <w:rStyle w:val="12"/>
          <w:rFonts w:ascii="楷体" w:hAnsi="楷体" w:eastAsia="楷体"/>
          <w:bCs/>
        </w:rPr>
        <w:tab/>
      </w:r>
      <w:r>
        <w:rPr>
          <w:rStyle w:val="12"/>
          <w:rFonts w:ascii="楷体" w:hAnsi="楷体" w:eastAsia="楷体"/>
          <w:bCs/>
        </w:rPr>
        <w:fldChar w:fldCharType="begin"/>
      </w:r>
      <w:r>
        <w:rPr>
          <w:rStyle w:val="12"/>
          <w:rFonts w:ascii="楷体" w:hAnsi="楷体" w:eastAsia="楷体"/>
          <w:bCs/>
        </w:rPr>
        <w:instrText xml:space="preserve"> PAGEREF _Toc66174906 \h </w:instrText>
      </w:r>
      <w:r>
        <w:rPr>
          <w:rStyle w:val="12"/>
          <w:rFonts w:ascii="楷体" w:hAnsi="楷体" w:eastAsia="楷体"/>
          <w:bCs/>
        </w:rPr>
        <w:fldChar w:fldCharType="separate"/>
      </w:r>
      <w:r>
        <w:rPr>
          <w:rStyle w:val="12"/>
          <w:rFonts w:ascii="楷体" w:hAnsi="楷体" w:eastAsia="楷体"/>
          <w:bCs/>
        </w:rPr>
        <w:t>26</w:t>
      </w:r>
      <w:r>
        <w:rPr>
          <w:rStyle w:val="12"/>
          <w:rFonts w:ascii="楷体" w:hAnsi="楷体" w:eastAsia="楷体"/>
          <w:bCs/>
        </w:rPr>
        <w:fldChar w:fldCharType="end"/>
      </w:r>
      <w:r>
        <w:rPr>
          <w:rStyle w:val="12"/>
          <w:rFonts w:ascii="楷体" w:hAnsi="楷体" w:eastAsia="楷体"/>
          <w:bCs/>
        </w:rPr>
        <w:fldChar w:fldCharType="end"/>
      </w:r>
    </w:p>
    <w:p>
      <w:pPr>
        <w:pStyle w:val="6"/>
        <w:rPr>
          <w:rFonts w:asciiTheme="minorHAnsi" w:hAnsiTheme="minorHAnsi" w:eastAsiaTheme="minorEastAsia"/>
          <w:sz w:val="21"/>
        </w:rPr>
      </w:pPr>
      <w:r>
        <w:fldChar w:fldCharType="begin"/>
      </w:r>
      <w:r>
        <w:instrText xml:space="preserve"> HYPERLINK \l "_Toc66174907" </w:instrText>
      </w:r>
      <w:r>
        <w:fldChar w:fldCharType="separate"/>
      </w:r>
      <w:r>
        <w:rPr>
          <w:rStyle w:val="12"/>
          <w:rFonts w:hint="eastAsia" w:ascii="黑体" w:hAnsi="黑体" w:eastAsia="黑体"/>
          <w:bCs/>
        </w:rPr>
        <w:t>六、加大赛事招引培育力度，建设国家体育赛事中心</w:t>
      </w:r>
      <w:r>
        <w:tab/>
      </w:r>
      <w:r>
        <w:fldChar w:fldCharType="begin"/>
      </w:r>
      <w:r>
        <w:instrText xml:space="preserve"> PAGEREF _Toc66174907 \h </w:instrText>
      </w:r>
      <w:r>
        <w:fldChar w:fldCharType="separate"/>
      </w:r>
      <w:r>
        <w:t>26</w:t>
      </w:r>
      <w:r>
        <w:fldChar w:fldCharType="end"/>
      </w:r>
      <w:r>
        <w:fldChar w:fldCharType="end"/>
      </w:r>
    </w:p>
    <w:p>
      <w:pPr>
        <w:pStyle w:val="7"/>
        <w:tabs>
          <w:tab w:val="right" w:leader="dot" w:pos="8720"/>
        </w:tabs>
        <w:ind w:left="0" w:leftChars="0" w:firstLine="640"/>
        <w:rPr>
          <w:rStyle w:val="12"/>
          <w:rFonts w:ascii="楷体" w:hAnsi="楷体" w:eastAsia="楷体"/>
          <w:bCs/>
        </w:rPr>
      </w:pPr>
      <w:r>
        <w:fldChar w:fldCharType="begin"/>
      </w:r>
      <w:r>
        <w:instrText xml:space="preserve"> HYPERLINK \l "_Toc66174908" </w:instrText>
      </w:r>
      <w:r>
        <w:fldChar w:fldCharType="separate"/>
      </w:r>
      <w:r>
        <w:rPr>
          <w:rStyle w:val="12"/>
          <w:rFonts w:hint="eastAsia" w:ascii="楷体" w:hAnsi="楷体" w:eastAsia="楷体"/>
          <w:bCs/>
        </w:rPr>
        <w:t>（一）承办国际国内高端赛事</w:t>
      </w:r>
      <w:r>
        <w:rPr>
          <w:rStyle w:val="12"/>
          <w:rFonts w:ascii="楷体" w:hAnsi="楷体" w:eastAsia="楷体"/>
          <w:bCs/>
        </w:rPr>
        <w:tab/>
      </w:r>
      <w:r>
        <w:rPr>
          <w:rStyle w:val="12"/>
          <w:rFonts w:ascii="楷体" w:hAnsi="楷体" w:eastAsia="楷体"/>
          <w:bCs/>
        </w:rPr>
        <w:fldChar w:fldCharType="begin"/>
      </w:r>
      <w:r>
        <w:rPr>
          <w:rStyle w:val="12"/>
          <w:rFonts w:ascii="楷体" w:hAnsi="楷体" w:eastAsia="楷体"/>
          <w:bCs/>
        </w:rPr>
        <w:instrText xml:space="preserve"> PAGEREF _Toc66174908 \h </w:instrText>
      </w:r>
      <w:r>
        <w:rPr>
          <w:rStyle w:val="12"/>
          <w:rFonts w:ascii="楷体" w:hAnsi="楷体" w:eastAsia="楷体"/>
          <w:bCs/>
        </w:rPr>
        <w:fldChar w:fldCharType="separate"/>
      </w:r>
      <w:r>
        <w:rPr>
          <w:rStyle w:val="12"/>
          <w:rFonts w:ascii="楷体" w:hAnsi="楷体" w:eastAsia="楷体"/>
          <w:bCs/>
        </w:rPr>
        <w:t>26</w:t>
      </w:r>
      <w:r>
        <w:rPr>
          <w:rStyle w:val="12"/>
          <w:rFonts w:ascii="楷体" w:hAnsi="楷体" w:eastAsia="楷体"/>
          <w:bCs/>
        </w:rPr>
        <w:fldChar w:fldCharType="end"/>
      </w:r>
      <w:r>
        <w:rPr>
          <w:rStyle w:val="12"/>
          <w:rFonts w:ascii="楷体" w:hAnsi="楷体" w:eastAsia="楷体"/>
          <w:bCs/>
        </w:rPr>
        <w:fldChar w:fldCharType="end"/>
      </w:r>
    </w:p>
    <w:p>
      <w:pPr>
        <w:pStyle w:val="7"/>
        <w:tabs>
          <w:tab w:val="right" w:leader="dot" w:pos="8720"/>
        </w:tabs>
        <w:ind w:left="0" w:leftChars="0" w:firstLine="640"/>
        <w:rPr>
          <w:rStyle w:val="12"/>
          <w:rFonts w:ascii="楷体" w:hAnsi="楷体" w:eastAsia="楷体"/>
          <w:bCs/>
        </w:rPr>
      </w:pPr>
      <w:r>
        <w:fldChar w:fldCharType="begin"/>
      </w:r>
      <w:r>
        <w:instrText xml:space="preserve"> HYPERLINK \l "_Toc66174909" </w:instrText>
      </w:r>
      <w:r>
        <w:fldChar w:fldCharType="separate"/>
      </w:r>
      <w:r>
        <w:rPr>
          <w:rStyle w:val="12"/>
          <w:rFonts w:hint="eastAsia" w:ascii="楷体" w:hAnsi="楷体" w:eastAsia="楷体"/>
          <w:bCs/>
        </w:rPr>
        <w:t>（二）擦亮青岛自主赛事品牌</w:t>
      </w:r>
      <w:r>
        <w:rPr>
          <w:rStyle w:val="12"/>
          <w:rFonts w:ascii="楷体" w:hAnsi="楷体" w:eastAsia="楷体"/>
          <w:bCs/>
        </w:rPr>
        <w:tab/>
      </w:r>
      <w:r>
        <w:rPr>
          <w:rStyle w:val="12"/>
          <w:rFonts w:ascii="楷体" w:hAnsi="楷体" w:eastAsia="楷体"/>
          <w:bCs/>
        </w:rPr>
        <w:fldChar w:fldCharType="begin"/>
      </w:r>
      <w:r>
        <w:rPr>
          <w:rStyle w:val="12"/>
          <w:rFonts w:ascii="楷体" w:hAnsi="楷体" w:eastAsia="楷体"/>
          <w:bCs/>
        </w:rPr>
        <w:instrText xml:space="preserve"> PAGEREF _Toc66174909 \h </w:instrText>
      </w:r>
      <w:r>
        <w:rPr>
          <w:rStyle w:val="12"/>
          <w:rFonts w:ascii="楷体" w:hAnsi="楷体" w:eastAsia="楷体"/>
          <w:bCs/>
        </w:rPr>
        <w:fldChar w:fldCharType="separate"/>
      </w:r>
      <w:r>
        <w:rPr>
          <w:rStyle w:val="12"/>
          <w:rFonts w:ascii="楷体" w:hAnsi="楷体" w:eastAsia="楷体"/>
          <w:bCs/>
        </w:rPr>
        <w:t>27</w:t>
      </w:r>
      <w:r>
        <w:rPr>
          <w:rStyle w:val="12"/>
          <w:rFonts w:ascii="楷体" w:hAnsi="楷体" w:eastAsia="楷体"/>
          <w:bCs/>
        </w:rPr>
        <w:fldChar w:fldCharType="end"/>
      </w:r>
      <w:r>
        <w:rPr>
          <w:rStyle w:val="12"/>
          <w:rFonts w:ascii="楷体" w:hAnsi="楷体" w:eastAsia="楷体"/>
          <w:bCs/>
        </w:rPr>
        <w:fldChar w:fldCharType="end"/>
      </w:r>
    </w:p>
    <w:p>
      <w:pPr>
        <w:pStyle w:val="7"/>
        <w:tabs>
          <w:tab w:val="right" w:leader="dot" w:pos="8720"/>
        </w:tabs>
        <w:ind w:left="0" w:leftChars="0" w:firstLine="640"/>
        <w:rPr>
          <w:rFonts w:asciiTheme="minorHAnsi" w:hAnsiTheme="minorHAnsi" w:eastAsiaTheme="minorEastAsia"/>
          <w:sz w:val="21"/>
        </w:rPr>
      </w:pPr>
      <w:r>
        <w:fldChar w:fldCharType="begin"/>
      </w:r>
      <w:r>
        <w:instrText xml:space="preserve"> HYPERLINK \l "_Toc66174910" </w:instrText>
      </w:r>
      <w:r>
        <w:fldChar w:fldCharType="separate"/>
      </w:r>
      <w:r>
        <w:rPr>
          <w:rStyle w:val="12"/>
          <w:rFonts w:hint="eastAsia" w:ascii="楷体" w:hAnsi="楷体" w:eastAsia="楷体"/>
          <w:bCs/>
        </w:rPr>
        <w:t>（三）打造周周有活动、月月有比赛的群众体育赛事</w:t>
      </w:r>
      <w:r>
        <w:tab/>
      </w:r>
      <w:r>
        <w:fldChar w:fldCharType="begin"/>
      </w:r>
      <w:r>
        <w:instrText xml:space="preserve"> PAGEREF _Toc66174910 \h </w:instrText>
      </w:r>
      <w:r>
        <w:fldChar w:fldCharType="separate"/>
      </w:r>
      <w:r>
        <w:t>27</w:t>
      </w:r>
      <w:r>
        <w:fldChar w:fldCharType="end"/>
      </w:r>
      <w:r>
        <w:fldChar w:fldCharType="end"/>
      </w:r>
    </w:p>
    <w:p>
      <w:pPr>
        <w:pStyle w:val="7"/>
        <w:tabs>
          <w:tab w:val="right" w:leader="dot" w:pos="8720"/>
        </w:tabs>
        <w:ind w:left="0" w:leftChars="0" w:firstLine="640"/>
        <w:rPr>
          <w:rStyle w:val="12"/>
          <w:rFonts w:ascii="楷体" w:hAnsi="楷体" w:eastAsia="楷体"/>
          <w:bCs/>
        </w:rPr>
      </w:pPr>
      <w:r>
        <w:fldChar w:fldCharType="begin"/>
      </w:r>
      <w:r>
        <w:instrText xml:space="preserve"> HYPERLINK \l "_Toc66174911" </w:instrText>
      </w:r>
      <w:r>
        <w:fldChar w:fldCharType="separate"/>
      </w:r>
      <w:r>
        <w:rPr>
          <w:rStyle w:val="12"/>
          <w:rFonts w:hint="eastAsia" w:ascii="楷体" w:hAnsi="楷体" w:eastAsia="楷体"/>
          <w:bCs/>
        </w:rPr>
        <w:t>（四）发展高水平职业体育赛事</w:t>
      </w:r>
      <w:r>
        <w:rPr>
          <w:rStyle w:val="12"/>
          <w:rFonts w:ascii="楷体" w:hAnsi="楷体" w:eastAsia="楷体"/>
          <w:bCs/>
        </w:rPr>
        <w:tab/>
      </w:r>
      <w:r>
        <w:rPr>
          <w:rStyle w:val="12"/>
          <w:rFonts w:ascii="楷体" w:hAnsi="楷体" w:eastAsia="楷体"/>
          <w:bCs/>
        </w:rPr>
        <w:fldChar w:fldCharType="begin"/>
      </w:r>
      <w:r>
        <w:rPr>
          <w:rStyle w:val="12"/>
          <w:rFonts w:ascii="楷体" w:hAnsi="楷体" w:eastAsia="楷体"/>
          <w:bCs/>
        </w:rPr>
        <w:instrText xml:space="preserve"> PAGEREF _Toc66174911 \h </w:instrText>
      </w:r>
      <w:r>
        <w:rPr>
          <w:rStyle w:val="12"/>
          <w:rFonts w:ascii="楷体" w:hAnsi="楷体" w:eastAsia="楷体"/>
          <w:bCs/>
        </w:rPr>
        <w:fldChar w:fldCharType="separate"/>
      </w:r>
      <w:r>
        <w:rPr>
          <w:rStyle w:val="12"/>
          <w:rFonts w:ascii="楷体" w:hAnsi="楷体" w:eastAsia="楷体"/>
          <w:bCs/>
        </w:rPr>
        <w:t>28</w:t>
      </w:r>
      <w:r>
        <w:rPr>
          <w:rStyle w:val="12"/>
          <w:rFonts w:ascii="楷体" w:hAnsi="楷体" w:eastAsia="楷体"/>
          <w:bCs/>
        </w:rPr>
        <w:fldChar w:fldCharType="end"/>
      </w:r>
      <w:r>
        <w:rPr>
          <w:rStyle w:val="12"/>
          <w:rFonts w:ascii="楷体" w:hAnsi="楷体" w:eastAsia="楷体"/>
          <w:bCs/>
        </w:rPr>
        <w:fldChar w:fldCharType="end"/>
      </w:r>
    </w:p>
    <w:p>
      <w:pPr>
        <w:pStyle w:val="6"/>
        <w:rPr>
          <w:rFonts w:asciiTheme="minorHAnsi" w:hAnsiTheme="minorHAnsi" w:eastAsiaTheme="minorEastAsia"/>
          <w:sz w:val="21"/>
        </w:rPr>
      </w:pPr>
      <w:r>
        <w:fldChar w:fldCharType="begin"/>
      </w:r>
      <w:r>
        <w:instrText xml:space="preserve"> HYPERLINK \l "_Toc66174912" </w:instrText>
      </w:r>
      <w:r>
        <w:fldChar w:fldCharType="separate"/>
      </w:r>
      <w:r>
        <w:rPr>
          <w:rStyle w:val="12"/>
          <w:rFonts w:hint="eastAsia" w:ascii="黑体" w:hAnsi="黑体" w:eastAsia="黑体"/>
          <w:bCs/>
        </w:rPr>
        <w:t>七、扩大体育产品和服务供给，建设国家体育消费中心</w:t>
      </w:r>
      <w:r>
        <w:tab/>
      </w:r>
      <w:r>
        <w:fldChar w:fldCharType="begin"/>
      </w:r>
      <w:r>
        <w:instrText xml:space="preserve"> PAGEREF _Toc66174912 \h </w:instrText>
      </w:r>
      <w:r>
        <w:fldChar w:fldCharType="separate"/>
      </w:r>
      <w:r>
        <w:t>29</w:t>
      </w:r>
      <w:r>
        <w:fldChar w:fldCharType="end"/>
      </w:r>
      <w:r>
        <w:fldChar w:fldCharType="end"/>
      </w:r>
    </w:p>
    <w:p>
      <w:pPr>
        <w:pStyle w:val="7"/>
        <w:tabs>
          <w:tab w:val="right" w:leader="dot" w:pos="8720"/>
        </w:tabs>
        <w:ind w:left="0" w:leftChars="0" w:firstLine="640"/>
        <w:rPr>
          <w:rStyle w:val="12"/>
          <w:rFonts w:ascii="楷体" w:hAnsi="楷体" w:eastAsia="楷体"/>
          <w:bCs/>
        </w:rPr>
      </w:pPr>
      <w:r>
        <w:fldChar w:fldCharType="begin"/>
      </w:r>
      <w:r>
        <w:instrText xml:space="preserve"> HYPERLINK \l "_Toc66174913" </w:instrText>
      </w:r>
      <w:r>
        <w:fldChar w:fldCharType="separate"/>
      </w:r>
      <w:r>
        <w:rPr>
          <w:rStyle w:val="12"/>
          <w:rFonts w:hint="eastAsia" w:ascii="楷体" w:hAnsi="楷体" w:eastAsia="楷体"/>
          <w:bCs/>
        </w:rPr>
        <w:t>（一）丰富体育消费供给</w:t>
      </w:r>
      <w:r>
        <w:rPr>
          <w:rStyle w:val="12"/>
          <w:rFonts w:ascii="楷体" w:hAnsi="楷体" w:eastAsia="楷体"/>
          <w:bCs/>
        </w:rPr>
        <w:tab/>
      </w:r>
      <w:r>
        <w:rPr>
          <w:rStyle w:val="12"/>
          <w:rFonts w:ascii="楷体" w:hAnsi="楷体" w:eastAsia="楷体"/>
          <w:bCs/>
        </w:rPr>
        <w:fldChar w:fldCharType="begin"/>
      </w:r>
      <w:r>
        <w:rPr>
          <w:rStyle w:val="12"/>
          <w:rFonts w:ascii="楷体" w:hAnsi="楷体" w:eastAsia="楷体"/>
          <w:bCs/>
        </w:rPr>
        <w:instrText xml:space="preserve"> PAGEREF _Toc66174913 \h </w:instrText>
      </w:r>
      <w:r>
        <w:rPr>
          <w:rStyle w:val="12"/>
          <w:rFonts w:ascii="楷体" w:hAnsi="楷体" w:eastAsia="楷体"/>
          <w:bCs/>
        </w:rPr>
        <w:fldChar w:fldCharType="separate"/>
      </w:r>
      <w:r>
        <w:rPr>
          <w:rStyle w:val="12"/>
          <w:rFonts w:ascii="楷体" w:hAnsi="楷体" w:eastAsia="楷体"/>
          <w:bCs/>
        </w:rPr>
        <w:t>29</w:t>
      </w:r>
      <w:r>
        <w:rPr>
          <w:rStyle w:val="12"/>
          <w:rFonts w:ascii="楷体" w:hAnsi="楷体" w:eastAsia="楷体"/>
          <w:bCs/>
        </w:rPr>
        <w:fldChar w:fldCharType="end"/>
      </w:r>
      <w:r>
        <w:rPr>
          <w:rStyle w:val="12"/>
          <w:rFonts w:ascii="楷体" w:hAnsi="楷体" w:eastAsia="楷体"/>
          <w:bCs/>
        </w:rPr>
        <w:fldChar w:fldCharType="end"/>
      </w:r>
    </w:p>
    <w:p>
      <w:pPr>
        <w:pStyle w:val="7"/>
        <w:tabs>
          <w:tab w:val="right" w:leader="dot" w:pos="8720"/>
        </w:tabs>
        <w:ind w:left="0" w:leftChars="0" w:firstLine="640"/>
        <w:rPr>
          <w:rStyle w:val="12"/>
          <w:rFonts w:ascii="楷体" w:hAnsi="楷体" w:eastAsia="楷体"/>
          <w:bCs/>
        </w:rPr>
      </w:pPr>
      <w:r>
        <w:fldChar w:fldCharType="begin"/>
      </w:r>
      <w:r>
        <w:instrText xml:space="preserve"> HYPERLINK \l "_Toc66174914" </w:instrText>
      </w:r>
      <w:r>
        <w:fldChar w:fldCharType="separate"/>
      </w:r>
      <w:r>
        <w:rPr>
          <w:rStyle w:val="12"/>
          <w:rFonts w:hint="eastAsia" w:ascii="楷体" w:hAnsi="楷体" w:eastAsia="楷体"/>
          <w:bCs/>
        </w:rPr>
        <w:t>（二）创新体育消费模式</w:t>
      </w:r>
      <w:r>
        <w:rPr>
          <w:rStyle w:val="12"/>
          <w:rFonts w:ascii="楷体" w:hAnsi="楷体" w:eastAsia="楷体"/>
          <w:bCs/>
        </w:rPr>
        <w:tab/>
      </w:r>
      <w:r>
        <w:rPr>
          <w:rStyle w:val="12"/>
          <w:rFonts w:ascii="楷体" w:hAnsi="楷体" w:eastAsia="楷体"/>
          <w:bCs/>
        </w:rPr>
        <w:fldChar w:fldCharType="begin"/>
      </w:r>
      <w:r>
        <w:rPr>
          <w:rStyle w:val="12"/>
          <w:rFonts w:ascii="楷体" w:hAnsi="楷体" w:eastAsia="楷体"/>
          <w:bCs/>
        </w:rPr>
        <w:instrText xml:space="preserve"> PAGEREF _Toc66174914 \h </w:instrText>
      </w:r>
      <w:r>
        <w:rPr>
          <w:rStyle w:val="12"/>
          <w:rFonts w:ascii="楷体" w:hAnsi="楷体" w:eastAsia="楷体"/>
          <w:bCs/>
        </w:rPr>
        <w:fldChar w:fldCharType="separate"/>
      </w:r>
      <w:r>
        <w:rPr>
          <w:rStyle w:val="12"/>
          <w:rFonts w:ascii="楷体" w:hAnsi="楷体" w:eastAsia="楷体"/>
          <w:bCs/>
        </w:rPr>
        <w:t>29</w:t>
      </w:r>
      <w:r>
        <w:rPr>
          <w:rStyle w:val="12"/>
          <w:rFonts w:ascii="楷体" w:hAnsi="楷体" w:eastAsia="楷体"/>
          <w:bCs/>
        </w:rPr>
        <w:fldChar w:fldCharType="end"/>
      </w:r>
      <w:r>
        <w:rPr>
          <w:rStyle w:val="12"/>
          <w:rFonts w:ascii="楷体" w:hAnsi="楷体" w:eastAsia="楷体"/>
          <w:bCs/>
        </w:rPr>
        <w:fldChar w:fldCharType="end"/>
      </w:r>
    </w:p>
    <w:p>
      <w:pPr>
        <w:pStyle w:val="7"/>
        <w:tabs>
          <w:tab w:val="right" w:leader="dot" w:pos="8720"/>
        </w:tabs>
        <w:ind w:left="0" w:leftChars="0" w:firstLine="640"/>
        <w:rPr>
          <w:rStyle w:val="12"/>
          <w:rFonts w:ascii="楷体" w:hAnsi="楷体" w:eastAsia="楷体"/>
          <w:bCs/>
        </w:rPr>
      </w:pPr>
      <w:r>
        <w:fldChar w:fldCharType="begin"/>
      </w:r>
      <w:r>
        <w:instrText xml:space="preserve"> HYPERLINK \l "_Toc66174915" </w:instrText>
      </w:r>
      <w:r>
        <w:fldChar w:fldCharType="separate"/>
      </w:r>
      <w:r>
        <w:rPr>
          <w:rStyle w:val="12"/>
          <w:rFonts w:hint="eastAsia" w:ascii="楷体" w:hAnsi="楷体" w:eastAsia="楷体"/>
          <w:bCs/>
        </w:rPr>
        <w:t>（三）完善体育消费政策</w:t>
      </w:r>
      <w:r>
        <w:rPr>
          <w:rStyle w:val="12"/>
          <w:rFonts w:ascii="楷体" w:hAnsi="楷体" w:eastAsia="楷体"/>
          <w:bCs/>
        </w:rPr>
        <w:tab/>
      </w:r>
      <w:r>
        <w:rPr>
          <w:rStyle w:val="12"/>
          <w:rFonts w:ascii="楷体" w:hAnsi="楷体" w:eastAsia="楷体"/>
          <w:bCs/>
        </w:rPr>
        <w:fldChar w:fldCharType="begin"/>
      </w:r>
      <w:r>
        <w:rPr>
          <w:rStyle w:val="12"/>
          <w:rFonts w:ascii="楷体" w:hAnsi="楷体" w:eastAsia="楷体"/>
          <w:bCs/>
        </w:rPr>
        <w:instrText xml:space="preserve"> PAGEREF _Toc66174915 \h </w:instrText>
      </w:r>
      <w:r>
        <w:rPr>
          <w:rStyle w:val="12"/>
          <w:rFonts w:ascii="楷体" w:hAnsi="楷体" w:eastAsia="楷体"/>
          <w:bCs/>
        </w:rPr>
        <w:fldChar w:fldCharType="separate"/>
      </w:r>
      <w:r>
        <w:rPr>
          <w:rStyle w:val="12"/>
          <w:rFonts w:ascii="楷体" w:hAnsi="楷体" w:eastAsia="楷体"/>
          <w:bCs/>
        </w:rPr>
        <w:t>30</w:t>
      </w:r>
      <w:r>
        <w:rPr>
          <w:rStyle w:val="12"/>
          <w:rFonts w:ascii="楷体" w:hAnsi="楷体" w:eastAsia="楷体"/>
          <w:bCs/>
        </w:rPr>
        <w:fldChar w:fldCharType="end"/>
      </w:r>
      <w:r>
        <w:rPr>
          <w:rStyle w:val="12"/>
          <w:rFonts w:ascii="楷体" w:hAnsi="楷体" w:eastAsia="楷体"/>
          <w:bCs/>
        </w:rPr>
        <w:fldChar w:fldCharType="end"/>
      </w:r>
    </w:p>
    <w:p>
      <w:pPr>
        <w:pStyle w:val="7"/>
        <w:tabs>
          <w:tab w:val="right" w:leader="dot" w:pos="8720"/>
        </w:tabs>
        <w:ind w:left="0" w:leftChars="0" w:firstLine="640"/>
        <w:rPr>
          <w:rStyle w:val="12"/>
          <w:rFonts w:ascii="楷体" w:hAnsi="楷体" w:eastAsia="楷体"/>
          <w:bCs/>
        </w:rPr>
      </w:pPr>
      <w:r>
        <w:fldChar w:fldCharType="begin"/>
      </w:r>
      <w:r>
        <w:instrText xml:space="preserve"> HYPERLINK \l "_Toc66174916" </w:instrText>
      </w:r>
      <w:r>
        <w:fldChar w:fldCharType="separate"/>
      </w:r>
      <w:r>
        <w:rPr>
          <w:rStyle w:val="12"/>
          <w:rFonts w:hint="eastAsia" w:ascii="楷体" w:hAnsi="楷体" w:eastAsia="楷体"/>
          <w:bCs/>
        </w:rPr>
        <w:t>（四）维护体育市场秩序</w:t>
      </w:r>
      <w:r>
        <w:rPr>
          <w:rStyle w:val="12"/>
          <w:rFonts w:ascii="楷体" w:hAnsi="楷体" w:eastAsia="楷体"/>
          <w:bCs/>
        </w:rPr>
        <w:tab/>
      </w:r>
      <w:r>
        <w:rPr>
          <w:rStyle w:val="12"/>
          <w:rFonts w:ascii="楷体" w:hAnsi="楷体" w:eastAsia="楷体"/>
          <w:bCs/>
        </w:rPr>
        <w:fldChar w:fldCharType="begin"/>
      </w:r>
      <w:r>
        <w:rPr>
          <w:rStyle w:val="12"/>
          <w:rFonts w:ascii="楷体" w:hAnsi="楷体" w:eastAsia="楷体"/>
          <w:bCs/>
        </w:rPr>
        <w:instrText xml:space="preserve"> PAGEREF _Toc66174916 \h </w:instrText>
      </w:r>
      <w:r>
        <w:rPr>
          <w:rStyle w:val="12"/>
          <w:rFonts w:ascii="楷体" w:hAnsi="楷体" w:eastAsia="楷体"/>
          <w:bCs/>
        </w:rPr>
        <w:fldChar w:fldCharType="separate"/>
      </w:r>
      <w:r>
        <w:rPr>
          <w:rStyle w:val="12"/>
          <w:rFonts w:ascii="楷体" w:hAnsi="楷体" w:eastAsia="楷体"/>
          <w:bCs/>
        </w:rPr>
        <w:t>30</w:t>
      </w:r>
      <w:r>
        <w:rPr>
          <w:rStyle w:val="12"/>
          <w:rFonts w:ascii="楷体" w:hAnsi="楷体" w:eastAsia="楷体"/>
          <w:bCs/>
        </w:rPr>
        <w:fldChar w:fldCharType="end"/>
      </w:r>
      <w:r>
        <w:rPr>
          <w:rStyle w:val="12"/>
          <w:rFonts w:ascii="楷体" w:hAnsi="楷体" w:eastAsia="楷体"/>
          <w:bCs/>
        </w:rPr>
        <w:fldChar w:fldCharType="end"/>
      </w:r>
    </w:p>
    <w:p>
      <w:pPr>
        <w:pStyle w:val="6"/>
        <w:rPr>
          <w:rFonts w:asciiTheme="minorHAnsi" w:hAnsiTheme="minorHAnsi" w:eastAsiaTheme="minorEastAsia"/>
          <w:sz w:val="21"/>
        </w:rPr>
      </w:pPr>
      <w:r>
        <w:fldChar w:fldCharType="begin"/>
      </w:r>
      <w:r>
        <w:instrText xml:space="preserve"> HYPERLINK \l "_Toc66174917" </w:instrText>
      </w:r>
      <w:r>
        <w:fldChar w:fldCharType="separate"/>
      </w:r>
      <w:r>
        <w:rPr>
          <w:rStyle w:val="12"/>
          <w:rFonts w:hint="eastAsia" w:ascii="黑体" w:hAnsi="黑体" w:eastAsia="黑体"/>
          <w:bCs/>
        </w:rPr>
        <w:t>八、加快体育制造转型升级，培育国家体育产品制造中心</w:t>
      </w:r>
      <w:r>
        <w:tab/>
      </w:r>
      <w:r>
        <w:fldChar w:fldCharType="begin"/>
      </w:r>
      <w:r>
        <w:instrText xml:space="preserve"> PAGEREF _Toc66174917 \h </w:instrText>
      </w:r>
      <w:r>
        <w:fldChar w:fldCharType="separate"/>
      </w:r>
      <w:r>
        <w:t>31</w:t>
      </w:r>
      <w:r>
        <w:fldChar w:fldCharType="end"/>
      </w:r>
      <w:r>
        <w:fldChar w:fldCharType="end"/>
      </w:r>
    </w:p>
    <w:p>
      <w:pPr>
        <w:pStyle w:val="7"/>
        <w:tabs>
          <w:tab w:val="right" w:leader="dot" w:pos="8720"/>
        </w:tabs>
        <w:ind w:left="0" w:leftChars="0" w:firstLine="640"/>
        <w:rPr>
          <w:rStyle w:val="12"/>
          <w:rFonts w:ascii="楷体" w:hAnsi="楷体" w:eastAsia="楷体"/>
          <w:bCs/>
        </w:rPr>
      </w:pPr>
      <w:r>
        <w:fldChar w:fldCharType="begin"/>
      </w:r>
      <w:r>
        <w:instrText xml:space="preserve"> HYPERLINK \l "_Toc66174918" </w:instrText>
      </w:r>
      <w:r>
        <w:fldChar w:fldCharType="separate"/>
      </w:r>
      <w:r>
        <w:rPr>
          <w:rStyle w:val="12"/>
          <w:rFonts w:hint="eastAsia" w:ascii="楷体" w:hAnsi="楷体" w:eastAsia="楷体"/>
          <w:bCs/>
        </w:rPr>
        <w:t>（一）促进体育制造产业集聚发展</w:t>
      </w:r>
      <w:r>
        <w:rPr>
          <w:rStyle w:val="12"/>
          <w:rFonts w:ascii="楷体" w:hAnsi="楷体" w:eastAsia="楷体"/>
          <w:bCs/>
        </w:rPr>
        <w:tab/>
      </w:r>
      <w:r>
        <w:rPr>
          <w:rStyle w:val="12"/>
          <w:rFonts w:ascii="楷体" w:hAnsi="楷体" w:eastAsia="楷体"/>
          <w:bCs/>
        </w:rPr>
        <w:fldChar w:fldCharType="begin"/>
      </w:r>
      <w:r>
        <w:rPr>
          <w:rStyle w:val="12"/>
          <w:rFonts w:ascii="楷体" w:hAnsi="楷体" w:eastAsia="楷体"/>
          <w:bCs/>
        </w:rPr>
        <w:instrText xml:space="preserve"> PAGEREF _Toc66174918 \h </w:instrText>
      </w:r>
      <w:r>
        <w:rPr>
          <w:rStyle w:val="12"/>
          <w:rFonts w:ascii="楷体" w:hAnsi="楷体" w:eastAsia="楷体"/>
          <w:bCs/>
        </w:rPr>
        <w:fldChar w:fldCharType="separate"/>
      </w:r>
      <w:r>
        <w:rPr>
          <w:rStyle w:val="12"/>
          <w:rFonts w:ascii="楷体" w:hAnsi="楷体" w:eastAsia="楷体"/>
          <w:bCs/>
        </w:rPr>
        <w:t>31</w:t>
      </w:r>
      <w:r>
        <w:rPr>
          <w:rStyle w:val="12"/>
          <w:rFonts w:ascii="楷体" w:hAnsi="楷体" w:eastAsia="楷体"/>
          <w:bCs/>
        </w:rPr>
        <w:fldChar w:fldCharType="end"/>
      </w:r>
      <w:r>
        <w:rPr>
          <w:rStyle w:val="12"/>
          <w:rFonts w:ascii="楷体" w:hAnsi="楷体" w:eastAsia="楷体"/>
          <w:bCs/>
        </w:rPr>
        <w:fldChar w:fldCharType="end"/>
      </w:r>
    </w:p>
    <w:p>
      <w:pPr>
        <w:pStyle w:val="7"/>
        <w:tabs>
          <w:tab w:val="right" w:leader="dot" w:pos="8720"/>
        </w:tabs>
        <w:ind w:left="0" w:leftChars="0" w:firstLine="640"/>
        <w:rPr>
          <w:rStyle w:val="12"/>
          <w:rFonts w:ascii="楷体" w:hAnsi="楷体" w:eastAsia="楷体"/>
          <w:bCs/>
        </w:rPr>
      </w:pPr>
      <w:r>
        <w:fldChar w:fldCharType="begin"/>
      </w:r>
      <w:r>
        <w:instrText xml:space="preserve"> HYPERLINK \l "_Toc66174919" </w:instrText>
      </w:r>
      <w:r>
        <w:fldChar w:fldCharType="separate"/>
      </w:r>
      <w:r>
        <w:rPr>
          <w:rStyle w:val="12"/>
          <w:rFonts w:hint="eastAsia" w:ascii="楷体" w:hAnsi="楷体" w:eastAsia="楷体"/>
          <w:bCs/>
        </w:rPr>
        <w:t>（二）推动体育制造向体育智造转变</w:t>
      </w:r>
      <w:r>
        <w:rPr>
          <w:rStyle w:val="12"/>
          <w:rFonts w:ascii="楷体" w:hAnsi="楷体" w:eastAsia="楷体"/>
          <w:bCs/>
        </w:rPr>
        <w:tab/>
      </w:r>
      <w:r>
        <w:rPr>
          <w:rStyle w:val="12"/>
          <w:rFonts w:ascii="楷体" w:hAnsi="楷体" w:eastAsia="楷体"/>
          <w:bCs/>
        </w:rPr>
        <w:fldChar w:fldCharType="begin"/>
      </w:r>
      <w:r>
        <w:rPr>
          <w:rStyle w:val="12"/>
          <w:rFonts w:ascii="楷体" w:hAnsi="楷体" w:eastAsia="楷体"/>
          <w:bCs/>
        </w:rPr>
        <w:instrText xml:space="preserve"> PAGEREF _Toc66174919 \h </w:instrText>
      </w:r>
      <w:r>
        <w:rPr>
          <w:rStyle w:val="12"/>
          <w:rFonts w:ascii="楷体" w:hAnsi="楷体" w:eastAsia="楷体"/>
          <w:bCs/>
        </w:rPr>
        <w:fldChar w:fldCharType="separate"/>
      </w:r>
      <w:r>
        <w:rPr>
          <w:rStyle w:val="12"/>
          <w:rFonts w:ascii="楷体" w:hAnsi="楷体" w:eastAsia="楷体"/>
          <w:bCs/>
        </w:rPr>
        <w:t>32</w:t>
      </w:r>
      <w:r>
        <w:rPr>
          <w:rStyle w:val="12"/>
          <w:rFonts w:ascii="楷体" w:hAnsi="楷体" w:eastAsia="楷体"/>
          <w:bCs/>
        </w:rPr>
        <w:fldChar w:fldCharType="end"/>
      </w:r>
      <w:r>
        <w:rPr>
          <w:rStyle w:val="12"/>
          <w:rFonts w:ascii="楷体" w:hAnsi="楷体" w:eastAsia="楷体"/>
          <w:bCs/>
        </w:rPr>
        <w:fldChar w:fldCharType="end"/>
      </w:r>
    </w:p>
    <w:p>
      <w:pPr>
        <w:pStyle w:val="7"/>
        <w:tabs>
          <w:tab w:val="right" w:leader="dot" w:pos="8720"/>
        </w:tabs>
        <w:ind w:left="0" w:leftChars="0" w:firstLine="640"/>
        <w:rPr>
          <w:rStyle w:val="12"/>
          <w:rFonts w:ascii="楷体" w:hAnsi="楷体" w:eastAsia="楷体"/>
          <w:bCs/>
        </w:rPr>
      </w:pPr>
      <w:r>
        <w:fldChar w:fldCharType="begin"/>
      </w:r>
      <w:r>
        <w:instrText xml:space="preserve"> HYPERLINK \l "_Toc66174920" </w:instrText>
      </w:r>
      <w:r>
        <w:fldChar w:fldCharType="separate"/>
      </w:r>
      <w:r>
        <w:rPr>
          <w:rStyle w:val="12"/>
          <w:rFonts w:hint="eastAsia" w:ascii="楷体" w:hAnsi="楷体" w:eastAsia="楷体"/>
          <w:bCs/>
        </w:rPr>
        <w:t>（三）实施体育制造品牌发展战略</w:t>
      </w:r>
      <w:r>
        <w:rPr>
          <w:rStyle w:val="12"/>
          <w:rFonts w:ascii="楷体" w:hAnsi="楷体" w:eastAsia="楷体"/>
          <w:bCs/>
        </w:rPr>
        <w:tab/>
      </w:r>
      <w:r>
        <w:rPr>
          <w:rStyle w:val="12"/>
          <w:rFonts w:ascii="楷体" w:hAnsi="楷体" w:eastAsia="楷体"/>
          <w:bCs/>
        </w:rPr>
        <w:fldChar w:fldCharType="begin"/>
      </w:r>
      <w:r>
        <w:rPr>
          <w:rStyle w:val="12"/>
          <w:rFonts w:ascii="楷体" w:hAnsi="楷体" w:eastAsia="楷体"/>
          <w:bCs/>
        </w:rPr>
        <w:instrText xml:space="preserve"> PAGEREF _Toc66174920 \h </w:instrText>
      </w:r>
      <w:r>
        <w:rPr>
          <w:rStyle w:val="12"/>
          <w:rFonts w:ascii="楷体" w:hAnsi="楷体" w:eastAsia="楷体"/>
          <w:bCs/>
        </w:rPr>
        <w:fldChar w:fldCharType="separate"/>
      </w:r>
      <w:r>
        <w:rPr>
          <w:rStyle w:val="12"/>
          <w:rFonts w:ascii="楷体" w:hAnsi="楷体" w:eastAsia="楷体"/>
          <w:bCs/>
        </w:rPr>
        <w:t>32</w:t>
      </w:r>
      <w:r>
        <w:rPr>
          <w:rStyle w:val="12"/>
          <w:rFonts w:ascii="楷体" w:hAnsi="楷体" w:eastAsia="楷体"/>
          <w:bCs/>
        </w:rPr>
        <w:fldChar w:fldCharType="end"/>
      </w:r>
      <w:r>
        <w:rPr>
          <w:rStyle w:val="12"/>
          <w:rFonts w:ascii="楷体" w:hAnsi="楷体" w:eastAsia="楷体"/>
          <w:bCs/>
        </w:rPr>
        <w:fldChar w:fldCharType="end"/>
      </w:r>
    </w:p>
    <w:p>
      <w:pPr>
        <w:pStyle w:val="6"/>
        <w:rPr>
          <w:rFonts w:asciiTheme="minorHAnsi" w:hAnsiTheme="minorHAnsi" w:eastAsiaTheme="minorEastAsia"/>
          <w:sz w:val="21"/>
        </w:rPr>
      </w:pPr>
      <w:r>
        <w:fldChar w:fldCharType="begin"/>
      </w:r>
      <w:r>
        <w:instrText xml:space="preserve"> HYPERLINK \l "_Toc66174921" </w:instrText>
      </w:r>
      <w:r>
        <w:fldChar w:fldCharType="separate"/>
      </w:r>
      <w:r>
        <w:rPr>
          <w:rStyle w:val="12"/>
          <w:rFonts w:hint="eastAsia" w:ascii="黑体" w:hAnsi="黑体" w:eastAsia="黑体"/>
          <w:bCs/>
        </w:rPr>
        <w:t>九、促进要素集聚耦合，打造区域体育资源配置中心</w:t>
      </w:r>
      <w:r>
        <w:tab/>
      </w:r>
      <w:r>
        <w:fldChar w:fldCharType="begin"/>
      </w:r>
      <w:r>
        <w:instrText xml:space="preserve"> PAGEREF _Toc66174921 \h </w:instrText>
      </w:r>
      <w:r>
        <w:fldChar w:fldCharType="separate"/>
      </w:r>
      <w:r>
        <w:t>33</w:t>
      </w:r>
      <w:r>
        <w:fldChar w:fldCharType="end"/>
      </w:r>
      <w:r>
        <w:fldChar w:fldCharType="end"/>
      </w:r>
    </w:p>
    <w:p>
      <w:pPr>
        <w:pStyle w:val="7"/>
        <w:tabs>
          <w:tab w:val="right" w:leader="dot" w:pos="8720"/>
        </w:tabs>
        <w:ind w:left="0" w:leftChars="0" w:firstLine="640"/>
        <w:rPr>
          <w:rStyle w:val="12"/>
          <w:rFonts w:ascii="楷体" w:hAnsi="楷体" w:eastAsia="楷体"/>
          <w:bCs/>
        </w:rPr>
      </w:pPr>
      <w:r>
        <w:fldChar w:fldCharType="begin"/>
      </w:r>
      <w:r>
        <w:instrText xml:space="preserve"> HYPERLINK \l "_Toc66174922" </w:instrText>
      </w:r>
      <w:r>
        <w:fldChar w:fldCharType="separate"/>
      </w:r>
      <w:r>
        <w:rPr>
          <w:rStyle w:val="12"/>
          <w:rFonts w:hint="eastAsia" w:ascii="楷体" w:hAnsi="楷体" w:eastAsia="楷体"/>
          <w:bCs/>
        </w:rPr>
        <w:t>（一）激活体育要素资源</w:t>
      </w:r>
      <w:r>
        <w:rPr>
          <w:rStyle w:val="12"/>
          <w:rFonts w:ascii="楷体" w:hAnsi="楷体" w:eastAsia="楷体"/>
          <w:bCs/>
        </w:rPr>
        <w:tab/>
      </w:r>
      <w:r>
        <w:rPr>
          <w:rStyle w:val="12"/>
          <w:rFonts w:ascii="楷体" w:hAnsi="楷体" w:eastAsia="楷体"/>
          <w:bCs/>
        </w:rPr>
        <w:fldChar w:fldCharType="begin"/>
      </w:r>
      <w:r>
        <w:rPr>
          <w:rStyle w:val="12"/>
          <w:rFonts w:ascii="楷体" w:hAnsi="楷体" w:eastAsia="楷体"/>
          <w:bCs/>
        </w:rPr>
        <w:instrText xml:space="preserve"> PAGEREF _Toc66174922 \h </w:instrText>
      </w:r>
      <w:r>
        <w:rPr>
          <w:rStyle w:val="12"/>
          <w:rFonts w:ascii="楷体" w:hAnsi="楷体" w:eastAsia="楷体"/>
          <w:bCs/>
        </w:rPr>
        <w:fldChar w:fldCharType="separate"/>
      </w:r>
      <w:r>
        <w:rPr>
          <w:rStyle w:val="12"/>
          <w:rFonts w:ascii="楷体" w:hAnsi="楷体" w:eastAsia="楷体"/>
          <w:bCs/>
        </w:rPr>
        <w:t>33</w:t>
      </w:r>
      <w:r>
        <w:rPr>
          <w:rStyle w:val="12"/>
          <w:rFonts w:ascii="楷体" w:hAnsi="楷体" w:eastAsia="楷体"/>
          <w:bCs/>
        </w:rPr>
        <w:fldChar w:fldCharType="end"/>
      </w:r>
      <w:r>
        <w:rPr>
          <w:rStyle w:val="12"/>
          <w:rFonts w:ascii="楷体" w:hAnsi="楷体" w:eastAsia="楷体"/>
          <w:bCs/>
        </w:rPr>
        <w:fldChar w:fldCharType="end"/>
      </w:r>
    </w:p>
    <w:p>
      <w:pPr>
        <w:pStyle w:val="7"/>
        <w:tabs>
          <w:tab w:val="right" w:leader="dot" w:pos="8720"/>
        </w:tabs>
        <w:ind w:left="0" w:leftChars="0" w:firstLine="640"/>
        <w:rPr>
          <w:rStyle w:val="12"/>
          <w:rFonts w:ascii="楷体" w:hAnsi="楷体" w:eastAsia="楷体"/>
          <w:bCs/>
        </w:rPr>
      </w:pPr>
      <w:r>
        <w:fldChar w:fldCharType="begin"/>
      </w:r>
      <w:r>
        <w:instrText xml:space="preserve"> HYPERLINK \l "_Toc66174923" </w:instrText>
      </w:r>
      <w:r>
        <w:fldChar w:fldCharType="separate"/>
      </w:r>
      <w:r>
        <w:rPr>
          <w:rStyle w:val="12"/>
          <w:rFonts w:hint="eastAsia" w:ascii="楷体" w:hAnsi="楷体" w:eastAsia="楷体"/>
          <w:bCs/>
        </w:rPr>
        <w:t>（二）做大做强体育资源配置平台</w:t>
      </w:r>
      <w:r>
        <w:rPr>
          <w:rStyle w:val="12"/>
          <w:rFonts w:ascii="楷体" w:hAnsi="楷体" w:eastAsia="楷体"/>
          <w:bCs/>
        </w:rPr>
        <w:tab/>
      </w:r>
      <w:r>
        <w:rPr>
          <w:rStyle w:val="12"/>
          <w:rFonts w:ascii="楷体" w:hAnsi="楷体" w:eastAsia="楷体"/>
          <w:bCs/>
        </w:rPr>
        <w:fldChar w:fldCharType="begin"/>
      </w:r>
      <w:r>
        <w:rPr>
          <w:rStyle w:val="12"/>
          <w:rFonts w:ascii="楷体" w:hAnsi="楷体" w:eastAsia="楷体"/>
          <w:bCs/>
        </w:rPr>
        <w:instrText xml:space="preserve"> PAGEREF _Toc66174923 \h </w:instrText>
      </w:r>
      <w:r>
        <w:rPr>
          <w:rStyle w:val="12"/>
          <w:rFonts w:ascii="楷体" w:hAnsi="楷体" w:eastAsia="楷体"/>
          <w:bCs/>
        </w:rPr>
        <w:fldChar w:fldCharType="separate"/>
      </w:r>
      <w:r>
        <w:rPr>
          <w:rStyle w:val="12"/>
          <w:rFonts w:ascii="楷体" w:hAnsi="楷体" w:eastAsia="楷体"/>
          <w:bCs/>
        </w:rPr>
        <w:t>34</w:t>
      </w:r>
      <w:r>
        <w:rPr>
          <w:rStyle w:val="12"/>
          <w:rFonts w:ascii="楷体" w:hAnsi="楷体" w:eastAsia="楷体"/>
          <w:bCs/>
        </w:rPr>
        <w:fldChar w:fldCharType="end"/>
      </w:r>
      <w:r>
        <w:rPr>
          <w:rStyle w:val="12"/>
          <w:rFonts w:ascii="楷体" w:hAnsi="楷体" w:eastAsia="楷体"/>
          <w:bCs/>
        </w:rPr>
        <w:fldChar w:fldCharType="end"/>
      </w:r>
    </w:p>
    <w:p>
      <w:pPr>
        <w:pStyle w:val="7"/>
        <w:tabs>
          <w:tab w:val="right" w:leader="dot" w:pos="8720"/>
        </w:tabs>
        <w:ind w:left="0" w:leftChars="0" w:firstLine="640"/>
        <w:rPr>
          <w:rStyle w:val="12"/>
          <w:rFonts w:ascii="楷体" w:hAnsi="楷体" w:eastAsia="楷体"/>
          <w:bCs/>
        </w:rPr>
      </w:pPr>
      <w:r>
        <w:fldChar w:fldCharType="begin"/>
      </w:r>
      <w:r>
        <w:instrText xml:space="preserve"> HYPERLINK \l "_Toc66174924" </w:instrText>
      </w:r>
      <w:r>
        <w:fldChar w:fldCharType="separate"/>
      </w:r>
      <w:r>
        <w:rPr>
          <w:rStyle w:val="12"/>
          <w:rFonts w:hint="eastAsia" w:ascii="楷体" w:hAnsi="楷体" w:eastAsia="楷体"/>
          <w:bCs/>
        </w:rPr>
        <w:t>（三）加强区域和城际体育合作</w:t>
      </w:r>
      <w:r>
        <w:rPr>
          <w:rStyle w:val="12"/>
          <w:rFonts w:ascii="楷体" w:hAnsi="楷体" w:eastAsia="楷体"/>
          <w:bCs/>
        </w:rPr>
        <w:tab/>
      </w:r>
      <w:r>
        <w:rPr>
          <w:rStyle w:val="12"/>
          <w:rFonts w:ascii="楷体" w:hAnsi="楷体" w:eastAsia="楷体"/>
          <w:bCs/>
        </w:rPr>
        <w:fldChar w:fldCharType="begin"/>
      </w:r>
      <w:r>
        <w:rPr>
          <w:rStyle w:val="12"/>
          <w:rFonts w:ascii="楷体" w:hAnsi="楷体" w:eastAsia="楷体"/>
          <w:bCs/>
        </w:rPr>
        <w:instrText xml:space="preserve"> PAGEREF _Toc66174924 \h </w:instrText>
      </w:r>
      <w:r>
        <w:rPr>
          <w:rStyle w:val="12"/>
          <w:rFonts w:ascii="楷体" w:hAnsi="楷体" w:eastAsia="楷体"/>
          <w:bCs/>
        </w:rPr>
        <w:fldChar w:fldCharType="separate"/>
      </w:r>
      <w:r>
        <w:rPr>
          <w:rStyle w:val="12"/>
          <w:rFonts w:ascii="楷体" w:hAnsi="楷体" w:eastAsia="楷体"/>
          <w:bCs/>
        </w:rPr>
        <w:t>34</w:t>
      </w:r>
      <w:r>
        <w:rPr>
          <w:rStyle w:val="12"/>
          <w:rFonts w:ascii="楷体" w:hAnsi="楷体" w:eastAsia="楷体"/>
          <w:bCs/>
        </w:rPr>
        <w:fldChar w:fldCharType="end"/>
      </w:r>
      <w:r>
        <w:rPr>
          <w:rStyle w:val="12"/>
          <w:rFonts w:ascii="楷体" w:hAnsi="楷体" w:eastAsia="楷体"/>
          <w:bCs/>
        </w:rPr>
        <w:fldChar w:fldCharType="end"/>
      </w:r>
    </w:p>
    <w:p>
      <w:pPr>
        <w:pStyle w:val="6"/>
        <w:rPr>
          <w:rFonts w:asciiTheme="minorHAnsi" w:hAnsiTheme="minorHAnsi" w:eastAsiaTheme="minorEastAsia"/>
          <w:sz w:val="21"/>
        </w:rPr>
      </w:pPr>
      <w:r>
        <w:fldChar w:fldCharType="begin"/>
      </w:r>
      <w:r>
        <w:instrText xml:space="preserve"> HYPERLINK \l "_Toc66174925" </w:instrText>
      </w:r>
      <w:r>
        <w:fldChar w:fldCharType="separate"/>
      </w:r>
      <w:r>
        <w:rPr>
          <w:rStyle w:val="12"/>
          <w:rFonts w:hint="eastAsia" w:ascii="黑体" w:hAnsi="黑体" w:eastAsia="黑体"/>
          <w:bCs/>
        </w:rPr>
        <w:t>十、深化机制体制改革，高质量保障体育规划实施</w:t>
      </w:r>
      <w:r>
        <w:tab/>
      </w:r>
      <w:r>
        <w:fldChar w:fldCharType="begin"/>
      </w:r>
      <w:r>
        <w:instrText xml:space="preserve"> PAGEREF _Toc66174925 \h </w:instrText>
      </w:r>
      <w:r>
        <w:fldChar w:fldCharType="separate"/>
      </w:r>
      <w:r>
        <w:t>35</w:t>
      </w:r>
      <w:r>
        <w:fldChar w:fldCharType="end"/>
      </w:r>
      <w:r>
        <w:fldChar w:fldCharType="end"/>
      </w:r>
    </w:p>
    <w:p>
      <w:pPr>
        <w:pStyle w:val="7"/>
        <w:tabs>
          <w:tab w:val="right" w:leader="dot" w:pos="8720"/>
        </w:tabs>
        <w:ind w:left="0" w:leftChars="0" w:firstLine="640"/>
        <w:rPr>
          <w:rStyle w:val="12"/>
          <w:rFonts w:ascii="楷体" w:hAnsi="楷体" w:eastAsia="楷体"/>
          <w:bCs/>
        </w:rPr>
      </w:pPr>
      <w:r>
        <w:fldChar w:fldCharType="begin"/>
      </w:r>
      <w:r>
        <w:instrText xml:space="preserve"> HYPERLINK \l "_Toc66174926" </w:instrText>
      </w:r>
      <w:r>
        <w:fldChar w:fldCharType="separate"/>
      </w:r>
      <w:r>
        <w:rPr>
          <w:rStyle w:val="12"/>
          <w:rFonts w:hint="eastAsia" w:ascii="楷体" w:hAnsi="楷体" w:eastAsia="楷体"/>
          <w:bCs/>
        </w:rPr>
        <w:t>（一）加强组织领导</w:t>
      </w:r>
      <w:r>
        <w:rPr>
          <w:rStyle w:val="12"/>
          <w:rFonts w:ascii="楷体" w:hAnsi="楷体" w:eastAsia="楷体"/>
          <w:bCs/>
        </w:rPr>
        <w:tab/>
      </w:r>
      <w:r>
        <w:rPr>
          <w:rStyle w:val="12"/>
          <w:rFonts w:ascii="楷体" w:hAnsi="楷体" w:eastAsia="楷体"/>
          <w:bCs/>
        </w:rPr>
        <w:fldChar w:fldCharType="begin"/>
      </w:r>
      <w:r>
        <w:rPr>
          <w:rStyle w:val="12"/>
          <w:rFonts w:ascii="楷体" w:hAnsi="楷体" w:eastAsia="楷体"/>
          <w:bCs/>
        </w:rPr>
        <w:instrText xml:space="preserve"> PAGEREF _Toc66174926 \h </w:instrText>
      </w:r>
      <w:r>
        <w:rPr>
          <w:rStyle w:val="12"/>
          <w:rFonts w:ascii="楷体" w:hAnsi="楷体" w:eastAsia="楷体"/>
          <w:bCs/>
        </w:rPr>
        <w:fldChar w:fldCharType="separate"/>
      </w:r>
      <w:r>
        <w:rPr>
          <w:rStyle w:val="12"/>
          <w:rFonts w:ascii="楷体" w:hAnsi="楷体" w:eastAsia="楷体"/>
          <w:bCs/>
        </w:rPr>
        <w:t>35</w:t>
      </w:r>
      <w:r>
        <w:rPr>
          <w:rStyle w:val="12"/>
          <w:rFonts w:ascii="楷体" w:hAnsi="楷体" w:eastAsia="楷体"/>
          <w:bCs/>
        </w:rPr>
        <w:fldChar w:fldCharType="end"/>
      </w:r>
      <w:r>
        <w:rPr>
          <w:rStyle w:val="12"/>
          <w:rFonts w:ascii="楷体" w:hAnsi="楷体" w:eastAsia="楷体"/>
          <w:bCs/>
        </w:rPr>
        <w:fldChar w:fldCharType="end"/>
      </w:r>
    </w:p>
    <w:p>
      <w:pPr>
        <w:pStyle w:val="7"/>
        <w:tabs>
          <w:tab w:val="right" w:leader="dot" w:pos="8720"/>
        </w:tabs>
        <w:ind w:left="0" w:leftChars="0" w:firstLine="640"/>
        <w:rPr>
          <w:rStyle w:val="12"/>
          <w:rFonts w:ascii="楷体" w:hAnsi="楷体" w:eastAsia="楷体"/>
          <w:bCs/>
        </w:rPr>
      </w:pPr>
      <w:r>
        <w:fldChar w:fldCharType="begin"/>
      </w:r>
      <w:r>
        <w:instrText xml:space="preserve"> HYPERLINK \l "_Toc66174927" </w:instrText>
      </w:r>
      <w:r>
        <w:fldChar w:fldCharType="separate"/>
      </w:r>
      <w:r>
        <w:rPr>
          <w:rStyle w:val="12"/>
          <w:rFonts w:hint="eastAsia" w:ascii="楷体" w:hAnsi="楷体" w:eastAsia="楷体"/>
          <w:bCs/>
        </w:rPr>
        <w:t>（二）深化体制机制改革</w:t>
      </w:r>
      <w:r>
        <w:rPr>
          <w:rStyle w:val="12"/>
          <w:rFonts w:ascii="楷体" w:hAnsi="楷体" w:eastAsia="楷体"/>
          <w:bCs/>
        </w:rPr>
        <w:tab/>
      </w:r>
      <w:r>
        <w:rPr>
          <w:rStyle w:val="12"/>
          <w:rFonts w:ascii="楷体" w:hAnsi="楷体" w:eastAsia="楷体"/>
          <w:bCs/>
        </w:rPr>
        <w:fldChar w:fldCharType="begin"/>
      </w:r>
      <w:r>
        <w:rPr>
          <w:rStyle w:val="12"/>
          <w:rFonts w:ascii="楷体" w:hAnsi="楷体" w:eastAsia="楷体"/>
          <w:bCs/>
        </w:rPr>
        <w:instrText xml:space="preserve"> PAGEREF _Toc66174927 \h </w:instrText>
      </w:r>
      <w:r>
        <w:rPr>
          <w:rStyle w:val="12"/>
          <w:rFonts w:ascii="楷体" w:hAnsi="楷体" w:eastAsia="楷体"/>
          <w:bCs/>
        </w:rPr>
        <w:fldChar w:fldCharType="separate"/>
      </w:r>
      <w:r>
        <w:rPr>
          <w:rStyle w:val="12"/>
          <w:rFonts w:ascii="楷体" w:hAnsi="楷体" w:eastAsia="楷体"/>
          <w:bCs/>
        </w:rPr>
        <w:t>35</w:t>
      </w:r>
      <w:r>
        <w:rPr>
          <w:rStyle w:val="12"/>
          <w:rFonts w:ascii="楷体" w:hAnsi="楷体" w:eastAsia="楷体"/>
          <w:bCs/>
        </w:rPr>
        <w:fldChar w:fldCharType="end"/>
      </w:r>
      <w:r>
        <w:rPr>
          <w:rStyle w:val="12"/>
          <w:rFonts w:ascii="楷体" w:hAnsi="楷体" w:eastAsia="楷体"/>
          <w:bCs/>
        </w:rPr>
        <w:fldChar w:fldCharType="end"/>
      </w:r>
    </w:p>
    <w:p>
      <w:pPr>
        <w:pStyle w:val="7"/>
        <w:tabs>
          <w:tab w:val="right" w:leader="dot" w:pos="8720"/>
        </w:tabs>
        <w:ind w:left="0" w:leftChars="0" w:firstLine="640"/>
        <w:rPr>
          <w:rStyle w:val="12"/>
          <w:rFonts w:ascii="楷体" w:hAnsi="楷体" w:eastAsia="楷体"/>
          <w:bCs/>
        </w:rPr>
      </w:pPr>
      <w:r>
        <w:fldChar w:fldCharType="begin"/>
      </w:r>
      <w:r>
        <w:instrText xml:space="preserve"> HYPERLINK \l "_Toc66174928" </w:instrText>
      </w:r>
      <w:r>
        <w:fldChar w:fldCharType="separate"/>
      </w:r>
      <w:r>
        <w:rPr>
          <w:rStyle w:val="12"/>
          <w:rFonts w:hint="eastAsia" w:ascii="楷体" w:hAnsi="楷体" w:eastAsia="楷体"/>
          <w:bCs/>
        </w:rPr>
        <w:t>（三）全面深化依法治体</w:t>
      </w:r>
      <w:r>
        <w:rPr>
          <w:rStyle w:val="12"/>
          <w:rFonts w:ascii="楷体" w:hAnsi="楷体" w:eastAsia="楷体"/>
          <w:bCs/>
        </w:rPr>
        <w:tab/>
      </w:r>
      <w:r>
        <w:rPr>
          <w:rStyle w:val="12"/>
          <w:rFonts w:ascii="楷体" w:hAnsi="楷体" w:eastAsia="楷体"/>
          <w:bCs/>
        </w:rPr>
        <w:fldChar w:fldCharType="begin"/>
      </w:r>
      <w:r>
        <w:rPr>
          <w:rStyle w:val="12"/>
          <w:rFonts w:ascii="楷体" w:hAnsi="楷体" w:eastAsia="楷体"/>
          <w:bCs/>
        </w:rPr>
        <w:instrText xml:space="preserve"> PAGEREF _Toc66174928 \h </w:instrText>
      </w:r>
      <w:r>
        <w:rPr>
          <w:rStyle w:val="12"/>
          <w:rFonts w:ascii="楷体" w:hAnsi="楷体" w:eastAsia="楷体"/>
          <w:bCs/>
        </w:rPr>
        <w:fldChar w:fldCharType="separate"/>
      </w:r>
      <w:r>
        <w:rPr>
          <w:rStyle w:val="12"/>
          <w:rFonts w:ascii="楷体" w:hAnsi="楷体" w:eastAsia="楷体"/>
          <w:bCs/>
        </w:rPr>
        <w:t>36</w:t>
      </w:r>
      <w:r>
        <w:rPr>
          <w:rStyle w:val="12"/>
          <w:rFonts w:ascii="楷体" w:hAnsi="楷体" w:eastAsia="楷体"/>
          <w:bCs/>
        </w:rPr>
        <w:fldChar w:fldCharType="end"/>
      </w:r>
      <w:r>
        <w:rPr>
          <w:rStyle w:val="12"/>
          <w:rFonts w:ascii="楷体" w:hAnsi="楷体" w:eastAsia="楷体"/>
          <w:bCs/>
        </w:rPr>
        <w:fldChar w:fldCharType="end"/>
      </w:r>
    </w:p>
    <w:p>
      <w:pPr>
        <w:pStyle w:val="7"/>
        <w:tabs>
          <w:tab w:val="right" w:leader="dot" w:pos="8720"/>
        </w:tabs>
        <w:ind w:left="0" w:leftChars="0" w:firstLine="640"/>
        <w:rPr>
          <w:rStyle w:val="12"/>
          <w:rFonts w:ascii="楷体" w:hAnsi="楷体" w:eastAsia="楷体"/>
          <w:bCs/>
        </w:rPr>
      </w:pPr>
      <w:r>
        <w:fldChar w:fldCharType="begin"/>
      </w:r>
      <w:r>
        <w:instrText xml:space="preserve"> HYPERLINK \l "_Toc66174929" </w:instrText>
      </w:r>
      <w:r>
        <w:fldChar w:fldCharType="separate"/>
      </w:r>
      <w:r>
        <w:rPr>
          <w:rStyle w:val="12"/>
          <w:rFonts w:hint="eastAsia" w:ascii="楷体" w:hAnsi="楷体" w:eastAsia="楷体"/>
          <w:bCs/>
        </w:rPr>
        <w:t>（四）鼓励社会力量参与</w:t>
      </w:r>
      <w:r>
        <w:rPr>
          <w:rStyle w:val="12"/>
          <w:rFonts w:ascii="楷体" w:hAnsi="楷体" w:eastAsia="楷体"/>
          <w:bCs/>
        </w:rPr>
        <w:tab/>
      </w:r>
      <w:r>
        <w:rPr>
          <w:rStyle w:val="12"/>
          <w:rFonts w:ascii="楷体" w:hAnsi="楷体" w:eastAsia="楷体"/>
          <w:bCs/>
        </w:rPr>
        <w:fldChar w:fldCharType="begin"/>
      </w:r>
      <w:r>
        <w:rPr>
          <w:rStyle w:val="12"/>
          <w:rFonts w:ascii="楷体" w:hAnsi="楷体" w:eastAsia="楷体"/>
          <w:bCs/>
        </w:rPr>
        <w:instrText xml:space="preserve"> PAGEREF _Toc66174929 \h </w:instrText>
      </w:r>
      <w:r>
        <w:rPr>
          <w:rStyle w:val="12"/>
          <w:rFonts w:ascii="楷体" w:hAnsi="楷体" w:eastAsia="楷体"/>
          <w:bCs/>
        </w:rPr>
        <w:fldChar w:fldCharType="separate"/>
      </w:r>
      <w:r>
        <w:rPr>
          <w:rStyle w:val="12"/>
          <w:rFonts w:ascii="楷体" w:hAnsi="楷体" w:eastAsia="楷体"/>
          <w:bCs/>
        </w:rPr>
        <w:t>36</w:t>
      </w:r>
      <w:r>
        <w:rPr>
          <w:rStyle w:val="12"/>
          <w:rFonts w:ascii="楷体" w:hAnsi="楷体" w:eastAsia="楷体"/>
          <w:bCs/>
        </w:rPr>
        <w:fldChar w:fldCharType="end"/>
      </w:r>
      <w:r>
        <w:rPr>
          <w:rStyle w:val="12"/>
          <w:rFonts w:ascii="楷体" w:hAnsi="楷体" w:eastAsia="楷体"/>
          <w:bCs/>
        </w:rPr>
        <w:fldChar w:fldCharType="end"/>
      </w:r>
    </w:p>
    <w:p>
      <w:pPr>
        <w:pStyle w:val="7"/>
        <w:tabs>
          <w:tab w:val="right" w:leader="dot" w:pos="8720"/>
        </w:tabs>
        <w:ind w:left="0" w:leftChars="0" w:firstLine="640"/>
        <w:rPr>
          <w:rStyle w:val="12"/>
          <w:rFonts w:ascii="楷体" w:hAnsi="楷体" w:eastAsia="楷体"/>
          <w:bCs/>
        </w:rPr>
      </w:pPr>
      <w:r>
        <w:fldChar w:fldCharType="begin"/>
      </w:r>
      <w:r>
        <w:instrText xml:space="preserve"> HYPERLINK \l "_Toc66174930" </w:instrText>
      </w:r>
      <w:r>
        <w:fldChar w:fldCharType="separate"/>
      </w:r>
      <w:r>
        <w:rPr>
          <w:rStyle w:val="12"/>
          <w:rFonts w:hint="eastAsia" w:ascii="楷体" w:hAnsi="楷体" w:eastAsia="楷体"/>
          <w:bCs/>
        </w:rPr>
        <w:t>（五）落实体育相关政策</w:t>
      </w:r>
      <w:r>
        <w:rPr>
          <w:rStyle w:val="12"/>
          <w:rFonts w:ascii="楷体" w:hAnsi="楷体" w:eastAsia="楷体"/>
          <w:bCs/>
        </w:rPr>
        <w:tab/>
      </w:r>
      <w:r>
        <w:rPr>
          <w:rStyle w:val="12"/>
          <w:rFonts w:ascii="楷体" w:hAnsi="楷体" w:eastAsia="楷体"/>
          <w:bCs/>
        </w:rPr>
        <w:fldChar w:fldCharType="begin"/>
      </w:r>
      <w:r>
        <w:rPr>
          <w:rStyle w:val="12"/>
          <w:rFonts w:ascii="楷体" w:hAnsi="楷体" w:eastAsia="楷体"/>
          <w:bCs/>
        </w:rPr>
        <w:instrText xml:space="preserve"> PAGEREF _Toc66174930 \h </w:instrText>
      </w:r>
      <w:r>
        <w:rPr>
          <w:rStyle w:val="12"/>
          <w:rFonts w:ascii="楷体" w:hAnsi="楷体" w:eastAsia="楷体"/>
          <w:bCs/>
        </w:rPr>
        <w:fldChar w:fldCharType="separate"/>
      </w:r>
      <w:r>
        <w:rPr>
          <w:rStyle w:val="12"/>
          <w:rFonts w:ascii="楷体" w:hAnsi="楷体" w:eastAsia="楷体"/>
          <w:bCs/>
        </w:rPr>
        <w:t>36</w:t>
      </w:r>
      <w:r>
        <w:rPr>
          <w:rStyle w:val="12"/>
          <w:rFonts w:ascii="楷体" w:hAnsi="楷体" w:eastAsia="楷体"/>
          <w:bCs/>
        </w:rPr>
        <w:fldChar w:fldCharType="end"/>
      </w:r>
      <w:r>
        <w:rPr>
          <w:rStyle w:val="12"/>
          <w:rFonts w:ascii="楷体" w:hAnsi="楷体" w:eastAsia="楷体"/>
          <w:bCs/>
        </w:rPr>
        <w:fldChar w:fldCharType="end"/>
      </w:r>
    </w:p>
    <w:p>
      <w:pPr>
        <w:pStyle w:val="7"/>
        <w:tabs>
          <w:tab w:val="right" w:leader="dot" w:pos="8720"/>
        </w:tabs>
        <w:ind w:left="0" w:leftChars="0" w:firstLine="640"/>
        <w:rPr>
          <w:rStyle w:val="12"/>
          <w:rFonts w:ascii="楷体" w:hAnsi="楷体" w:eastAsia="楷体"/>
          <w:bCs/>
        </w:rPr>
      </w:pPr>
      <w:r>
        <w:fldChar w:fldCharType="begin"/>
      </w:r>
      <w:r>
        <w:instrText xml:space="preserve"> HYPERLINK \l "_Toc66174931" </w:instrText>
      </w:r>
      <w:r>
        <w:fldChar w:fldCharType="separate"/>
      </w:r>
      <w:r>
        <w:rPr>
          <w:rStyle w:val="12"/>
          <w:rFonts w:hint="eastAsia" w:ascii="楷体" w:hAnsi="楷体" w:eastAsia="楷体"/>
          <w:bCs/>
        </w:rPr>
        <w:t>（六）加强规划监督执行</w:t>
      </w:r>
      <w:r>
        <w:rPr>
          <w:rStyle w:val="12"/>
          <w:rFonts w:ascii="楷体" w:hAnsi="楷体" w:eastAsia="楷体"/>
          <w:bCs/>
        </w:rPr>
        <w:tab/>
      </w:r>
      <w:r>
        <w:rPr>
          <w:rStyle w:val="12"/>
          <w:rFonts w:ascii="楷体" w:hAnsi="楷体" w:eastAsia="楷体"/>
          <w:bCs/>
        </w:rPr>
        <w:fldChar w:fldCharType="begin"/>
      </w:r>
      <w:r>
        <w:rPr>
          <w:rStyle w:val="12"/>
          <w:rFonts w:ascii="楷体" w:hAnsi="楷体" w:eastAsia="楷体"/>
          <w:bCs/>
        </w:rPr>
        <w:instrText xml:space="preserve"> PAGEREF _Toc66174931 \h </w:instrText>
      </w:r>
      <w:r>
        <w:rPr>
          <w:rStyle w:val="12"/>
          <w:rFonts w:ascii="楷体" w:hAnsi="楷体" w:eastAsia="楷体"/>
          <w:bCs/>
        </w:rPr>
        <w:fldChar w:fldCharType="separate"/>
      </w:r>
      <w:r>
        <w:rPr>
          <w:rStyle w:val="12"/>
          <w:rFonts w:ascii="楷体" w:hAnsi="楷体" w:eastAsia="楷体"/>
          <w:bCs/>
        </w:rPr>
        <w:t>37</w:t>
      </w:r>
      <w:r>
        <w:rPr>
          <w:rStyle w:val="12"/>
          <w:rFonts w:ascii="楷体" w:hAnsi="楷体" w:eastAsia="楷体"/>
          <w:bCs/>
        </w:rPr>
        <w:fldChar w:fldCharType="end"/>
      </w:r>
      <w:r>
        <w:rPr>
          <w:rStyle w:val="12"/>
          <w:rFonts w:ascii="楷体" w:hAnsi="楷体" w:eastAsia="楷体"/>
          <w:bCs/>
        </w:rPr>
        <w:fldChar w:fldCharType="end"/>
      </w:r>
    </w:p>
    <w:p>
      <w:pPr>
        <w:ind w:firstLine="0" w:firstLineChars="0"/>
        <w:rPr>
          <w:bCs/>
          <w:szCs w:val="32"/>
        </w:rPr>
        <w:sectPr>
          <w:footerReference r:id="rId11" w:type="default"/>
          <w:pgSz w:w="11906" w:h="16838"/>
          <w:pgMar w:top="1588" w:right="1588" w:bottom="1588" w:left="1588" w:header="851" w:footer="992" w:gutter="0"/>
          <w:pgNumType w:fmt="upperRoman" w:start="1"/>
          <w:cols w:space="425" w:num="1"/>
          <w:docGrid w:type="lines" w:linePitch="312" w:charSpace="0"/>
        </w:sectPr>
      </w:pPr>
      <w:r>
        <w:rPr>
          <w:bCs/>
          <w:szCs w:val="32"/>
        </w:rPr>
        <w:fldChar w:fldCharType="end"/>
      </w:r>
    </w:p>
    <w:p>
      <w:pPr>
        <w:ind w:firstLine="640"/>
        <w:rPr>
          <w:bCs/>
          <w:szCs w:val="32"/>
        </w:rPr>
      </w:pPr>
    </w:p>
    <w:p>
      <w:pPr>
        <w:ind w:firstLine="640"/>
        <w:rPr>
          <w:rFonts w:ascii="仿宋_GB2312" w:hAnsi="Calibri"/>
          <w:bCs/>
          <w:szCs w:val="32"/>
        </w:rPr>
      </w:pPr>
      <w:r>
        <w:rPr>
          <w:rFonts w:hint="eastAsia" w:ascii="仿宋_GB2312" w:hAnsi="Calibri"/>
          <w:bCs/>
          <w:szCs w:val="32"/>
        </w:rPr>
        <w:t>“十四五”时期是我国全面建成小康社会、实现第一个百年奋斗目标之后，乘势而上开启全面建设社会主义现代化国家新征程、向第二个百年奋斗目标进军的第一个五年，也是筑牢体育强国根基、迈向体育现代化新征程的开局时期。为促进青岛市体育事业和体育产业全面协调可持续发展，充分发挥体育在增强全民体质、提升生活质量、推动经济转型升级等方面的重要作用，根据国家《“十四五”体育发展规划》和《青岛市国民经济和社会发展第十四个五年规划和2035年远景目标纲要》的总体部署，结合“十四五”时期青岛市体育发展面临的新形势、新任务、新要求，制定本规划。</w:t>
      </w:r>
    </w:p>
    <w:p>
      <w:pPr>
        <w:ind w:firstLine="640"/>
        <w:rPr>
          <w:rFonts w:ascii="仿宋_GB2312" w:hAnsi="Calibri"/>
          <w:bCs/>
          <w:szCs w:val="32"/>
        </w:rPr>
      </w:pPr>
    </w:p>
    <w:p>
      <w:pPr>
        <w:ind w:firstLine="640"/>
        <w:outlineLvl w:val="0"/>
        <w:rPr>
          <w:rFonts w:ascii="黑体" w:hAnsi="黑体" w:eastAsia="黑体"/>
          <w:bCs/>
          <w:szCs w:val="32"/>
        </w:rPr>
      </w:pPr>
      <w:bookmarkStart w:id="0" w:name="_Toc66174882"/>
      <w:r>
        <w:rPr>
          <w:rFonts w:hint="eastAsia" w:ascii="黑体" w:hAnsi="黑体" w:eastAsia="黑体"/>
          <w:bCs/>
          <w:szCs w:val="32"/>
        </w:rPr>
        <w:t>一、开启全面迈向社会主义现代化体育强市新征程</w:t>
      </w:r>
      <w:bookmarkEnd w:id="0"/>
    </w:p>
    <w:p>
      <w:pPr>
        <w:ind w:firstLine="640"/>
        <w:rPr>
          <w:rFonts w:ascii="仿宋_GB2312" w:hAnsi="Calibri"/>
          <w:bCs/>
          <w:szCs w:val="32"/>
        </w:rPr>
      </w:pPr>
    </w:p>
    <w:p>
      <w:pPr>
        <w:ind w:firstLine="640"/>
        <w:rPr>
          <w:rFonts w:ascii="仿宋_GB2312" w:hAnsi="Calibri"/>
          <w:bCs/>
          <w:szCs w:val="32"/>
        </w:rPr>
      </w:pPr>
      <w:r>
        <w:rPr>
          <w:rFonts w:hint="eastAsia" w:ascii="仿宋_GB2312" w:hAnsi="Calibri"/>
          <w:bCs/>
          <w:szCs w:val="32"/>
        </w:rPr>
        <w:t>“十三五”时期是青岛市体育发展改革攻坚期，面对错综复杂的国际形势和艰巨繁重的改革攻坚任务特别是新冠肺炎疫情的严重冲击，青岛市委、市政府高度重视体育工作，推进全民健身计划，发起国际时尚城建设攻势，提升“帆船之都”“足球之城”品牌国际知名度，为“十四五”时期体育全面发展，建设社会主义现代化体育强市奠定了坚实基础。</w:t>
      </w:r>
    </w:p>
    <w:p>
      <w:pPr>
        <w:ind w:firstLine="640"/>
        <w:outlineLvl w:val="1"/>
        <w:rPr>
          <w:rFonts w:ascii="楷体" w:hAnsi="楷体" w:eastAsia="楷体"/>
          <w:bCs/>
          <w:szCs w:val="32"/>
        </w:rPr>
      </w:pPr>
      <w:bookmarkStart w:id="1" w:name="_Toc66174883"/>
      <w:r>
        <w:rPr>
          <w:rFonts w:hint="eastAsia" w:ascii="楷体" w:hAnsi="楷体" w:eastAsia="楷体"/>
          <w:bCs/>
          <w:szCs w:val="32"/>
        </w:rPr>
        <w:t>（一）“十三五”时期青岛市体育发展取得显著成就</w:t>
      </w:r>
      <w:bookmarkEnd w:id="1"/>
    </w:p>
    <w:p>
      <w:pPr>
        <w:ind w:firstLine="640"/>
        <w:rPr>
          <w:rFonts w:ascii="仿宋_GB2312" w:hAnsi="Calibri"/>
          <w:bCs/>
          <w:szCs w:val="32"/>
        </w:rPr>
      </w:pPr>
      <w:r>
        <w:rPr>
          <w:rFonts w:hint="eastAsia" w:ascii="仿宋_GB2312" w:hAnsi="Calibri"/>
          <w:bCs/>
          <w:szCs w:val="32"/>
        </w:rPr>
        <w:t>体育场地设施建设进展顺利。市民健身中心、市射击运动中心、平度奥体中心、市皮划赛艇训练中心、市体育运动学校综合训练比赛馆、国家青少年足球训练中心等一批重大体育设施建成并投入运营，5年累计投入近3亿元，新建笼式足球场、多功能运动场、体育公园、儿童乐园、健身长廊等健身设施共550多处，更新改造健身设施2000余处，配建二代智能健身设施30余套。引导和推动符合开放条件的学校体育场地设施全部向社会开放，全市各类健身设施由2015年末的8040处增加到2020年末的9900余处，人均体育场地面积由2.5平方米增加到2.96平方米，基本实现主城区“8分钟健身圈”和农民体育健身工程全覆盖。</w:t>
      </w:r>
    </w:p>
    <w:p>
      <w:pPr>
        <w:ind w:firstLine="640"/>
        <w:rPr>
          <w:rFonts w:ascii="仿宋_GB2312" w:hAnsi="Calibri"/>
          <w:bCs/>
          <w:szCs w:val="32"/>
        </w:rPr>
      </w:pPr>
      <w:r>
        <w:rPr>
          <w:rFonts w:hint="eastAsia" w:ascii="仿宋_GB2312" w:hAnsi="Calibri"/>
          <w:bCs/>
          <w:szCs w:val="32"/>
        </w:rPr>
        <w:t>全民健身服务体系不断完善。落实《青岛市全民健身实施计划（2016-2020年）》，不断拓展全民健身活动的广度和深度，每年举办各级全民健身活动1000余项，直接参与群众近500万人次，丰富了元旦健康跑、登山节、畅游汇泉湾、社区健身节、沙滩体育节、世界行走日</w:t>
      </w:r>
      <w:r>
        <w:rPr>
          <w:rFonts w:hint="eastAsia" w:ascii="仿宋_GB2312" w:hAnsi="仿宋_GB2312" w:cs="仿宋_GB2312"/>
          <w:bCs/>
          <w:szCs w:val="32"/>
        </w:rPr>
        <w:t>“六大板块”系列品牌赛事活动。“十三五”末经常参</w:t>
      </w:r>
      <w:r>
        <w:rPr>
          <w:rFonts w:hint="eastAsia" w:ascii="仿宋_GB2312" w:hAnsi="Calibri"/>
          <w:bCs/>
          <w:szCs w:val="32"/>
        </w:rPr>
        <w:t>加体育锻炼人数比例达到49%。加强群体活动的组织和指导，每千人拥有社会体育指导员人数达到2.9名，全民健身辅导站点达到5200余处，建立体育社团组织833家。探索“体医融合”发展，编发《全民健身“运动处方”推广手册》，开设科学健身大讲堂。每年完成各类人群体质监测5000多例，城乡居民国民体质总体合格率94%以上。</w:t>
      </w:r>
    </w:p>
    <w:p>
      <w:pPr>
        <w:ind w:firstLine="640"/>
        <w:rPr>
          <w:rFonts w:ascii="仿宋_GB2312" w:hAnsi="Calibri"/>
          <w:bCs/>
          <w:szCs w:val="32"/>
        </w:rPr>
      </w:pPr>
      <w:r>
        <w:rPr>
          <w:rFonts w:hint="eastAsia" w:ascii="仿宋_GB2312" w:hAnsi="Calibri"/>
          <w:bCs/>
          <w:szCs w:val="32"/>
        </w:rPr>
        <w:t>竞技体育实力进一步提升。第31届奥运会获得1金1银1铜，连续3届实现金银铜“三色全满贯”。第18届雅加达亚运会，9人参赛获得4金2银。第3届青奥</w:t>
      </w:r>
      <w:bookmarkStart w:id="58" w:name="_GoBack"/>
      <w:bookmarkEnd w:id="58"/>
      <w:r>
        <w:rPr>
          <w:rFonts w:hint="eastAsia" w:ascii="仿宋_GB2312" w:hAnsi="Calibri"/>
          <w:bCs/>
          <w:szCs w:val="32"/>
        </w:rPr>
        <w:t>会，2人参赛获得1枚金牌。第13届全运会获得23金25银13铜，金牌和奖牌贡献率全省第一，领跑全国副省级城市。第24届省运会获得265金161银166铜，一举囊括大会7个奖项的全部第一。第2届青运会获得39金23银49铜，金牌数再次位列全国副省级城市首位，继续保持在“全省领先，全国上游”位置。推进体教融合发展，联合市教育局出台《关于深化体教融合发展的实施意见》，认定141个后备人才基地，确立市级重点训练基地10个、市级训练基地8个、市级二线训练基地28个，青岛籍运动员入选国家集训队106人、山东省专业队300人。</w:t>
      </w:r>
    </w:p>
    <w:p>
      <w:pPr>
        <w:ind w:firstLine="640"/>
        <w:rPr>
          <w:rFonts w:ascii="仿宋_GB2312" w:hAnsi="Calibri"/>
          <w:bCs/>
          <w:szCs w:val="32"/>
        </w:rPr>
      </w:pPr>
      <w:r>
        <w:rPr>
          <w:rFonts w:hint="eastAsia" w:ascii="仿宋_GB2312" w:hAnsi="Calibri"/>
          <w:bCs/>
          <w:szCs w:val="32"/>
        </w:rPr>
        <w:t>体育产业不断发展壮大。全市共有国家级体育产业示范单位2个、示范项目3个，省级体育产业示范单位3个、示范项目2个、示范基地1个，体育产业增加值占全市GDP比重由2016年的1.6%提升到2018年2.02%。体育制造业“品牌化、国际化”发展，英吉多、英派斯多次获得“中国健身器材行业最具影响力品牌”称号，玛泽润船艇、青禾人造草坪、双星名人体育等企业产品畅销国内外。体育服务业融合创新发展，开通青岛市体育资源及IP交易平台，奥林匹克帆船中心被评为“十佳精品景区”，崂山国际山地越野挑战赛项目被评为体育旅游精品线路。全市市级体育单项协会61家，市级各类体育俱乐部超过435家，中联、全时等一大批连锁健身俱乐部初具规模，英派斯成为国内健身器材行业首家A股上市公司。体彩销售位居全省首位，“十三五”时期总销量达1</w:t>
      </w:r>
      <w:r>
        <w:rPr>
          <w:rFonts w:ascii="仿宋_GB2312" w:hAnsi="Calibri"/>
          <w:bCs/>
          <w:szCs w:val="32"/>
        </w:rPr>
        <w:t>52.6亿元</w:t>
      </w:r>
      <w:r>
        <w:rPr>
          <w:rFonts w:hint="eastAsia" w:ascii="仿宋_GB2312" w:hAnsi="Calibri"/>
          <w:bCs/>
          <w:szCs w:val="32"/>
        </w:rPr>
        <w:t>，</w:t>
      </w:r>
      <w:r>
        <w:rPr>
          <w:rFonts w:ascii="仿宋_GB2312" w:hAnsi="Calibri"/>
          <w:bCs/>
          <w:szCs w:val="32"/>
        </w:rPr>
        <w:t>募集公益金</w:t>
      </w:r>
      <w:r>
        <w:rPr>
          <w:rFonts w:hint="eastAsia" w:ascii="仿宋_GB2312" w:hAnsi="Calibri"/>
          <w:bCs/>
          <w:szCs w:val="32"/>
        </w:rPr>
        <w:t>3</w:t>
      </w:r>
      <w:r>
        <w:rPr>
          <w:rFonts w:ascii="仿宋_GB2312" w:hAnsi="Calibri"/>
          <w:bCs/>
          <w:szCs w:val="32"/>
        </w:rPr>
        <w:t>7.5</w:t>
      </w:r>
      <w:r>
        <w:rPr>
          <w:rFonts w:hint="eastAsia" w:ascii="仿宋_GB2312" w:hAnsi="Calibri"/>
          <w:bCs/>
          <w:szCs w:val="32"/>
        </w:rPr>
        <w:t>亿元。</w:t>
      </w:r>
    </w:p>
    <w:p>
      <w:pPr>
        <w:ind w:firstLine="640"/>
        <w:rPr>
          <w:rFonts w:ascii="仿宋_GB2312" w:hAnsi="Calibri"/>
          <w:bCs/>
          <w:szCs w:val="32"/>
        </w:rPr>
      </w:pPr>
      <w:r>
        <w:rPr>
          <w:rFonts w:hint="eastAsia" w:ascii="仿宋_GB2312" w:hAnsi="Calibri"/>
          <w:bCs/>
          <w:szCs w:val="32"/>
        </w:rPr>
        <w:t>城市品牌建设实现新突破。青岛“足球之城”美誉度进一步提升，黄海青港队冲超成功并夺得2019中甲联赛冠军，成为2023年亚洲杯举办城市之一，成功举办“哥德杯中国”世界青少年足球赛，亚足联裁判委员会会议在青岛召开。成立市足球振兴联席会，全市常年参与足球活动人口近50万人，中小学足球特色学校达400所，各类赛事达1500余场，被中国足球协会授予国家级青训中心和突破计划试点城市。“帆船之都”品牌进一步擦亮，举办克利伯环球帆船赛、国际极限帆船系列赛等国际大赛，创办“远东杯”国际帆船拉力赛，办好青岛国际帆船周</w:t>
      </w:r>
      <w:r>
        <w:rPr>
          <w:rFonts w:hint="eastAsia" w:ascii="宋体" w:hAnsi="宋体" w:eastAsia="宋体" w:cs="宋体"/>
          <w:bCs/>
          <w:szCs w:val="32"/>
        </w:rPr>
        <w:t>•</w:t>
      </w:r>
      <w:r>
        <w:rPr>
          <w:rFonts w:hint="eastAsia" w:ascii="仿宋_GB2312" w:hAnsi="仿宋_GB2312" w:cs="仿宋_GB2312"/>
          <w:bCs/>
          <w:szCs w:val="32"/>
        </w:rPr>
        <w:t>青岛国际海洋节、“上山下海”企业帆船联赛、青岛国际OP帆船营暨帆船赛等自主品牌赛事</w:t>
      </w:r>
      <w:r>
        <w:rPr>
          <w:rFonts w:hint="eastAsia" w:ascii="仿宋_GB2312" w:hAnsi="Calibri"/>
          <w:bCs/>
          <w:szCs w:val="32"/>
        </w:rPr>
        <w:t>，荣获“优秀帆船城市奖”，“青岛模式”获世界帆联盛赞。出台《帆船事业和“帆船之都”品牌发展十年规划（2019－2028）》，制定运动帆船登记管理办法，推广“帆船运动进校园”“欢迎来航海”活动，全市帆船特色学校达到107所，帆船特色示范学校32所，“十三五”期间累计培训青少年1万余名，25余万人次参与公益帆船体验。</w:t>
      </w:r>
    </w:p>
    <w:p>
      <w:pPr>
        <w:ind w:firstLine="640"/>
        <w:rPr>
          <w:rFonts w:ascii="仿宋" w:hAnsi="仿宋" w:eastAsia="仿宋"/>
          <w:bCs/>
          <w:szCs w:val="32"/>
        </w:rPr>
      </w:pPr>
      <w:r>
        <w:rPr>
          <w:rFonts w:hint="eastAsia" w:ascii="仿宋_GB2312" w:hAnsi="Calibri"/>
          <w:bCs/>
          <w:szCs w:val="32"/>
        </w:rPr>
        <w:t>时尚体育亮点纷呈。以时尚体育为切入点，大力发展帆船、足球、冰雪、马术、冲浪、桨板、电竞、棒垒球等时尚体育项目。与深圳等计划单列市发起时尚体育城市战略联盟，搭建时尚体育交流合作发展平台。成功举办世界桨板锦标赛、世界柔道大师赛、全国游泳冠军赛、CBA全明星赛等时尚品牌赛事。西海岸新区亚洲沙滩藤球锦标赛、平度世界青年斯诺克锦标赛、即墨世界水上摩托锦标赛、城阳马文化产业园、胶州上合组织地方经贸合作示范区马拉松赛事、莱西市世界休闲体育大会等新的时尚元素有力宣传了青岛城市形象，助推国际时尚城建设。推动首届“青岛国际时尚季”活动顺利举行，体育活动在10项重大活动中占4项，在20项重点活动中占6项，在百项精品活动中占比超过30%。</w:t>
      </w:r>
    </w:p>
    <w:p>
      <w:pPr>
        <w:ind w:firstLine="640"/>
        <w:outlineLvl w:val="1"/>
        <w:rPr>
          <w:rFonts w:ascii="楷体" w:hAnsi="楷体" w:eastAsia="楷体"/>
          <w:bCs/>
          <w:szCs w:val="32"/>
        </w:rPr>
      </w:pPr>
      <w:bookmarkStart w:id="2" w:name="_Toc66174884"/>
      <w:r>
        <w:rPr>
          <w:rFonts w:hint="eastAsia" w:ascii="楷体" w:hAnsi="楷体" w:eastAsia="楷体"/>
          <w:bCs/>
          <w:szCs w:val="32"/>
        </w:rPr>
        <w:t>（二）“十三五”时期青岛市体育发展存在的问题</w:t>
      </w:r>
      <w:bookmarkEnd w:id="2"/>
    </w:p>
    <w:p>
      <w:pPr>
        <w:ind w:firstLine="640"/>
        <w:rPr>
          <w:rFonts w:ascii="仿宋_GB2312" w:hAnsi="Calibri"/>
          <w:bCs/>
          <w:szCs w:val="32"/>
        </w:rPr>
      </w:pPr>
      <w:r>
        <w:rPr>
          <w:rFonts w:hint="eastAsia" w:ascii="仿宋_GB2312" w:hAnsi="Calibri"/>
          <w:bCs/>
          <w:szCs w:val="32"/>
        </w:rPr>
        <w:t>全民健身服务水平有待进一步提升。虽然青岛市人均体育场地面积远高于全国平均水平，但公共体育场地设施布局不平衡，信息化、智能化水平不高，公共体育场馆设施与群众健身需求的矛盾依旧突出。全民健身组织和健身指导服务体系不够完善，体育社会组织不健全、作用发挥不明显，健身指导覆盖有盲区等问题依然存在。全民健身场地设施、活动开展、健身指导、组织体系等市场化、社会化水平不够高，指导服务和组织力还须进一步加强。承办国际国内大型群众体育活动数量不够多，影响力、引领力不够强。体养结合、体医融合发展刚刚起步，全民健身促进全民健康仍有很大发展空间。</w:t>
      </w:r>
    </w:p>
    <w:p>
      <w:pPr>
        <w:ind w:firstLine="640"/>
        <w:rPr>
          <w:rFonts w:ascii="仿宋_GB2312" w:hAnsi="Calibri"/>
          <w:bCs/>
          <w:szCs w:val="32"/>
        </w:rPr>
      </w:pPr>
      <w:r>
        <w:rPr>
          <w:rFonts w:hint="eastAsia" w:ascii="仿宋_GB2312" w:hAnsi="Calibri"/>
          <w:bCs/>
          <w:szCs w:val="32"/>
        </w:rPr>
        <w:t>竞技训练水平有待提升。训练保障条件特别是场地保障有待提高。“高精尖”运动员和高水平教练员存在结构性短缺，仍需完善后备人才培养激励机制。体育选材城乡差距大，生源质量得不到保证。“体教融合”成果不显著，校园体育和竞技体育融合不够，学训矛盾仍然突出。青少年体育组织、场地和设施建设有待加强。教练员队伍管理、奖惩政策等体制机制不够健全。</w:t>
      </w:r>
    </w:p>
    <w:p>
      <w:pPr>
        <w:adjustRightInd w:val="0"/>
        <w:snapToGrid w:val="0"/>
        <w:ind w:firstLine="640"/>
        <w:rPr>
          <w:rFonts w:ascii="仿宋_GB2312" w:hAnsi="华文仿宋"/>
          <w:bCs/>
          <w:szCs w:val="32"/>
        </w:rPr>
      </w:pPr>
      <w:r>
        <w:rPr>
          <w:rFonts w:hint="eastAsia" w:ascii="仿宋_GB2312" w:hAnsi="Calibri"/>
          <w:bCs/>
          <w:szCs w:val="32"/>
        </w:rPr>
        <w:t>体育产业缺乏核心竞争力。体育产业总体规模不大，区市发展不均衡，招商能力弱、项目落地难。产业扶持政策相比北京、深圳等城市力度偏小。扶持项目局限于足球、篮球和羽毛球等职业体育。体育“智造”有待加强，涉及智能可穿戴运动设备、虚拟现实运动装备等新兴体育领域的企业较少。体育用品制造急需转型升级，龙头企业引领能力不足，市场竞争力有待提升。</w:t>
      </w:r>
    </w:p>
    <w:p>
      <w:pPr>
        <w:ind w:firstLine="640"/>
        <w:outlineLvl w:val="1"/>
        <w:rPr>
          <w:rFonts w:ascii="楷体" w:hAnsi="楷体" w:eastAsia="楷体"/>
          <w:bCs/>
          <w:szCs w:val="32"/>
        </w:rPr>
      </w:pPr>
      <w:bookmarkStart w:id="3" w:name="_Toc66174885"/>
      <w:r>
        <w:rPr>
          <w:rFonts w:hint="eastAsia" w:ascii="楷体" w:hAnsi="楷体" w:eastAsia="楷体"/>
          <w:bCs/>
          <w:szCs w:val="32"/>
        </w:rPr>
        <w:t>（三）新时期我市体育发展环境面临深刻复杂变化</w:t>
      </w:r>
      <w:bookmarkEnd w:id="3"/>
    </w:p>
    <w:p>
      <w:pPr>
        <w:ind w:firstLine="640"/>
        <w:rPr>
          <w:rFonts w:ascii="仿宋_GB2312" w:hAnsi="Calibri"/>
          <w:bCs/>
          <w:szCs w:val="32"/>
        </w:rPr>
      </w:pPr>
      <w:r>
        <w:rPr>
          <w:rFonts w:hint="eastAsia" w:ascii="仿宋_GB2312" w:hAnsi="Calibri"/>
          <w:bCs/>
          <w:szCs w:val="32"/>
        </w:rPr>
        <w:t>从国际看，百年未有之大变局与新冠疫情叠加，国际经济、科技、文化、安全、政治等格局都在发生深刻调整，世界进入动荡变革期，不稳定性不确定性明显增加。受此形势影响，主要国际体育组织将被迫选择收缩自救，减量保质的生存战略。世界主要体育大国将工作重心转向国内。全球主要职业体育联盟、联赛受经济影响，步入收缩周期。但东北亚疫情基本得到控制，中日、中韩关系回暖，中日韩自贸有望最先破题，“一带一路”沿线国家成为新兴国际合作带，为青岛体育事业对外开放提供了方向。新一轮科技革命和产业变革孕育兴起，以5G、人工智能、物联网、区块链为代表的新一代信息技术向经济社会各个领域渗透，前所未有地颠覆现有生产生活方式和商业模式，不断催生线上体育培训、直播健身等新模式，培育了体育消费者线上的消费习惯。</w:t>
      </w:r>
    </w:p>
    <w:p>
      <w:pPr>
        <w:ind w:firstLine="640"/>
        <w:rPr>
          <w:rFonts w:ascii="仿宋_GB2312" w:hAnsi="Calibri"/>
          <w:bCs/>
          <w:szCs w:val="32"/>
        </w:rPr>
      </w:pPr>
      <w:r>
        <w:rPr>
          <w:rFonts w:hint="eastAsia" w:ascii="仿宋_GB2312" w:hAnsi="Calibri"/>
          <w:bCs/>
          <w:szCs w:val="32"/>
        </w:rPr>
        <w:t>从国内看，新时期我国已转向高质量发展阶段，制度优势显著，治理效能提升，经济长期向好，物质基础雄厚，人力资源丰富，市场空间广阔，发展韧性强劲，社会大局稳定，为体育发展提供多方面优势和条件。随着健康中国、体育强国和全民健身战略的深入实施，党和国家对体育的重视和支持将更加有力。以国内大循环为主体、国内国际双循环相互促进的新发展格局和业态结构融合升级将为体育供需两侧提质扩容提供重要机会。新的教育理念、消费观念、技术应用、传播方式以及城镇化建设将赋予体育更强大的内生动力，为体育改革发展提供新的发展环境。但体育发展不平衡不充分问题依然突出，重点领域和关键环节改革任务依然艰巨，体育创新能力还不适应高质量发展要求。</w:t>
      </w:r>
    </w:p>
    <w:p>
      <w:pPr>
        <w:adjustRightInd w:val="0"/>
        <w:snapToGrid w:val="0"/>
        <w:ind w:firstLine="640"/>
        <w:rPr>
          <w:rFonts w:ascii="仿宋_GB2312" w:hAnsi="仿宋" w:cs="黑体"/>
          <w:bCs/>
          <w:szCs w:val="32"/>
        </w:rPr>
      </w:pPr>
      <w:r>
        <w:rPr>
          <w:rFonts w:hint="eastAsia" w:ascii="仿宋_GB2312" w:hAnsi="Calibri"/>
          <w:bCs/>
          <w:szCs w:val="32"/>
        </w:rPr>
        <w:t>从全市看，青岛开启现代化国际大都市建设新征程，各种积极因素厚积成势。习近平总书记作出“办好一次会，搞活一座城”、建设现代化国际大都市等重要指示批示，青岛市将深入推进十五大攻势，立体、综合、全面地搞活一座城。这要求体育事业要深入推进时尚体育攻坚战，助力国际时尚城建设攻势。开放功能进一步提升，上合组织地方经贸合作示范区、山东自由贸易试验区青岛片区获批建设，赋予青岛“一带一路”国际合作新平台的国家开放战略新地位，提升了青岛陆海内外联动、东西双向互济的战略枢纽功能，打造长江以北地区国家纵深开放新的重要战略支点，要求体育事业发挥体育外交功能，成为青岛对外开放的先行军。区域协同进一步加强，黄河流域生态保护和高质量发展上升为国家战略，胶东经济圈一体化进程加快，赋予青岛在国家区域协调发展战略、城市群都市圈战略中更大的发展空间和资源要素配置职能，要求加强体育事业区域合作，提升体育资源配置功能，引领区域体育事业一体化发展。居民收入增长跑赢GDP，中等收入群体不断扩大，健康意识加强，市民消费持续升级，家庭消费中文体等消费支出比例提高，消费个性化趋势进一步增强。这既对体育产业发展带来新机遇，也对体育事业供给质量提出新要求。</w:t>
      </w:r>
    </w:p>
    <w:p>
      <w:pPr>
        <w:ind w:firstLine="640"/>
        <w:outlineLvl w:val="1"/>
        <w:rPr>
          <w:rFonts w:ascii="楷体" w:hAnsi="楷体" w:eastAsia="楷体"/>
          <w:bCs/>
          <w:szCs w:val="32"/>
        </w:rPr>
      </w:pPr>
      <w:bookmarkStart w:id="4" w:name="_Toc66174886"/>
      <w:r>
        <w:rPr>
          <w:rFonts w:hint="eastAsia" w:ascii="楷体" w:hAnsi="楷体" w:eastAsia="楷体"/>
          <w:bCs/>
          <w:szCs w:val="32"/>
        </w:rPr>
        <w:t>（四）到二〇三五年建成体育强市远景目标</w:t>
      </w:r>
      <w:bookmarkEnd w:id="4"/>
    </w:p>
    <w:p>
      <w:pPr>
        <w:ind w:firstLine="640"/>
        <w:rPr>
          <w:rFonts w:ascii="仿宋_GB2312" w:hAnsi="仿宋" w:cs="黑体"/>
          <w:bCs/>
          <w:szCs w:val="32"/>
        </w:rPr>
      </w:pPr>
      <w:r>
        <w:rPr>
          <w:rFonts w:hint="eastAsia" w:ascii="仿宋_GB2312" w:hAnsi="Calibri"/>
          <w:bCs/>
          <w:szCs w:val="32"/>
        </w:rPr>
        <w:t>到</w:t>
      </w:r>
      <w:r>
        <w:rPr>
          <w:rFonts w:ascii="仿宋_GB2312" w:hAnsi="Calibri"/>
          <w:bCs/>
          <w:szCs w:val="32"/>
        </w:rPr>
        <w:t>2035</w:t>
      </w:r>
      <w:r>
        <w:rPr>
          <w:rFonts w:hint="eastAsia" w:ascii="仿宋_GB2312" w:hAnsi="Calibri"/>
          <w:bCs/>
          <w:szCs w:val="32"/>
        </w:rPr>
        <w:t>年，基本建成全球知名体育城市和国家体育中心城市。体育实现全领域、全方位高质量发展，体育治理体系和治理能力实现现代化，体育发展水平稳居全国前列，体育综合实力和国际知名度大幅跃升。体育公共服务标准化、均等化、智能化全面实现，体育活动成为人人参与的生活习惯和生活时尚，市民参与体育的获得感、幸福感大幅提升，青少年体育素养大幅提升，体能体质显著改善。竞技体育竞争力和国家贡献率持续提升，职业体育与专业体育齐头并进，涌现一批有影响力、号召力的优秀运动员。高端体育赛事集聚，体育产业成为全市经济支柱性产业，拥有一批知名体育机构、体育职业俱乐部、体育科研中心，建成具有影响力的体育资源配置中心。体育文化传播力、凝聚力、感召力明显提升，体育文化品牌、作品、阵地的规模效应凸显，体育成为弘扬社会主义核心价值观和青岛城市精神的重要名片。</w:t>
      </w:r>
    </w:p>
    <w:p>
      <w:pPr>
        <w:adjustRightInd w:val="0"/>
        <w:snapToGrid w:val="0"/>
        <w:ind w:firstLine="640"/>
        <w:rPr>
          <w:rFonts w:ascii="仿宋_GB2312" w:hAnsi="仿宋" w:cs="黑体"/>
          <w:bCs/>
          <w:szCs w:val="32"/>
        </w:rPr>
      </w:pPr>
    </w:p>
    <w:p>
      <w:pPr>
        <w:ind w:firstLine="640"/>
        <w:outlineLvl w:val="0"/>
        <w:rPr>
          <w:rFonts w:ascii="黑体" w:hAnsi="黑体" w:eastAsia="黑体"/>
          <w:bCs/>
          <w:szCs w:val="32"/>
        </w:rPr>
      </w:pPr>
      <w:bookmarkStart w:id="5" w:name="_Toc66174887"/>
      <w:r>
        <w:rPr>
          <w:rFonts w:hint="eastAsia" w:ascii="黑体" w:hAnsi="黑体" w:eastAsia="黑体"/>
          <w:bCs/>
          <w:szCs w:val="32"/>
        </w:rPr>
        <w:t>二、“十四五”时期体育发展指导思想和主要目标</w:t>
      </w:r>
      <w:bookmarkEnd w:id="5"/>
    </w:p>
    <w:p>
      <w:pPr>
        <w:ind w:firstLine="640"/>
        <w:rPr>
          <w:rFonts w:ascii="仿宋" w:hAnsi="仿宋" w:eastAsia="仿宋"/>
          <w:bCs/>
          <w:szCs w:val="32"/>
        </w:rPr>
      </w:pPr>
    </w:p>
    <w:p>
      <w:pPr>
        <w:ind w:firstLine="640"/>
        <w:outlineLvl w:val="1"/>
        <w:rPr>
          <w:rFonts w:ascii="楷体" w:hAnsi="楷体" w:eastAsia="楷体"/>
          <w:bCs/>
          <w:szCs w:val="32"/>
        </w:rPr>
      </w:pPr>
      <w:bookmarkStart w:id="6" w:name="_Toc66174888"/>
      <w:r>
        <w:rPr>
          <w:rFonts w:hint="eastAsia" w:ascii="楷体" w:hAnsi="楷体" w:eastAsia="楷体"/>
          <w:bCs/>
          <w:szCs w:val="32"/>
        </w:rPr>
        <w:t>（一）“十四五”时期指导思想</w:t>
      </w:r>
      <w:bookmarkEnd w:id="6"/>
    </w:p>
    <w:p>
      <w:pPr>
        <w:ind w:firstLine="640"/>
        <w:rPr>
          <w:rFonts w:ascii="仿宋" w:hAnsi="仿宋" w:eastAsia="仿宋"/>
          <w:bCs/>
          <w:szCs w:val="32"/>
        </w:rPr>
      </w:pPr>
      <w:r>
        <w:rPr>
          <w:rFonts w:hint="eastAsia" w:ascii="仿宋_GB2312" w:hAnsi="Calibri"/>
          <w:bCs/>
          <w:szCs w:val="32"/>
        </w:rPr>
        <w:t>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深入落实习近平总书记关于体育工作的重要论述和对青岛工作的重要指示要求，坚持新发展理念，坚持以人民为中心，以推动高质量发展为主题，以深化供给侧结构性改革为主线，以满足人民日益增长的美好生活需要为根本目的，以改革开放创新为根本动力，实施体育强国建设纲要和全民健身国家战略，对标国际、国内体育名城，以“市场化”、“平台化”、“法治化”思维，坚持“国际化、专业化、品牌化”方向，实施“开放办体育，整合体育全资源要素，开门办体育，问需问计问策于民”，深入推进从办体育向管体育、从小体育向大体育、从体育向“体育+”转变，不断丰富体育产品和服务供给，持续提升体育发展的质量和效益，大力推动全民健身与全民健康深度融合，加快推进体育治理体系与治理能力现代化，努力把青岛建设成为全球知名体育城市和国家体育中心城市，为打造开放、现代、活力、时尚的国际大都市作出积极贡献。</w:t>
      </w:r>
    </w:p>
    <w:p>
      <w:pPr>
        <w:ind w:firstLine="640"/>
        <w:outlineLvl w:val="1"/>
        <w:rPr>
          <w:rFonts w:ascii="楷体" w:hAnsi="楷体" w:eastAsia="楷体"/>
          <w:bCs/>
          <w:szCs w:val="32"/>
        </w:rPr>
      </w:pPr>
      <w:bookmarkStart w:id="7" w:name="_Toc66174889"/>
      <w:r>
        <w:rPr>
          <w:rFonts w:hint="eastAsia" w:ascii="楷体" w:hAnsi="楷体" w:eastAsia="楷体"/>
          <w:bCs/>
          <w:szCs w:val="32"/>
        </w:rPr>
        <w:t>（二）“十四五”时期基本原则</w:t>
      </w:r>
      <w:bookmarkEnd w:id="7"/>
    </w:p>
    <w:p>
      <w:pPr>
        <w:ind w:firstLine="640"/>
        <w:rPr>
          <w:rFonts w:ascii="仿宋_GB2312" w:hAnsi="Calibri"/>
          <w:bCs/>
          <w:szCs w:val="32"/>
        </w:rPr>
      </w:pPr>
      <w:r>
        <w:rPr>
          <w:rFonts w:hint="eastAsia" w:ascii="仿宋_GB2312" w:hAnsi="Calibri"/>
          <w:bCs/>
          <w:szCs w:val="32"/>
        </w:rPr>
        <w:t>坚持党的全面领导。坚持和完善党领导体育发展的体制机制，全面贯彻从严治党要求，不断提高贯彻新发展理念、融入新发展格局的能力和水平，把思想和行动统一到党和国家对体育发展的战略部署上，为体育发展提供更为坚实的政治保障。</w:t>
      </w:r>
    </w:p>
    <w:p>
      <w:pPr>
        <w:ind w:firstLine="640"/>
        <w:rPr>
          <w:rFonts w:ascii="仿宋_GB2312" w:hAnsi="Calibri"/>
          <w:bCs/>
          <w:szCs w:val="32"/>
        </w:rPr>
      </w:pPr>
      <w:r>
        <w:rPr>
          <w:rFonts w:hint="eastAsia" w:ascii="仿宋_GB2312" w:hAnsi="Calibri"/>
          <w:bCs/>
          <w:szCs w:val="32"/>
        </w:rPr>
        <w:t>坚持以人民为中心。落实全民健身国家战略，推进健康青岛建设，把体育作为促进人民健康幸福、社会和谐发展的全民事业来抓好，激发市民参与体育的热情，做到体育发展为了人民，体育发展依靠人民，体育发展成果由人民共享。</w:t>
      </w:r>
    </w:p>
    <w:p>
      <w:pPr>
        <w:ind w:firstLine="640"/>
        <w:rPr>
          <w:rFonts w:ascii="仿宋_GB2312" w:hAnsi="Calibri"/>
          <w:bCs/>
          <w:szCs w:val="32"/>
        </w:rPr>
      </w:pPr>
      <w:r>
        <w:rPr>
          <w:rFonts w:hint="eastAsia" w:ascii="仿宋_GB2312" w:hAnsi="Calibri"/>
          <w:bCs/>
          <w:szCs w:val="32"/>
        </w:rPr>
        <w:t>坚持改革创新。发挥政府对体育发展的引导作用和市场在资源配置中的决定性作用，完善市场机制，促进体育资源有序流动，加快政府职能转变，创新管理和服务方式，不断开创都市型体育发展的新格局。</w:t>
      </w:r>
    </w:p>
    <w:p>
      <w:pPr>
        <w:ind w:firstLine="640"/>
        <w:rPr>
          <w:rFonts w:ascii="仿宋_GB2312" w:hAnsi="Calibri"/>
          <w:bCs/>
          <w:szCs w:val="32"/>
        </w:rPr>
      </w:pPr>
      <w:r>
        <w:rPr>
          <w:rFonts w:hint="eastAsia" w:ascii="仿宋_GB2312" w:hAnsi="Calibri"/>
          <w:bCs/>
          <w:szCs w:val="32"/>
        </w:rPr>
        <w:t>坚持开放合作。充分发挥体育的多元功能作用，把体育作为青岛融入国内国际双循环、建设国际大都市的重要抓手，立足青岛、服务全国、面向世界，积极向国内外引资、引技、引智，提升青岛体育综合竞争力。</w:t>
      </w:r>
    </w:p>
    <w:p>
      <w:pPr>
        <w:ind w:firstLine="640"/>
        <w:rPr>
          <w:rFonts w:ascii="仿宋" w:hAnsi="仿宋" w:eastAsia="仿宋"/>
          <w:bCs/>
          <w:szCs w:val="32"/>
        </w:rPr>
      </w:pPr>
      <w:r>
        <w:rPr>
          <w:rFonts w:hint="eastAsia" w:ascii="仿宋_GB2312" w:hAnsi="Calibri"/>
          <w:bCs/>
          <w:szCs w:val="32"/>
        </w:rPr>
        <w:t>坚持统筹协调。遵循现代体育发展内在规律和融合发展的新趋势。促进体育和经济社会发展相协调，均衡发展和质量提升相并举，公共服务和产业发展相并重，确保体育事业与体育产业、全民健身与竞技体育全面发展。</w:t>
      </w:r>
    </w:p>
    <w:p>
      <w:pPr>
        <w:ind w:firstLine="640"/>
        <w:outlineLvl w:val="1"/>
        <w:rPr>
          <w:rFonts w:ascii="楷体" w:hAnsi="楷体" w:eastAsia="楷体"/>
          <w:bCs/>
          <w:szCs w:val="32"/>
        </w:rPr>
      </w:pPr>
      <w:bookmarkStart w:id="8" w:name="_Toc66174890"/>
      <w:r>
        <w:rPr>
          <w:rFonts w:hint="eastAsia" w:ascii="楷体" w:hAnsi="楷体" w:eastAsia="楷体"/>
          <w:bCs/>
          <w:szCs w:val="32"/>
        </w:rPr>
        <w:t>（三）“十四五”时期发展目标</w:t>
      </w:r>
      <w:bookmarkEnd w:id="8"/>
    </w:p>
    <w:p>
      <w:pPr>
        <w:ind w:firstLine="640"/>
        <w:rPr>
          <w:rFonts w:ascii="仿宋_GB2312" w:hAnsi="Calibri"/>
          <w:bCs/>
          <w:szCs w:val="32"/>
        </w:rPr>
      </w:pPr>
      <w:r>
        <w:rPr>
          <w:rFonts w:hint="eastAsia" w:ascii="仿宋_GB2312" w:hAnsi="Calibri"/>
          <w:bCs/>
          <w:szCs w:val="32"/>
        </w:rPr>
        <w:t>到2025年，集聚一批国际高端体育赛事，赛事类型更加丰富多样，运营管理更加规范高效，服务保障更加坚强有力，帆船之都、足球之城品牌特色更加凸显，社会美誉度和国际竞争力显著提升。重大体育场馆设施和全民健身服务体系更加优化完善，群众体育健身意识普遍增强，全民健身组织服务网络不断完善，全民健身系列活动更加丰富。推动体教多维度融合，完善青少年竞赛体系，本市运动员对国际大赛的国家贡献率稳步提高，竞争力持续增强。国家体育消费试点城市建设成效显著，体育创新活力、体育市场活力和体育发展效率跻身全国城市前列，体育产业增加值占全市生产总值比重持续提升，体育消费持续旺盛。体育交流活跃，体育要素集聚，形成一批体育赛事组织平台、体育科技创新平台、体育资源交易平台，全球知名体育城市和国家体育中心城市地位初步确立。</w:t>
      </w:r>
    </w:p>
    <w:p>
      <w:pPr>
        <w:ind w:firstLine="640"/>
        <w:rPr>
          <w:rFonts w:ascii="仿宋_GB2312" w:hAnsi="Calibri"/>
          <w:bCs/>
          <w:szCs w:val="32"/>
        </w:rPr>
      </w:pPr>
      <w:r>
        <w:rPr>
          <w:rFonts w:hint="eastAsia" w:ascii="仿宋_GB2312" w:hAnsi="Calibri"/>
          <w:bCs/>
          <w:szCs w:val="32"/>
        </w:rPr>
        <w:t>建设国家体育赛事中心。以承办2023年亚洲杯为契机，申办创办更多国际国内高水平体育赛事，构建国际知名、国内一流、青岛特色的优质体育赛事体系，优化体育赛事布局，提升城市体育品牌，集聚多元时尚体育要素。年均承办国家级以上体育赛事110次。</w:t>
      </w:r>
    </w:p>
    <w:p>
      <w:pPr>
        <w:ind w:firstLine="640"/>
        <w:rPr>
          <w:rFonts w:ascii="仿宋_GB2312" w:hAnsi="Calibri"/>
          <w:bCs/>
          <w:szCs w:val="32"/>
        </w:rPr>
      </w:pPr>
      <w:r>
        <w:rPr>
          <w:rFonts w:hint="eastAsia" w:ascii="仿宋_GB2312" w:hAnsi="Calibri"/>
          <w:bCs/>
          <w:szCs w:val="32"/>
        </w:rPr>
        <w:t>创建国家体育消费中心。建立定性与定量相结合的绩效评估和居民消费数据分析制度，加强需求侧管理。扩大市民健身服务供给，培养终身运动习惯。提高体育服务业增加值比重，推进“体育+”创新发展。深化“放管服”改革，规范体育市场秩序，优化体育消费环境。</w:t>
      </w:r>
    </w:p>
    <w:p>
      <w:pPr>
        <w:ind w:firstLine="640"/>
        <w:rPr>
          <w:rFonts w:ascii="仿宋_GB2312" w:hAnsi="Calibri"/>
          <w:bCs/>
          <w:szCs w:val="32"/>
        </w:rPr>
      </w:pPr>
      <w:r>
        <w:rPr>
          <w:rFonts w:hint="eastAsia" w:ascii="仿宋_GB2312" w:hAnsi="Calibri"/>
          <w:bCs/>
          <w:szCs w:val="32"/>
        </w:rPr>
        <w:t>打造国家全民健身示范中心。推动场地设施向智能化、个性化便民利民发展，全民健身社会组织、活动、比赛、指导和健身文化区域引领性更加凸显，公共服务功能更加完善。到2025年，人均体育场地面积达到3.2平方米以上，每千人拥有社会体育指导员达到3.2</w:t>
      </w:r>
      <w:r>
        <w:rPr>
          <w:rFonts w:hint="eastAsia" w:ascii="仿宋" w:hAnsi="仿宋" w:eastAsia="仿宋"/>
          <w:bCs/>
          <w:szCs w:val="32"/>
        </w:rPr>
        <w:t>名</w:t>
      </w:r>
      <w:r>
        <w:rPr>
          <w:rFonts w:hint="eastAsia" w:ascii="仿宋_GB2312" w:hAnsi="Calibri"/>
          <w:bCs/>
          <w:szCs w:val="32"/>
        </w:rPr>
        <w:t>，全民健身辅导站点8000个以上，城乡居民《国民体质测定标准》合格率达到95.5%。</w:t>
      </w:r>
    </w:p>
    <w:p>
      <w:pPr>
        <w:ind w:firstLine="640"/>
        <w:rPr>
          <w:rFonts w:ascii="仿宋_GB2312" w:hAnsi="Calibri"/>
          <w:bCs/>
          <w:szCs w:val="32"/>
        </w:rPr>
      </w:pPr>
      <w:r>
        <w:rPr>
          <w:rFonts w:hint="eastAsia" w:ascii="仿宋_GB2312" w:hAnsi="Calibri"/>
          <w:bCs/>
          <w:szCs w:val="32"/>
        </w:rPr>
        <w:t>孵化国家竞技体育人才输出中心。加强体校建设和运动员文化教育，深化青少年体育后备人才基地认定扶持，拓宽社会体育办队和运动梯队建设新模式，打造青少年人才选拔、培养输送快车道，加大向省和国家队的输送力度。到2025年，国家级体育后备人才培养基地数量达到89个，在</w:t>
      </w:r>
      <w:r>
        <w:rPr>
          <w:rFonts w:ascii="仿宋_GB2312" w:hAnsi="Calibri"/>
          <w:bCs/>
          <w:szCs w:val="32"/>
        </w:rPr>
        <w:t>省队和国家队专业运动员</w:t>
      </w:r>
      <w:r>
        <w:rPr>
          <w:rFonts w:hint="eastAsia" w:ascii="仿宋_GB2312" w:hAnsi="Calibri"/>
          <w:bCs/>
          <w:szCs w:val="32"/>
        </w:rPr>
        <w:t>人数不低于500人。</w:t>
      </w:r>
    </w:p>
    <w:p>
      <w:pPr>
        <w:ind w:firstLine="640"/>
        <w:rPr>
          <w:rFonts w:ascii="仿宋_GB2312" w:hAnsi="Calibri"/>
          <w:bCs/>
          <w:szCs w:val="32"/>
        </w:rPr>
      </w:pPr>
      <w:r>
        <w:rPr>
          <w:rFonts w:hint="eastAsia" w:ascii="仿宋_GB2312" w:hAnsi="Calibri"/>
          <w:bCs/>
          <w:szCs w:val="32"/>
        </w:rPr>
        <w:t>培育国家体育产品制造中心。优化营商环境，建设体育制造产业轴和集聚区，培育全国体育制造龙头企业，推动智能制造、大数据、人工智能等新兴技术在体育制造领域应用，鼓励体育企业与高校、科研院所联合创建体育用品研发制造中心，实施品牌发展战略，推动体育制造业转型升级。</w:t>
      </w:r>
    </w:p>
    <w:p>
      <w:pPr>
        <w:ind w:firstLine="640"/>
        <w:rPr>
          <w:rFonts w:ascii="仿宋_GB2312" w:hAnsi="Calibri"/>
          <w:bCs/>
          <w:szCs w:val="32"/>
        </w:rPr>
      </w:pPr>
      <w:r>
        <w:rPr>
          <w:rFonts w:hint="eastAsia" w:ascii="仿宋_GB2312" w:hAnsi="Calibri"/>
          <w:bCs/>
          <w:szCs w:val="32"/>
        </w:rPr>
        <w:t>建设区域体育资源配置中心。推动胶东经济圈体育协同发展，促进城际间体育文化交流，发挥青岛体育国际交流重要窗口和桥梁作用，打造体育对外交流合作桥头堡，用活青岛市体育资源及IP交易平台，整合胶东经济圈城市及友好城市体育资源，实现区域体育资源的聚散和高效配置。</w:t>
      </w:r>
    </w:p>
    <w:p>
      <w:pPr>
        <w:ind w:firstLine="640"/>
        <w:rPr>
          <w:rFonts w:ascii="仿宋" w:hAnsi="仿宋" w:eastAsia="仿宋"/>
          <w:bCs/>
          <w:szCs w:val="32"/>
        </w:rPr>
      </w:pPr>
    </w:p>
    <w:p>
      <w:pPr>
        <w:adjustRightInd w:val="0"/>
        <w:snapToGrid w:val="0"/>
        <w:ind w:firstLine="0" w:firstLineChars="0"/>
        <w:jc w:val="center"/>
        <w:rPr>
          <w:rFonts w:eastAsia="黑体" w:cs="Times New Roman"/>
          <w:bCs/>
          <w:sz w:val="28"/>
          <w:szCs w:val="40"/>
        </w:rPr>
      </w:pPr>
      <w:r>
        <w:rPr>
          <w:rFonts w:hint="eastAsia" w:eastAsia="黑体" w:cs="Times New Roman"/>
          <w:bCs/>
          <w:sz w:val="28"/>
          <w:szCs w:val="40"/>
        </w:rPr>
        <w:t>“十四五”时期青岛体育发展主要指标</w:t>
      </w:r>
    </w:p>
    <w:tbl>
      <w:tblPr>
        <w:tblStyle w:val="10"/>
        <w:tblW w:w="893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5348"/>
        <w:gridCol w:w="113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74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黑体" w:hAnsi="黑体" w:eastAsia="黑体" w:cs="宋体"/>
                <w:bCs/>
                <w:kern w:val="0"/>
                <w:sz w:val="24"/>
                <w:szCs w:val="24"/>
              </w:rPr>
            </w:pPr>
            <w:r>
              <w:rPr>
                <w:rFonts w:hint="eastAsia" w:ascii="黑体" w:hAnsi="黑体" w:eastAsia="黑体" w:cs="宋体"/>
                <w:bCs/>
                <w:kern w:val="0"/>
                <w:sz w:val="24"/>
                <w:szCs w:val="24"/>
              </w:rPr>
              <w:t>序号</w:t>
            </w:r>
          </w:p>
        </w:tc>
        <w:tc>
          <w:tcPr>
            <w:tcW w:w="534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黑体" w:hAnsi="黑体" w:eastAsia="黑体" w:cs="宋体"/>
                <w:bCs/>
                <w:kern w:val="0"/>
                <w:sz w:val="24"/>
                <w:szCs w:val="24"/>
              </w:rPr>
            </w:pPr>
            <w:r>
              <w:rPr>
                <w:rFonts w:hint="eastAsia" w:ascii="黑体" w:hAnsi="黑体" w:eastAsia="黑体" w:cs="宋体"/>
                <w:bCs/>
                <w:kern w:val="0"/>
                <w:sz w:val="24"/>
                <w:szCs w:val="24"/>
              </w:rPr>
              <w:t>主要指标</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黑体" w:hAnsi="黑体" w:eastAsia="黑体" w:cs="宋体"/>
                <w:bCs/>
                <w:kern w:val="0"/>
                <w:sz w:val="24"/>
                <w:szCs w:val="24"/>
              </w:rPr>
            </w:pPr>
            <w:r>
              <w:rPr>
                <w:rFonts w:hint="eastAsia" w:ascii="黑体" w:hAnsi="黑体" w:eastAsia="黑体" w:cs="宋体"/>
                <w:bCs/>
                <w:kern w:val="0"/>
                <w:sz w:val="24"/>
                <w:szCs w:val="24"/>
              </w:rPr>
              <w:t>单位</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黑体" w:hAnsi="黑体" w:eastAsia="黑体" w:cs="宋体"/>
                <w:bCs/>
                <w:kern w:val="0"/>
                <w:sz w:val="24"/>
                <w:szCs w:val="24"/>
              </w:rPr>
            </w:pPr>
            <w:r>
              <w:rPr>
                <w:rFonts w:hint="eastAsia" w:ascii="黑体" w:hAnsi="黑体" w:eastAsia="黑体" w:cs="宋体"/>
                <w:bCs/>
                <w:kern w:val="0"/>
                <w:sz w:val="24"/>
                <w:szCs w:val="24"/>
              </w:rPr>
              <w:t>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74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黑体" w:hAnsi="黑体" w:eastAsia="黑体" w:cs="宋体"/>
                <w:bCs/>
                <w:kern w:val="0"/>
                <w:sz w:val="24"/>
                <w:szCs w:val="24"/>
              </w:rPr>
            </w:pPr>
            <w:r>
              <w:rPr>
                <w:rFonts w:hint="eastAsia" w:ascii="黑体" w:hAnsi="黑体" w:eastAsia="黑体" w:cs="宋体"/>
                <w:bCs/>
                <w:kern w:val="0"/>
                <w:sz w:val="24"/>
                <w:szCs w:val="24"/>
              </w:rPr>
              <w:t>1</w:t>
            </w:r>
          </w:p>
        </w:tc>
        <w:tc>
          <w:tcPr>
            <w:tcW w:w="534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contextualSpacing/>
              <w:jc w:val="left"/>
              <w:rPr>
                <w:rFonts w:ascii="仿宋" w:hAnsi="仿宋" w:eastAsia="仿宋" w:cs="宋体"/>
                <w:bCs/>
                <w:kern w:val="0"/>
                <w:sz w:val="24"/>
                <w:szCs w:val="24"/>
              </w:rPr>
            </w:pPr>
            <w:r>
              <w:rPr>
                <w:rFonts w:hint="eastAsia" w:ascii="仿宋" w:hAnsi="仿宋" w:eastAsia="仿宋" w:cs="宋体"/>
                <w:bCs/>
                <w:kern w:val="0"/>
                <w:sz w:val="24"/>
                <w:szCs w:val="24"/>
              </w:rPr>
              <w:t>经常参加体育锻炼人数比例</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 w:hAnsi="仿宋" w:eastAsia="仿宋" w:cs="宋体"/>
                <w:bCs/>
                <w:kern w:val="0"/>
                <w:sz w:val="24"/>
                <w:szCs w:val="24"/>
              </w:rPr>
            </w:pPr>
            <w:r>
              <w:rPr>
                <w:rFonts w:hint="eastAsia" w:ascii="仿宋" w:hAnsi="仿宋" w:eastAsia="仿宋" w:cs="宋体"/>
                <w:bCs/>
                <w:kern w:val="0"/>
                <w:sz w:val="24"/>
                <w:szCs w:val="24"/>
              </w:rPr>
              <w:t>%</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 w:hAnsi="仿宋" w:eastAsia="仿宋" w:cs="宋体"/>
                <w:bCs/>
                <w:kern w:val="0"/>
                <w:sz w:val="24"/>
                <w:szCs w:val="24"/>
              </w:rPr>
            </w:pPr>
            <w:r>
              <w:rPr>
                <w:rFonts w:hint="eastAsia" w:ascii="仿宋" w:hAnsi="仿宋" w:eastAsia="仿宋" w:cs="宋体"/>
                <w:bCs/>
                <w:kern w:val="0"/>
                <w:sz w:val="24"/>
                <w:szCs w:val="24"/>
              </w:rPr>
              <w:t>5</w:t>
            </w:r>
            <w:r>
              <w:rPr>
                <w:rFonts w:ascii="仿宋" w:hAnsi="仿宋" w:eastAsia="仿宋" w:cs="宋体"/>
                <w:bCs/>
                <w:kern w:val="0"/>
                <w:sz w:val="24"/>
                <w:szCs w:val="24"/>
              </w:rPr>
              <w:t>0</w:t>
            </w:r>
            <w:r>
              <w:rPr>
                <w:rFonts w:hint="eastAsia" w:ascii="仿宋" w:hAnsi="仿宋" w:eastAsia="仿宋" w:cs="宋体"/>
                <w:bCs/>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74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黑体" w:hAnsi="黑体" w:eastAsia="黑体" w:cs="宋体"/>
                <w:bCs/>
                <w:kern w:val="0"/>
                <w:sz w:val="24"/>
                <w:szCs w:val="24"/>
              </w:rPr>
            </w:pPr>
            <w:r>
              <w:rPr>
                <w:rFonts w:hint="eastAsia" w:ascii="黑体" w:hAnsi="黑体" w:eastAsia="黑体" w:cs="宋体"/>
                <w:bCs/>
                <w:kern w:val="0"/>
                <w:sz w:val="24"/>
                <w:szCs w:val="24"/>
              </w:rPr>
              <w:t>2</w:t>
            </w:r>
          </w:p>
        </w:tc>
        <w:tc>
          <w:tcPr>
            <w:tcW w:w="534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contextualSpacing/>
              <w:jc w:val="left"/>
              <w:rPr>
                <w:rFonts w:ascii="仿宋" w:hAnsi="仿宋" w:eastAsia="仿宋" w:cs="宋体"/>
                <w:bCs/>
                <w:kern w:val="0"/>
                <w:sz w:val="24"/>
                <w:szCs w:val="24"/>
              </w:rPr>
            </w:pPr>
            <w:r>
              <w:rPr>
                <w:rFonts w:hint="eastAsia" w:ascii="仿宋" w:hAnsi="仿宋" w:eastAsia="仿宋" w:cs="宋体"/>
                <w:bCs/>
                <w:kern w:val="0"/>
                <w:sz w:val="24"/>
                <w:szCs w:val="24"/>
              </w:rPr>
              <w:t>城乡居民达到《国民体质测定标准》合格率</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 w:hAnsi="仿宋" w:eastAsia="仿宋" w:cs="宋体"/>
                <w:bCs/>
                <w:kern w:val="0"/>
                <w:sz w:val="24"/>
                <w:szCs w:val="24"/>
              </w:rPr>
            </w:pPr>
            <w:r>
              <w:rPr>
                <w:rFonts w:hint="eastAsia" w:ascii="仿宋" w:hAnsi="仿宋" w:eastAsia="仿宋" w:cs="宋体"/>
                <w:bCs/>
                <w:kern w:val="0"/>
                <w:sz w:val="24"/>
                <w:szCs w:val="24"/>
              </w:rPr>
              <w:t>%</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 w:hAnsi="仿宋" w:eastAsia="仿宋" w:cs="宋体"/>
                <w:bCs/>
                <w:kern w:val="0"/>
                <w:sz w:val="24"/>
                <w:szCs w:val="24"/>
              </w:rPr>
            </w:pPr>
            <w:r>
              <w:rPr>
                <w:rFonts w:hint="eastAsia" w:ascii="仿宋" w:hAnsi="仿宋" w:eastAsia="仿宋" w:cs="宋体"/>
                <w:bCs/>
                <w:kern w:val="0"/>
                <w:sz w:val="24"/>
                <w:szCs w:val="24"/>
              </w:rPr>
              <w:t>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74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黑体" w:hAnsi="黑体" w:eastAsia="黑体" w:cs="宋体"/>
                <w:bCs/>
                <w:kern w:val="0"/>
                <w:sz w:val="24"/>
                <w:szCs w:val="24"/>
              </w:rPr>
            </w:pPr>
            <w:r>
              <w:rPr>
                <w:rFonts w:ascii="黑体" w:hAnsi="黑体" w:eastAsia="黑体" w:cs="宋体"/>
                <w:bCs/>
                <w:kern w:val="0"/>
                <w:sz w:val="24"/>
                <w:szCs w:val="24"/>
              </w:rPr>
              <w:t>3</w:t>
            </w:r>
          </w:p>
        </w:tc>
        <w:tc>
          <w:tcPr>
            <w:tcW w:w="534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contextualSpacing/>
              <w:jc w:val="left"/>
              <w:rPr>
                <w:rFonts w:ascii="仿宋" w:hAnsi="仿宋" w:eastAsia="仿宋" w:cs="宋体"/>
                <w:bCs/>
                <w:kern w:val="0"/>
                <w:sz w:val="24"/>
                <w:szCs w:val="24"/>
              </w:rPr>
            </w:pPr>
            <w:r>
              <w:rPr>
                <w:rFonts w:hint="eastAsia" w:ascii="仿宋" w:hAnsi="仿宋" w:eastAsia="仿宋" w:cs="宋体"/>
                <w:bCs/>
                <w:kern w:val="0"/>
                <w:sz w:val="24"/>
                <w:szCs w:val="24"/>
              </w:rPr>
              <w:t>全民健身辅导站点</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 w:hAnsi="仿宋" w:eastAsia="仿宋" w:cs="宋体"/>
                <w:bCs/>
                <w:kern w:val="0"/>
                <w:sz w:val="24"/>
                <w:szCs w:val="24"/>
              </w:rPr>
            </w:pPr>
            <w:r>
              <w:rPr>
                <w:rFonts w:hint="eastAsia" w:ascii="仿宋" w:hAnsi="仿宋" w:eastAsia="仿宋" w:cs="宋体"/>
                <w:bCs/>
                <w:kern w:val="0"/>
                <w:sz w:val="24"/>
                <w:szCs w:val="24"/>
              </w:rPr>
              <w:t>个</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 w:hAnsi="仿宋" w:eastAsia="仿宋" w:cs="宋体"/>
                <w:bCs/>
                <w:kern w:val="0"/>
                <w:sz w:val="24"/>
                <w:szCs w:val="24"/>
              </w:rPr>
            </w:pPr>
            <w:r>
              <w:rPr>
                <w:rFonts w:hint="eastAsia" w:ascii="仿宋" w:hAnsi="仿宋" w:eastAsia="仿宋" w:cs="宋体"/>
                <w:bCs/>
                <w:kern w:val="0"/>
                <w:sz w:val="24"/>
                <w:szCs w:val="24"/>
              </w:rPr>
              <w:t>8</w:t>
            </w:r>
            <w:r>
              <w:rPr>
                <w:rFonts w:ascii="仿宋" w:hAnsi="仿宋" w:eastAsia="仿宋" w:cs="宋体"/>
                <w:bCs/>
                <w:kern w:val="0"/>
                <w:sz w:val="24"/>
                <w:szCs w:val="24"/>
              </w:rPr>
              <w:t>000以上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74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黑体" w:hAnsi="黑体" w:eastAsia="黑体" w:cs="宋体"/>
                <w:bCs/>
                <w:kern w:val="0"/>
                <w:sz w:val="24"/>
                <w:szCs w:val="24"/>
              </w:rPr>
            </w:pPr>
            <w:r>
              <w:rPr>
                <w:rFonts w:hint="eastAsia" w:ascii="黑体" w:hAnsi="黑体" w:eastAsia="黑体" w:cs="宋体"/>
                <w:bCs/>
                <w:kern w:val="0"/>
                <w:sz w:val="24"/>
                <w:szCs w:val="24"/>
              </w:rPr>
              <w:t>4</w:t>
            </w:r>
          </w:p>
        </w:tc>
        <w:tc>
          <w:tcPr>
            <w:tcW w:w="534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contextualSpacing/>
              <w:jc w:val="left"/>
              <w:rPr>
                <w:rFonts w:ascii="仿宋" w:hAnsi="仿宋" w:eastAsia="仿宋" w:cs="宋体"/>
                <w:bCs/>
                <w:kern w:val="0"/>
                <w:sz w:val="24"/>
                <w:szCs w:val="24"/>
              </w:rPr>
            </w:pPr>
            <w:r>
              <w:rPr>
                <w:rFonts w:hint="eastAsia" w:ascii="仿宋" w:hAnsi="仿宋" w:eastAsia="仿宋" w:cs="宋体"/>
                <w:bCs/>
                <w:kern w:val="0"/>
                <w:sz w:val="24"/>
                <w:szCs w:val="24"/>
              </w:rPr>
              <w:t>每千人拥有社会体育指导员数量</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 w:hAnsi="仿宋" w:eastAsia="仿宋" w:cs="宋体"/>
                <w:bCs/>
                <w:kern w:val="0"/>
                <w:sz w:val="24"/>
                <w:szCs w:val="24"/>
              </w:rPr>
            </w:pPr>
            <w:r>
              <w:rPr>
                <w:rFonts w:hint="eastAsia" w:ascii="仿宋" w:hAnsi="仿宋" w:eastAsia="仿宋" w:cs="宋体"/>
                <w:bCs/>
                <w:kern w:val="0"/>
                <w:sz w:val="24"/>
                <w:szCs w:val="24"/>
              </w:rPr>
              <w:t>人</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 w:hAnsi="仿宋" w:eastAsia="仿宋" w:cs="宋体"/>
                <w:bCs/>
                <w:kern w:val="0"/>
                <w:sz w:val="24"/>
                <w:szCs w:val="24"/>
              </w:rPr>
            </w:pPr>
            <w:r>
              <w:rPr>
                <w:rFonts w:hint="eastAsia" w:ascii="仿宋" w:hAnsi="仿宋" w:eastAsia="仿宋" w:cs="宋体"/>
                <w:bCs/>
                <w:kern w:val="0"/>
                <w:sz w:val="24"/>
                <w:szCs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74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黑体" w:hAnsi="黑体" w:eastAsia="黑体" w:cs="宋体"/>
                <w:bCs/>
                <w:kern w:val="0"/>
                <w:sz w:val="24"/>
                <w:szCs w:val="24"/>
              </w:rPr>
            </w:pPr>
            <w:r>
              <w:rPr>
                <w:rFonts w:hint="eastAsia" w:ascii="黑体" w:hAnsi="黑体" w:eastAsia="黑体" w:cs="宋体"/>
                <w:bCs/>
                <w:kern w:val="0"/>
                <w:sz w:val="24"/>
                <w:szCs w:val="24"/>
              </w:rPr>
              <w:t>5</w:t>
            </w:r>
          </w:p>
        </w:tc>
        <w:tc>
          <w:tcPr>
            <w:tcW w:w="534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 w:hAnsi="仿宋" w:eastAsia="仿宋" w:cs="宋体"/>
                <w:bCs/>
                <w:kern w:val="0"/>
                <w:sz w:val="24"/>
                <w:szCs w:val="24"/>
              </w:rPr>
            </w:pPr>
            <w:r>
              <w:rPr>
                <w:rFonts w:hint="eastAsia" w:ascii="仿宋" w:hAnsi="仿宋" w:eastAsia="仿宋" w:cs="宋体"/>
                <w:bCs/>
                <w:kern w:val="0"/>
                <w:sz w:val="24"/>
                <w:szCs w:val="24"/>
              </w:rPr>
              <w:t>人均体育场地面积</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 w:hAnsi="仿宋" w:eastAsia="仿宋" w:cs="宋体"/>
                <w:bCs/>
                <w:kern w:val="0"/>
                <w:sz w:val="24"/>
                <w:szCs w:val="24"/>
              </w:rPr>
            </w:pPr>
            <w:r>
              <w:rPr>
                <w:rFonts w:hint="eastAsia" w:ascii="仿宋" w:hAnsi="仿宋" w:eastAsia="仿宋" w:cs="宋体"/>
                <w:bCs/>
                <w:kern w:val="0"/>
                <w:sz w:val="24"/>
                <w:szCs w:val="24"/>
              </w:rPr>
              <w:t>平方米</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 w:hAnsi="仿宋" w:eastAsia="仿宋" w:cs="宋体"/>
                <w:bCs/>
                <w:kern w:val="0"/>
                <w:sz w:val="24"/>
                <w:szCs w:val="24"/>
              </w:rPr>
            </w:pPr>
            <w:r>
              <w:rPr>
                <w:rFonts w:hint="eastAsia" w:ascii="仿宋" w:hAnsi="仿宋" w:eastAsia="仿宋" w:cs="宋体"/>
                <w:bCs/>
                <w:kern w:val="0"/>
                <w:sz w:val="24"/>
                <w:szCs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74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黑体" w:hAnsi="黑体" w:eastAsia="黑体" w:cs="宋体"/>
                <w:bCs/>
                <w:kern w:val="0"/>
                <w:sz w:val="24"/>
                <w:szCs w:val="24"/>
              </w:rPr>
            </w:pPr>
            <w:r>
              <w:rPr>
                <w:rFonts w:hint="eastAsia" w:ascii="黑体" w:hAnsi="黑体" w:eastAsia="黑体" w:cs="宋体"/>
                <w:bCs/>
                <w:kern w:val="0"/>
                <w:sz w:val="24"/>
                <w:szCs w:val="24"/>
              </w:rPr>
              <w:t>6</w:t>
            </w:r>
          </w:p>
        </w:tc>
        <w:tc>
          <w:tcPr>
            <w:tcW w:w="534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仿宋" w:hAnsi="仿宋" w:eastAsia="仿宋" w:cs="宋体"/>
                <w:bCs/>
                <w:kern w:val="0"/>
                <w:sz w:val="24"/>
                <w:szCs w:val="24"/>
              </w:rPr>
            </w:pPr>
            <w:r>
              <w:rPr>
                <w:rFonts w:hint="eastAsia" w:ascii="仿宋" w:hAnsi="仿宋" w:eastAsia="仿宋"/>
                <w:bCs/>
                <w:sz w:val="24"/>
                <w:szCs w:val="24"/>
              </w:rPr>
              <w:t>国家</w:t>
            </w:r>
            <w:r>
              <w:rPr>
                <w:rFonts w:ascii="仿宋" w:hAnsi="仿宋" w:eastAsia="仿宋"/>
                <w:bCs/>
                <w:sz w:val="24"/>
                <w:szCs w:val="24"/>
              </w:rPr>
              <w:t>学生</w:t>
            </w:r>
            <w:r>
              <w:rPr>
                <w:rFonts w:hint="eastAsia" w:ascii="仿宋" w:hAnsi="仿宋" w:eastAsia="仿宋"/>
                <w:bCs/>
                <w:sz w:val="24"/>
                <w:szCs w:val="24"/>
              </w:rPr>
              <w:t>体质</w:t>
            </w:r>
            <w:r>
              <w:rPr>
                <w:rFonts w:ascii="仿宋" w:hAnsi="仿宋" w:eastAsia="仿宋"/>
                <w:bCs/>
                <w:sz w:val="24"/>
                <w:szCs w:val="24"/>
              </w:rPr>
              <w:t>健康</w:t>
            </w:r>
            <w:r>
              <w:rPr>
                <w:rFonts w:hint="eastAsia" w:ascii="仿宋" w:hAnsi="仿宋" w:eastAsia="仿宋"/>
                <w:bCs/>
                <w:sz w:val="24"/>
                <w:szCs w:val="24"/>
              </w:rPr>
              <w:t>标准</w:t>
            </w:r>
            <w:r>
              <w:rPr>
                <w:rFonts w:ascii="仿宋" w:hAnsi="仿宋" w:eastAsia="仿宋"/>
                <w:bCs/>
                <w:sz w:val="24"/>
                <w:szCs w:val="24"/>
              </w:rPr>
              <w:t>优良率</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 w:hAnsi="仿宋" w:eastAsia="仿宋" w:cs="宋体"/>
                <w:bCs/>
                <w:kern w:val="0"/>
                <w:sz w:val="24"/>
                <w:szCs w:val="24"/>
              </w:rPr>
            </w:pPr>
            <w:r>
              <w:rPr>
                <w:rFonts w:ascii="仿宋" w:hAnsi="仿宋" w:eastAsia="仿宋" w:cs="宋体"/>
                <w:bCs/>
                <w:kern w:val="0"/>
                <w:sz w:val="24"/>
                <w:szCs w:val="24"/>
              </w:rPr>
              <w:t>%</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 w:hAnsi="仿宋" w:eastAsia="仿宋" w:cs="宋体"/>
                <w:bCs/>
                <w:kern w:val="0"/>
                <w:sz w:val="24"/>
                <w:szCs w:val="24"/>
              </w:rPr>
            </w:pPr>
            <w:r>
              <w:rPr>
                <w:rFonts w:ascii="仿宋" w:hAnsi="仿宋" w:eastAsia="仿宋" w:cs="宋体"/>
                <w:bCs/>
                <w:kern w:val="0"/>
                <w:sz w:val="24"/>
                <w:szCs w:val="24"/>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74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黑体" w:hAnsi="黑体" w:eastAsia="黑体" w:cs="宋体"/>
                <w:bCs/>
                <w:kern w:val="0"/>
                <w:sz w:val="24"/>
                <w:szCs w:val="24"/>
              </w:rPr>
            </w:pPr>
            <w:r>
              <w:rPr>
                <w:rFonts w:hint="eastAsia" w:ascii="黑体" w:hAnsi="黑体" w:eastAsia="黑体" w:cs="宋体"/>
                <w:bCs/>
                <w:kern w:val="0"/>
                <w:sz w:val="24"/>
                <w:szCs w:val="24"/>
              </w:rPr>
              <w:t>7</w:t>
            </w:r>
          </w:p>
        </w:tc>
        <w:tc>
          <w:tcPr>
            <w:tcW w:w="534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contextualSpacing/>
              <w:jc w:val="left"/>
              <w:rPr>
                <w:rFonts w:ascii="仿宋" w:hAnsi="仿宋" w:eastAsia="仿宋" w:cs="宋体"/>
                <w:bCs/>
                <w:kern w:val="0"/>
                <w:sz w:val="24"/>
                <w:szCs w:val="24"/>
              </w:rPr>
            </w:pPr>
            <w:r>
              <w:rPr>
                <w:rFonts w:hint="eastAsia" w:ascii="仿宋" w:hAnsi="仿宋" w:eastAsia="仿宋" w:cs="宋体"/>
                <w:bCs/>
                <w:kern w:val="0"/>
                <w:sz w:val="24"/>
                <w:szCs w:val="24"/>
              </w:rPr>
              <w:t>体育及相关产业增加值占GDP比重</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 w:hAnsi="仿宋" w:eastAsia="仿宋" w:cs="宋体"/>
                <w:bCs/>
                <w:kern w:val="0"/>
                <w:sz w:val="24"/>
                <w:szCs w:val="24"/>
              </w:rPr>
            </w:pPr>
            <w:r>
              <w:rPr>
                <w:rFonts w:hint="eastAsia" w:ascii="仿宋" w:hAnsi="仿宋" w:eastAsia="仿宋" w:cs="宋体"/>
                <w:bCs/>
                <w:kern w:val="0"/>
                <w:sz w:val="24"/>
                <w:szCs w:val="24"/>
              </w:rPr>
              <w:t>%</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 w:hAnsi="仿宋" w:eastAsia="仿宋" w:cs="宋体"/>
                <w:bCs/>
                <w:kern w:val="0"/>
                <w:sz w:val="24"/>
                <w:szCs w:val="24"/>
              </w:rPr>
            </w:pPr>
            <w:r>
              <w:rPr>
                <w:rFonts w:hint="eastAsia" w:ascii="仿宋" w:hAnsi="仿宋" w:eastAsia="仿宋" w:cs="宋体"/>
                <w:bCs/>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74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黑体" w:hAnsi="黑体" w:eastAsia="黑体" w:cs="宋体"/>
                <w:bCs/>
                <w:kern w:val="0"/>
                <w:sz w:val="24"/>
                <w:szCs w:val="24"/>
              </w:rPr>
            </w:pPr>
            <w:r>
              <w:rPr>
                <w:rFonts w:hint="eastAsia" w:ascii="黑体" w:hAnsi="黑体" w:eastAsia="黑体" w:cs="宋体"/>
                <w:bCs/>
                <w:kern w:val="0"/>
                <w:sz w:val="24"/>
                <w:szCs w:val="24"/>
              </w:rPr>
              <w:t>8</w:t>
            </w:r>
          </w:p>
        </w:tc>
        <w:tc>
          <w:tcPr>
            <w:tcW w:w="534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 w:hAnsi="仿宋" w:eastAsia="仿宋" w:cs="宋体"/>
                <w:bCs/>
                <w:kern w:val="0"/>
                <w:sz w:val="24"/>
                <w:szCs w:val="24"/>
              </w:rPr>
            </w:pPr>
            <w:r>
              <w:rPr>
                <w:rFonts w:hint="eastAsia" w:ascii="仿宋" w:hAnsi="仿宋" w:eastAsia="仿宋" w:cs="宋体"/>
                <w:bCs/>
                <w:kern w:val="0"/>
                <w:sz w:val="24"/>
                <w:szCs w:val="24"/>
              </w:rPr>
              <w:t>年均承办国家级以上体育赛事数量</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 w:hAnsi="仿宋" w:eastAsia="仿宋" w:cs="宋体"/>
                <w:bCs/>
                <w:kern w:val="0"/>
                <w:sz w:val="24"/>
                <w:szCs w:val="24"/>
              </w:rPr>
            </w:pPr>
            <w:r>
              <w:rPr>
                <w:rFonts w:hint="eastAsia" w:ascii="仿宋" w:hAnsi="仿宋" w:eastAsia="仿宋" w:cs="宋体"/>
                <w:bCs/>
                <w:kern w:val="0"/>
                <w:sz w:val="24"/>
                <w:szCs w:val="24"/>
              </w:rPr>
              <w:t>次</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 w:hAnsi="仿宋" w:eastAsia="仿宋" w:cs="宋体"/>
                <w:bCs/>
                <w:kern w:val="0"/>
                <w:sz w:val="24"/>
                <w:szCs w:val="24"/>
              </w:rPr>
            </w:pPr>
            <w:r>
              <w:rPr>
                <w:rFonts w:hint="eastAsia" w:ascii="仿宋" w:hAnsi="仿宋" w:eastAsia="仿宋" w:cs="宋体"/>
                <w:bCs/>
                <w:kern w:val="0"/>
                <w:sz w:val="24"/>
                <w:szCs w:val="24"/>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74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黑体" w:hAnsi="黑体" w:eastAsia="黑体" w:cs="宋体"/>
                <w:bCs/>
                <w:kern w:val="0"/>
                <w:sz w:val="24"/>
                <w:szCs w:val="24"/>
              </w:rPr>
            </w:pPr>
            <w:r>
              <w:rPr>
                <w:rFonts w:hint="eastAsia" w:ascii="黑体" w:hAnsi="黑体" w:eastAsia="黑体" w:cs="宋体"/>
                <w:bCs/>
                <w:kern w:val="0"/>
                <w:sz w:val="24"/>
                <w:szCs w:val="24"/>
              </w:rPr>
              <w:t>9</w:t>
            </w:r>
          </w:p>
        </w:tc>
        <w:tc>
          <w:tcPr>
            <w:tcW w:w="534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 w:hAnsi="仿宋" w:eastAsia="仿宋" w:cs="宋体"/>
                <w:bCs/>
                <w:kern w:val="0"/>
                <w:sz w:val="24"/>
                <w:szCs w:val="24"/>
              </w:rPr>
            </w:pPr>
            <w:r>
              <w:rPr>
                <w:rFonts w:hint="eastAsia" w:ascii="仿宋" w:hAnsi="仿宋" w:eastAsia="仿宋" w:cs="宋体"/>
                <w:bCs/>
                <w:kern w:val="0"/>
                <w:sz w:val="24"/>
                <w:szCs w:val="24"/>
              </w:rPr>
              <w:t>体育彩票年度销售</w:t>
            </w:r>
            <w:r>
              <w:rPr>
                <w:rFonts w:ascii="仿宋" w:hAnsi="仿宋" w:eastAsia="仿宋" w:cs="宋体"/>
                <w:bCs/>
                <w:kern w:val="0"/>
                <w:sz w:val="24"/>
                <w:szCs w:val="24"/>
              </w:rPr>
              <w:t>市场占有率</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 w:hAnsi="仿宋" w:eastAsia="仿宋" w:cs="宋体"/>
                <w:bCs/>
                <w:kern w:val="0"/>
                <w:sz w:val="24"/>
                <w:szCs w:val="24"/>
              </w:rPr>
            </w:pPr>
            <w:r>
              <w:rPr>
                <w:rFonts w:hint="eastAsia" w:ascii="仿宋" w:hAnsi="仿宋" w:eastAsia="仿宋" w:cs="宋体"/>
                <w:bCs/>
                <w:kern w:val="0"/>
                <w:sz w:val="24"/>
                <w:szCs w:val="24"/>
              </w:rPr>
              <w:t>%</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 w:hAnsi="仿宋" w:eastAsia="仿宋" w:cs="宋体"/>
                <w:bCs/>
                <w:kern w:val="0"/>
                <w:sz w:val="24"/>
                <w:szCs w:val="24"/>
              </w:rPr>
            </w:pPr>
            <w:r>
              <w:rPr>
                <w:rFonts w:hint="eastAsia" w:ascii="仿宋" w:hAnsi="仿宋" w:eastAsia="仿宋" w:cs="宋体"/>
                <w:bCs/>
                <w:kern w:val="0"/>
                <w:sz w:val="24"/>
                <w:szCs w:val="24"/>
              </w:rPr>
              <w:t>6</w:t>
            </w:r>
            <w:r>
              <w:rPr>
                <w:rFonts w:ascii="仿宋" w:hAnsi="仿宋" w:eastAsia="仿宋" w:cs="宋体"/>
                <w:bCs/>
                <w:kern w:val="0"/>
                <w:sz w:val="24"/>
                <w:szCs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74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黑体" w:hAnsi="黑体" w:eastAsia="黑体" w:cs="宋体"/>
                <w:bCs/>
                <w:kern w:val="0"/>
                <w:sz w:val="24"/>
                <w:szCs w:val="24"/>
              </w:rPr>
            </w:pPr>
            <w:r>
              <w:rPr>
                <w:rFonts w:hint="eastAsia" w:ascii="黑体" w:hAnsi="黑体" w:eastAsia="黑体" w:cs="宋体"/>
                <w:bCs/>
                <w:kern w:val="0"/>
                <w:sz w:val="24"/>
                <w:szCs w:val="24"/>
              </w:rPr>
              <w:t>10</w:t>
            </w:r>
          </w:p>
        </w:tc>
        <w:tc>
          <w:tcPr>
            <w:tcW w:w="534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 w:hAnsi="仿宋" w:eastAsia="仿宋" w:cs="宋体"/>
                <w:bCs/>
                <w:kern w:val="0"/>
                <w:sz w:val="24"/>
                <w:szCs w:val="24"/>
              </w:rPr>
            </w:pPr>
            <w:r>
              <w:rPr>
                <w:rFonts w:hint="eastAsia" w:ascii="仿宋" w:hAnsi="仿宋" w:eastAsia="仿宋" w:cs="宋体"/>
                <w:bCs/>
                <w:kern w:val="0"/>
                <w:sz w:val="24"/>
                <w:szCs w:val="24"/>
              </w:rPr>
              <w:t>全国体育示范单位和示范项目</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 w:hAnsi="仿宋" w:eastAsia="仿宋" w:cs="宋体"/>
                <w:bCs/>
                <w:kern w:val="0"/>
                <w:sz w:val="24"/>
                <w:szCs w:val="24"/>
              </w:rPr>
            </w:pPr>
            <w:r>
              <w:rPr>
                <w:rFonts w:hint="eastAsia" w:ascii="仿宋" w:hAnsi="仿宋" w:eastAsia="仿宋" w:cs="宋体"/>
                <w:bCs/>
                <w:kern w:val="0"/>
                <w:sz w:val="24"/>
                <w:szCs w:val="24"/>
              </w:rPr>
              <w:t>个</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 w:hAnsi="仿宋" w:eastAsia="仿宋" w:cs="宋体"/>
                <w:bCs/>
                <w:kern w:val="0"/>
                <w:sz w:val="24"/>
                <w:szCs w:val="24"/>
              </w:rPr>
            </w:pPr>
            <w:r>
              <w:rPr>
                <w:rFonts w:hint="eastAsia" w:ascii="仿宋" w:hAnsi="仿宋" w:eastAsia="仿宋" w:cs="宋体"/>
                <w:bCs/>
                <w:kern w:val="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74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黑体" w:hAnsi="黑体" w:eastAsia="黑体" w:cs="宋体"/>
                <w:bCs/>
                <w:kern w:val="0"/>
                <w:sz w:val="24"/>
                <w:szCs w:val="24"/>
              </w:rPr>
            </w:pPr>
            <w:r>
              <w:rPr>
                <w:rFonts w:hint="eastAsia" w:ascii="黑体" w:hAnsi="黑体" w:eastAsia="黑体" w:cs="宋体"/>
                <w:bCs/>
                <w:kern w:val="0"/>
                <w:sz w:val="24"/>
                <w:szCs w:val="24"/>
              </w:rPr>
              <w:t>11</w:t>
            </w:r>
          </w:p>
        </w:tc>
        <w:tc>
          <w:tcPr>
            <w:tcW w:w="534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 w:hAnsi="仿宋" w:eastAsia="仿宋" w:cs="宋体"/>
                <w:bCs/>
                <w:kern w:val="0"/>
                <w:sz w:val="24"/>
                <w:szCs w:val="24"/>
              </w:rPr>
            </w:pPr>
            <w:r>
              <w:rPr>
                <w:rFonts w:hint="eastAsia" w:ascii="仿宋" w:hAnsi="仿宋" w:eastAsia="仿宋" w:cs="宋体"/>
                <w:bCs/>
                <w:kern w:val="0"/>
                <w:sz w:val="24"/>
                <w:szCs w:val="24"/>
              </w:rPr>
              <w:t>在省队和国家队专业运动员数量</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 w:hAnsi="仿宋" w:eastAsia="仿宋" w:cs="宋体"/>
                <w:bCs/>
                <w:kern w:val="0"/>
                <w:sz w:val="24"/>
                <w:szCs w:val="24"/>
              </w:rPr>
            </w:pPr>
            <w:r>
              <w:rPr>
                <w:rFonts w:hint="eastAsia" w:ascii="仿宋" w:hAnsi="仿宋" w:eastAsia="仿宋" w:cs="宋体"/>
                <w:bCs/>
                <w:kern w:val="0"/>
                <w:sz w:val="24"/>
                <w:szCs w:val="24"/>
              </w:rPr>
              <w:t>人</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 w:hAnsi="仿宋" w:eastAsia="仿宋" w:cs="宋体"/>
                <w:bCs/>
                <w:kern w:val="0"/>
                <w:sz w:val="24"/>
                <w:szCs w:val="24"/>
              </w:rPr>
            </w:pPr>
            <w:r>
              <w:rPr>
                <w:rFonts w:hint="eastAsia" w:ascii="仿宋" w:hAnsi="仿宋" w:eastAsia="仿宋" w:cs="宋体"/>
                <w:bCs/>
                <w:kern w:val="0"/>
                <w:sz w:val="24"/>
                <w:szCs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748" w:type="dxa"/>
            <w:tcBorders>
              <w:left w:val="single" w:color="auto" w:sz="4" w:space="0"/>
              <w:right w:val="single" w:color="auto" w:sz="4" w:space="0"/>
            </w:tcBorders>
            <w:vAlign w:val="center"/>
          </w:tcPr>
          <w:p>
            <w:pPr>
              <w:widowControl/>
              <w:spacing w:line="240" w:lineRule="auto"/>
              <w:ind w:firstLine="0" w:firstLineChars="0"/>
              <w:jc w:val="center"/>
              <w:rPr>
                <w:rFonts w:ascii="黑体" w:hAnsi="黑体" w:eastAsia="黑体" w:cs="宋体"/>
                <w:bCs/>
                <w:kern w:val="0"/>
                <w:sz w:val="24"/>
                <w:szCs w:val="24"/>
              </w:rPr>
            </w:pPr>
            <w:r>
              <w:rPr>
                <w:rFonts w:hint="eastAsia" w:ascii="黑体" w:hAnsi="黑体" w:eastAsia="黑体" w:cs="宋体"/>
                <w:bCs/>
                <w:kern w:val="0"/>
                <w:sz w:val="24"/>
                <w:szCs w:val="24"/>
              </w:rPr>
              <w:t>12</w:t>
            </w:r>
          </w:p>
        </w:tc>
        <w:tc>
          <w:tcPr>
            <w:tcW w:w="534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 w:hAnsi="仿宋" w:eastAsia="仿宋" w:cs="宋体"/>
                <w:bCs/>
                <w:kern w:val="0"/>
                <w:sz w:val="24"/>
                <w:szCs w:val="24"/>
              </w:rPr>
            </w:pPr>
            <w:r>
              <w:rPr>
                <w:rFonts w:hint="eastAsia" w:ascii="仿宋" w:hAnsi="仿宋" w:eastAsia="仿宋" w:cs="宋体"/>
                <w:bCs/>
                <w:kern w:val="0"/>
                <w:sz w:val="24"/>
                <w:szCs w:val="24"/>
              </w:rPr>
              <w:t>国家级体育后备人才培养基地数量</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 w:hAnsi="仿宋" w:eastAsia="仿宋" w:cs="宋体"/>
                <w:bCs/>
                <w:kern w:val="0"/>
                <w:sz w:val="24"/>
                <w:szCs w:val="24"/>
              </w:rPr>
            </w:pPr>
            <w:r>
              <w:rPr>
                <w:rFonts w:hint="eastAsia" w:ascii="仿宋" w:hAnsi="仿宋" w:eastAsia="仿宋" w:cs="宋体"/>
                <w:bCs/>
                <w:kern w:val="0"/>
                <w:sz w:val="24"/>
                <w:szCs w:val="24"/>
              </w:rPr>
              <w:t>个</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 w:hAnsi="仿宋" w:eastAsia="仿宋" w:cs="宋体"/>
                <w:bCs/>
                <w:kern w:val="0"/>
                <w:sz w:val="24"/>
                <w:szCs w:val="24"/>
              </w:rPr>
            </w:pPr>
            <w:r>
              <w:rPr>
                <w:rFonts w:hint="eastAsia" w:ascii="仿宋" w:hAnsi="仿宋" w:eastAsia="仿宋" w:cs="宋体"/>
                <w:bCs/>
                <w:kern w:val="0"/>
                <w:sz w:val="24"/>
                <w:szCs w:val="24"/>
              </w:rPr>
              <w:t>89</w:t>
            </w:r>
          </w:p>
        </w:tc>
      </w:tr>
    </w:tbl>
    <w:p>
      <w:pPr>
        <w:ind w:firstLine="640"/>
        <w:rPr>
          <w:rFonts w:ascii="仿宋" w:hAnsi="仿宋" w:eastAsia="仿宋"/>
          <w:bCs/>
          <w:szCs w:val="32"/>
        </w:rPr>
      </w:pPr>
    </w:p>
    <w:p>
      <w:pPr>
        <w:ind w:firstLine="640"/>
        <w:outlineLvl w:val="0"/>
        <w:rPr>
          <w:rFonts w:ascii="黑体" w:hAnsi="黑体" w:eastAsia="黑体"/>
          <w:bCs/>
          <w:szCs w:val="32"/>
        </w:rPr>
      </w:pPr>
      <w:bookmarkStart w:id="9" w:name="_Toc66174891"/>
      <w:r>
        <w:rPr>
          <w:rFonts w:hint="eastAsia" w:ascii="黑体" w:hAnsi="黑体" w:eastAsia="黑体"/>
          <w:bCs/>
          <w:szCs w:val="32"/>
        </w:rPr>
        <w:t>三、塑造城市体育名片，提升青岛国际知名度</w:t>
      </w:r>
      <w:bookmarkEnd w:id="9"/>
    </w:p>
    <w:p>
      <w:pPr>
        <w:ind w:firstLine="640"/>
        <w:rPr>
          <w:rFonts w:ascii="仿宋_GB2312" w:hAnsi="Calibri"/>
          <w:bCs/>
          <w:szCs w:val="32"/>
        </w:rPr>
      </w:pPr>
    </w:p>
    <w:p>
      <w:pPr>
        <w:ind w:firstLine="640"/>
        <w:rPr>
          <w:rFonts w:ascii="仿宋" w:hAnsi="仿宋" w:eastAsia="仿宋"/>
          <w:bCs/>
          <w:szCs w:val="32"/>
        </w:rPr>
      </w:pPr>
      <w:r>
        <w:rPr>
          <w:rFonts w:hint="eastAsia" w:ascii="仿宋_GB2312" w:hAnsi="Calibri"/>
          <w:bCs/>
          <w:szCs w:val="32"/>
        </w:rPr>
        <w:t>全面深化青岛世界“帆船之都”、国际“足球名城”等品牌优势，擦亮城市体育名片。发挥体育对外交往功能，推动形成全方位、多层次、立体化体育对外交往新格局。不断提升青岛体育文化自信，以体育文化彰显城市气质、塑造城市品格、融入城市血脉。</w:t>
      </w:r>
    </w:p>
    <w:p>
      <w:pPr>
        <w:ind w:firstLine="640"/>
        <w:outlineLvl w:val="1"/>
        <w:rPr>
          <w:rFonts w:ascii="楷体" w:hAnsi="楷体" w:eastAsia="楷体"/>
          <w:bCs/>
          <w:szCs w:val="32"/>
        </w:rPr>
      </w:pPr>
      <w:bookmarkStart w:id="10" w:name="_Toc66174892"/>
      <w:r>
        <w:rPr>
          <w:rFonts w:hint="eastAsia" w:ascii="楷体" w:hAnsi="楷体" w:eastAsia="楷体"/>
          <w:bCs/>
          <w:szCs w:val="32"/>
        </w:rPr>
        <w:t>（一）打造世界帆船之都</w:t>
      </w:r>
      <w:bookmarkEnd w:id="10"/>
    </w:p>
    <w:p>
      <w:pPr>
        <w:ind w:firstLine="640"/>
        <w:rPr>
          <w:rFonts w:ascii="仿宋_GB2312" w:hAnsi="Calibri"/>
          <w:bCs/>
          <w:szCs w:val="32"/>
        </w:rPr>
      </w:pPr>
      <w:r>
        <w:rPr>
          <w:rFonts w:hint="eastAsia" w:ascii="仿宋_GB2312" w:hAnsi="Calibri"/>
          <w:bCs/>
          <w:szCs w:val="32"/>
        </w:rPr>
        <w:t>完善帆船基础设施。立足奥帆中心的竞赛服务和帆船普及功能，完善帆船配套服务设施，设立常态化竞赛组织和维修服务保障中心、国际帆船交流活动中心。加强公益性帆船基础设施建设，适时选址建设“帆船之都”青岛全球品牌推广中心。统筹帆船船只器材购置，保障帆船赛事和公益性训练需求。对符合条件的渔码头、旅游码头升级改造帆船码头提供资金补贴，引导社会资本投资建设帆船基础设施，充分发挥市场机制作用，鼓励帆船运动休闲产业发展，实现公益性码头设施与群众身边中小型码头设施同步规划建设，形成以奥帆中心为龙头、布局合理、具有国际一流水准的帆船运动基础设施群。到2</w:t>
      </w:r>
      <w:r>
        <w:rPr>
          <w:rFonts w:ascii="仿宋_GB2312" w:hAnsi="Calibri"/>
          <w:bCs/>
          <w:szCs w:val="32"/>
        </w:rPr>
        <w:t>025年</w:t>
      </w:r>
      <w:r>
        <w:rPr>
          <w:rFonts w:hint="eastAsia" w:ascii="仿宋_GB2312" w:hAnsi="Calibri"/>
          <w:bCs/>
          <w:szCs w:val="32"/>
        </w:rPr>
        <w:t>帆船泊位数达到2</w:t>
      </w:r>
      <w:r>
        <w:rPr>
          <w:rFonts w:ascii="仿宋_GB2312" w:hAnsi="Calibri"/>
          <w:bCs/>
          <w:szCs w:val="32"/>
        </w:rPr>
        <w:t>000个</w:t>
      </w:r>
      <w:r>
        <w:rPr>
          <w:rFonts w:hint="eastAsia" w:ascii="仿宋_GB2312" w:hAnsi="Calibri"/>
          <w:bCs/>
          <w:szCs w:val="32"/>
        </w:rPr>
        <w:t>。</w:t>
      </w:r>
    </w:p>
    <w:p>
      <w:pPr>
        <w:ind w:firstLine="640"/>
        <w:rPr>
          <w:rFonts w:ascii="仿宋_GB2312" w:hAnsi="Calibri"/>
          <w:bCs/>
          <w:szCs w:val="32"/>
        </w:rPr>
      </w:pPr>
      <w:r>
        <w:rPr>
          <w:rFonts w:hint="eastAsia" w:ascii="仿宋_GB2312" w:hAnsi="Calibri"/>
          <w:bCs/>
          <w:szCs w:val="32"/>
        </w:rPr>
        <w:t>推进全民帆船普及。积极稳妥地探索全民帆船普及活动新模式，依托现有帆船俱乐部，采取购买服务、政府补贴等方式，降低俱乐部码头泊位费标准，引导全民帆船普及活动科学化、产业化、市场化运作。建立青岛市帆船运动社会培训与等级认定体系，依托社会培训机构，每年定期开展公益性帆船知识普及培训体验活动，提升全民帆船运动普及层次，扩大帆船运动群众基础，到2025年全市参与帆船运动人数达到10万人次。不定期举办全民参与性帆船运动项目和帆船群众赛事，对重大帆船赛事进行多媒体现场直播，营造全民参与帆船运动氛围，增强青岛市帆船运动影响力。</w:t>
      </w:r>
    </w:p>
    <w:p>
      <w:pPr>
        <w:ind w:firstLine="640"/>
        <w:rPr>
          <w:rFonts w:ascii="仿宋" w:hAnsi="仿宋" w:eastAsia="仿宋"/>
          <w:bCs/>
          <w:szCs w:val="32"/>
        </w:rPr>
      </w:pPr>
      <w:r>
        <w:rPr>
          <w:rFonts w:hint="eastAsia" w:ascii="仿宋_GB2312" w:hAnsi="Calibri"/>
          <w:bCs/>
          <w:szCs w:val="32"/>
        </w:rPr>
        <w:t>举办高水平帆船活动。继续培育青岛国际帆船周</w:t>
      </w:r>
      <w:r>
        <w:rPr>
          <w:rFonts w:hint="eastAsia" w:ascii="宋体" w:hAnsi="宋体" w:eastAsia="宋体" w:cs="宋体"/>
          <w:bCs/>
          <w:szCs w:val="32"/>
        </w:rPr>
        <w:t>•</w:t>
      </w:r>
      <w:r>
        <w:rPr>
          <w:rFonts w:hint="eastAsia" w:ascii="仿宋_GB2312" w:hAnsi="仿宋_GB2312" w:cs="仿宋_GB2312"/>
          <w:bCs/>
          <w:szCs w:val="32"/>
        </w:rPr>
        <w:t>青岛国际海洋节，以“品牌战略”为指引，以德国基尔周为对标，突出活动的国际性、开放性和市民参与性，以国际帆船赛事为核心，以文化活动、旅游推介为主线，扩大活动规模，提升国际影响力。争取承办国际游艇展及博览会、世界帆联高峰论坛、航海文化展、海上巡游嘉年华及帆船运动名人系列活动等帆船及海洋文化活动，适时申办亚洲帆船年会、世界帆联年会</w:t>
      </w:r>
      <w:r>
        <w:rPr>
          <w:rFonts w:hint="eastAsia" w:ascii="仿宋_GB2312" w:hAnsi="Calibri"/>
          <w:bCs/>
          <w:szCs w:val="32"/>
        </w:rPr>
        <w:t>和世界奥林匹克城市联盟年会；打造与国际化接轨、体现青岛本土特色的市民帆船节日，培育融蓝色经济、海上运动、海洋文化旅游、海洋科技于一体的帆船与海洋盛会。</w:t>
      </w:r>
    </w:p>
    <w:p>
      <w:pPr>
        <w:ind w:firstLine="640"/>
        <w:outlineLvl w:val="1"/>
        <w:rPr>
          <w:rFonts w:ascii="楷体" w:hAnsi="楷体" w:eastAsia="楷体"/>
          <w:bCs/>
          <w:szCs w:val="32"/>
        </w:rPr>
      </w:pPr>
      <w:bookmarkStart w:id="11" w:name="_Toc66174893"/>
      <w:r>
        <w:rPr>
          <w:rFonts w:hint="eastAsia" w:ascii="楷体" w:hAnsi="楷体" w:eastAsia="楷体"/>
          <w:bCs/>
          <w:szCs w:val="32"/>
        </w:rPr>
        <w:t>（二）建设国际足球名城</w:t>
      </w:r>
      <w:bookmarkEnd w:id="11"/>
    </w:p>
    <w:p>
      <w:pPr>
        <w:ind w:firstLine="640"/>
        <w:rPr>
          <w:rFonts w:ascii="仿宋_GB2312" w:hAnsi="Calibri"/>
          <w:bCs/>
          <w:szCs w:val="32"/>
        </w:rPr>
      </w:pPr>
      <w:r>
        <w:rPr>
          <w:rFonts w:hint="eastAsia" w:ascii="仿宋_GB2312" w:hAnsi="Calibri"/>
          <w:bCs/>
          <w:szCs w:val="32"/>
        </w:rPr>
        <w:t>大力发展职业足球。积极营造职业俱乐部发展的良好环境，推进各职业足球队、梯队自有基地建设，提高俱乐部自我生存、自我发展能力。落实政府扶持政策，完善职业足球俱乐部奖励机制，以绩效为导向，与俱乐部比赛成绩挂钩，引导俱乐部良性发展。到2025年，逐步完善具备较强竞争力和影响力的中超、中甲、中乙、五人制及女足城市职业足球发展体系，成立由相关部门派员组成的督察委员会，健全行政监管、社会监督、行业自律相结合的工作机制。由市足球协会牵头，整合全社会足球力量，推行足球赛事标准、业余足球俱乐部建设和准入、注册制度。扶持有实力的业余俱乐部积极参加中国足协各级业余联赛，鼓励其发展组建成为职业俱乐部。</w:t>
      </w:r>
    </w:p>
    <w:p>
      <w:pPr>
        <w:ind w:firstLine="640"/>
        <w:rPr>
          <w:rFonts w:ascii="仿宋_GB2312" w:hAnsi="Calibri"/>
          <w:bCs/>
          <w:szCs w:val="32"/>
        </w:rPr>
      </w:pPr>
      <w:r>
        <w:rPr>
          <w:rFonts w:hint="eastAsia" w:ascii="仿宋_GB2312" w:hAnsi="Calibri"/>
          <w:bCs/>
          <w:szCs w:val="32"/>
        </w:rPr>
        <w:t>普及推广社会足球。优化足球场、训练基地等布局建设，提高场地设施服务供给。完善“青超”“青甲”“青乙”三级联赛和校园足球发展体系，鼓励机关、事业单位、人民团体、部队和企业组建足球队，积极推广五人制、沙滩足球等社会足球活动，因地制宜、多种形式组建社区足球队、社区足球协会和区域性非职业足球联盟。构建社区足球指导服务体系，探索设立社区足球指导员专门岗位，引导专业教练员、裁判员服务城乡社区。支持社会力量参与社会足球组织建设和承办群众性足球体育赛事活动，在经费、场地、竞赛、教练指导等方面加大支持力度，不断扩大足球人口规模。到2025年市南、市北、李沧、城阳4区经常参与足球活动的人数达到各区人口的6%，其他区市达到2%，全市经常参与足球活动的人数达到</w:t>
      </w:r>
      <w:r>
        <w:rPr>
          <w:rFonts w:ascii="仿宋_GB2312" w:hAnsi="Calibri"/>
          <w:bCs/>
          <w:szCs w:val="32"/>
        </w:rPr>
        <w:t>80</w:t>
      </w:r>
      <w:r>
        <w:rPr>
          <w:rFonts w:hint="eastAsia" w:ascii="仿宋_GB2312" w:hAnsi="Calibri"/>
          <w:bCs/>
          <w:szCs w:val="32"/>
        </w:rPr>
        <w:t>万人（含青少年40万人）。</w:t>
      </w:r>
    </w:p>
    <w:p>
      <w:pPr>
        <w:ind w:firstLine="640"/>
        <w:rPr>
          <w:rFonts w:ascii="仿宋_GB2312" w:hAnsi="Calibri"/>
          <w:bCs/>
          <w:szCs w:val="32"/>
        </w:rPr>
      </w:pPr>
      <w:r>
        <w:rPr>
          <w:rFonts w:hint="eastAsia" w:ascii="仿宋_GB2312" w:hAnsi="Calibri"/>
          <w:bCs/>
          <w:szCs w:val="32"/>
        </w:rPr>
        <w:t>夯实校园和青训根基。会同市教育局制定出台中小学校园足球课程标准，构建中小学三级校园足球联赛体系，</w:t>
      </w:r>
      <w:r>
        <w:rPr>
          <w:rFonts w:hint="eastAsia" w:ascii="仿宋_GB2312"/>
          <w:bCs/>
          <w:szCs w:val="32"/>
        </w:rPr>
        <w:t>实现校园足球赛事全覆盖</w:t>
      </w:r>
      <w:r>
        <w:rPr>
          <w:rFonts w:hint="eastAsia" w:ascii="仿宋_GB2312" w:hAnsi="Calibri"/>
          <w:bCs/>
          <w:szCs w:val="32"/>
        </w:rPr>
        <w:t>。鼓励组建校园女子足球队，加快筹建青岛女足职业俱乐部。实施青少年精英足球人才培养战略，逐步完善8至16岁年龄段各级精英足球队建设，指导职业足球俱乐部完善青训梯队建设，在现有7级梯队基础上扩充至9级。至2025年市级足球特色学校达600所，国家级足球特色学校达300所，青训精英球员达600人，品牌社会足球培训机构达30个，青训发展水平争创全国一流。</w:t>
      </w:r>
    </w:p>
    <w:p>
      <w:pPr>
        <w:ind w:firstLine="640"/>
        <w:outlineLvl w:val="1"/>
        <w:rPr>
          <w:rFonts w:ascii="楷体" w:hAnsi="楷体" w:eastAsia="楷体"/>
          <w:bCs/>
          <w:szCs w:val="32"/>
        </w:rPr>
      </w:pPr>
      <w:bookmarkStart w:id="12" w:name="_Toc66174894"/>
      <w:r>
        <w:rPr>
          <w:rFonts w:hint="eastAsia" w:ascii="楷体" w:hAnsi="楷体" w:eastAsia="楷体"/>
          <w:bCs/>
          <w:szCs w:val="32"/>
        </w:rPr>
        <w:t>（三）推进体育对外交流</w:t>
      </w:r>
      <w:bookmarkEnd w:id="12"/>
    </w:p>
    <w:p>
      <w:pPr>
        <w:ind w:firstLine="640"/>
        <w:rPr>
          <w:rFonts w:ascii="仿宋_GB2312" w:hAnsi="Calibri"/>
          <w:bCs/>
          <w:szCs w:val="32"/>
        </w:rPr>
      </w:pPr>
      <w:r>
        <w:rPr>
          <w:rFonts w:hint="eastAsia" w:ascii="仿宋_GB2312" w:hAnsi="Calibri"/>
          <w:bCs/>
          <w:szCs w:val="32"/>
        </w:rPr>
        <w:t>打造体育对外交流合作桥头堡。充分发挥青岛国际体育赛事、著名体育用品品牌、大学体育学院、高水平运动员等高端资源集聚优势，打造青岛体育国际交流重要窗口和桥梁。放大“帆船之都”、“足球之城”品牌溢出效应，吸引培育更多、更具市场效益和更有影响力的赛事在青岛举办。推进青岛国际帆船周</w:t>
      </w:r>
      <w:r>
        <w:rPr>
          <w:rFonts w:hint="eastAsia" w:ascii="宋体" w:hAnsi="宋体" w:eastAsia="宋体" w:cs="宋体"/>
          <w:bCs/>
          <w:szCs w:val="32"/>
        </w:rPr>
        <w:t>•</w:t>
      </w:r>
      <w:r>
        <w:rPr>
          <w:rFonts w:hint="eastAsia" w:ascii="仿宋_GB2312" w:hAnsi="仿宋_GB2312" w:cs="仿宋_GB2312"/>
          <w:bCs/>
          <w:szCs w:val="32"/>
        </w:rPr>
        <w:t>青岛国际海洋节、青岛马拉松等项目的品牌输出，建立以青岛友城为主渠道的国际体育交流联盟。加强与上合组织国家体育产业合作，以上合地方经贸合作示范区马拉松赛、上合组织国家国际象棋团体赛等国际赛事为载体，搭建同上合组织国家相互交流与合作媒介，拓展上合国家体育产业发展市场空间。借助区域全面经济伙伴关系协定（</w:t>
      </w:r>
      <w:r>
        <w:rPr>
          <w:rFonts w:ascii="仿宋_GB2312" w:hAnsi="仿宋_GB2312" w:cs="仿宋_GB2312"/>
          <w:bCs/>
          <w:szCs w:val="32"/>
        </w:rPr>
        <w:t>RCEP），</w:t>
      </w:r>
      <w:r>
        <w:rPr>
          <w:rFonts w:hint="eastAsia" w:ascii="仿宋_GB2312" w:hAnsi="仿宋_GB2312" w:cs="仿宋_GB2312"/>
          <w:bCs/>
          <w:szCs w:val="32"/>
        </w:rPr>
        <w:t>与各成员国在体育人才引进、竞技交流等方面开展合作。积极推进与日韩、港澳体育的密切交流与合作，稳妥开展对台体育交流，拓宽青岛体育国际视野，不断提升青岛体育国际影响力。</w:t>
      </w:r>
    </w:p>
    <w:p>
      <w:pPr>
        <w:ind w:firstLine="640"/>
        <w:rPr>
          <w:rFonts w:ascii="仿宋_GB2312" w:hAnsi="Calibri"/>
          <w:bCs/>
          <w:szCs w:val="32"/>
        </w:rPr>
      </w:pPr>
      <w:r>
        <w:rPr>
          <w:rFonts w:hint="eastAsia" w:ascii="仿宋_GB2312" w:hAnsi="Calibri"/>
          <w:bCs/>
          <w:szCs w:val="32"/>
        </w:rPr>
        <w:t>构建与国际体育接轨的制度环境。立足国际视野，逐步建立与国际体育通行规则接轨的服务、评价标准体系，在体育发展理念、发展方式、运营管理、评估认证等方面充分借鉴国际惯例和先进经验，分阶段有重点地进行国际化试点。提高体育发展的国际化、市场化和法治化水平，拓展国际体育机构落户的公共空间，组织开展国际体育志愿服务、民间国际体育交流，打造开放式的国际体育交流和涉外服务平台，出台优惠政策，逐步形成与国际体育通行规则相一致的制度环境，迈入全球体育城市行列。</w:t>
      </w:r>
    </w:p>
    <w:p>
      <w:pPr>
        <w:ind w:firstLine="640"/>
        <w:rPr>
          <w:rFonts w:ascii="仿宋" w:hAnsi="仿宋" w:eastAsia="仿宋"/>
          <w:bCs/>
          <w:szCs w:val="32"/>
        </w:rPr>
      </w:pPr>
      <w:r>
        <w:rPr>
          <w:rFonts w:hint="eastAsia" w:ascii="仿宋_GB2312" w:hAnsi="Calibri"/>
          <w:bCs/>
          <w:szCs w:val="32"/>
        </w:rPr>
        <w:t>建设多元的国际化体育服务载体。加快完善和布局与全球知名体育城市地位相匹配的国际体育会议与论坛、信息交流、机构入驻、服务贸易、人才与产权交易、奥林匹克文化与精神传承等功能，依托自贸试验区、上合示范区等开放平台综合优势，吸引和培育高等级国际知名体育企业总部、区域总部、专业分支机构，支持科技含量高的创新型体育产品以及新业态、新模式在青岛先行先试。支持国际体育仲裁、体育保险、体育旅游、体育劳务、体育赛事、体育养生、体育租赁、体育金融、体育培训等服务业发展，增强对全球体育要素吸引力。</w:t>
      </w:r>
    </w:p>
    <w:p>
      <w:pPr>
        <w:ind w:firstLine="640"/>
        <w:outlineLvl w:val="1"/>
        <w:rPr>
          <w:rFonts w:ascii="楷体" w:hAnsi="楷体" w:eastAsia="楷体"/>
          <w:bCs/>
          <w:szCs w:val="32"/>
        </w:rPr>
      </w:pPr>
      <w:bookmarkStart w:id="13" w:name="_Toc66174895"/>
      <w:r>
        <w:rPr>
          <w:rFonts w:hint="eastAsia" w:ascii="楷体" w:hAnsi="楷体" w:eastAsia="楷体"/>
          <w:bCs/>
          <w:szCs w:val="32"/>
        </w:rPr>
        <w:t>（四）传递体育文化价值</w:t>
      </w:r>
      <w:bookmarkEnd w:id="13"/>
    </w:p>
    <w:p>
      <w:pPr>
        <w:ind w:firstLine="640"/>
        <w:rPr>
          <w:rFonts w:ascii="仿宋_GB2312" w:hAnsi="Calibri"/>
          <w:bCs/>
          <w:szCs w:val="32"/>
        </w:rPr>
      </w:pPr>
      <w:r>
        <w:rPr>
          <w:rFonts w:hint="eastAsia" w:ascii="仿宋_GB2312" w:hAnsi="Calibri"/>
          <w:bCs/>
          <w:szCs w:val="32"/>
        </w:rPr>
        <w:t>大力弘扬体育精神。深入挖掘以为国争光为核心的中华体育精神，将其融入社会主义核心价值体系建设，精心培育和发展体育公益、慈善和志愿服务文化。倡导文明观赛、文明健身等体育文明礼仪，促进社会主义思想道德建设和精神文明创建。积极传播奥林匹克文化，加强对运动员和青少年体育精神和体育道德教育，精心培育和发展体育公益慈善和志愿服务文化。加强对体育文化遗产的挖掘和保护，重视对养生、武术、气功等民族、民俗、民间传统体育文化的整理和利用，开展体育文物、档案、文献等普查、收集、整理、保存和研究利用工作。开展传统体育类非物质文化遗产展示展演活动，推动传统体育类非物质文化遗产进校园。弘扬有文化的体育，把体育文化建设渗透到体育工作实践中，发挥体育健身、强心、益智、乐群的突出功效，并以丰富的体育文化、体育精神影响人、教育人，成为青岛国际大都市不可或缺的文化符号和城市印记。</w:t>
      </w:r>
    </w:p>
    <w:p>
      <w:pPr>
        <w:ind w:firstLine="640"/>
        <w:rPr>
          <w:rFonts w:ascii="仿宋_GB2312" w:hAnsi="Calibri"/>
          <w:bCs/>
          <w:szCs w:val="32"/>
        </w:rPr>
      </w:pPr>
      <w:r>
        <w:rPr>
          <w:rFonts w:hint="eastAsia" w:ascii="仿宋_GB2312" w:hAnsi="Calibri"/>
          <w:bCs/>
          <w:szCs w:val="32"/>
        </w:rPr>
        <w:t>大力培育体育文化品牌。加大体育公益广告宣传力度，利用报刊、电视、网络等媒体，普及体育知识，营造良好的体育氛围。着力培育品牌赛事、品牌俱乐部、品牌健身活动，扩大其影响力。打造本土体育品牌，进军国际舞台，提升全球知名度。充分发挥体育名人的示范引领作用，培育具有优秀品德和良好运动成绩的体育明星，以优秀运动员的成功事迹为启发，积极推动运动项目文化建设和体育赛事活动文化品牌，讲好以运动员为主体并具有体育运动特点的故事，组织运动队和体育明星开展公益活动。</w:t>
      </w:r>
    </w:p>
    <w:p>
      <w:pPr>
        <w:ind w:firstLine="640"/>
        <w:rPr>
          <w:rFonts w:ascii="仿宋" w:hAnsi="仿宋" w:eastAsia="仿宋"/>
          <w:bCs/>
          <w:szCs w:val="32"/>
        </w:rPr>
      </w:pPr>
      <w:r>
        <w:rPr>
          <w:rFonts w:hint="eastAsia" w:ascii="仿宋_GB2312" w:hAnsi="Calibri"/>
          <w:bCs/>
          <w:szCs w:val="32"/>
        </w:rPr>
        <w:t>抓好体育文化阵地建设。因地制宜建设各类体育博物馆、陈列室、荣誉室、纪念馆、名人堂，发挥其体育文化重要载体作用。推动体育文化旅游项目建设，支持体育类博物馆开展各类展示展览活动。大力发展体育赛事、体育会展、健身娱乐、体育传媒、体育出版、音像制品、体育广告、集邮收藏等体育文化创意产品市场。充分利用影视、文学、音乐、美术、舞蹈、绘画、雕塑、动漫、摄影等各类文化形式，开展体育文化艺术创作，形成青岛体育文化高地。</w:t>
      </w:r>
    </w:p>
    <w:p>
      <w:pPr>
        <w:ind w:firstLine="640"/>
        <w:rPr>
          <w:rFonts w:ascii="仿宋" w:hAnsi="仿宋" w:eastAsia="仿宋"/>
          <w:bCs/>
          <w:szCs w:val="32"/>
        </w:rPr>
      </w:pPr>
    </w:p>
    <w:p>
      <w:pPr>
        <w:ind w:firstLine="640"/>
        <w:outlineLvl w:val="0"/>
        <w:rPr>
          <w:rFonts w:ascii="黑体" w:hAnsi="黑体" w:eastAsia="黑体"/>
          <w:bCs/>
          <w:szCs w:val="32"/>
        </w:rPr>
      </w:pPr>
      <w:bookmarkStart w:id="14" w:name="_Toc66174896"/>
      <w:r>
        <w:rPr>
          <w:rFonts w:hint="eastAsia" w:ascii="黑体" w:hAnsi="黑体" w:eastAsia="黑体"/>
          <w:bCs/>
          <w:szCs w:val="32"/>
        </w:rPr>
        <w:t>四、广泛开展群众体育，打造国家全民健身示范中心</w:t>
      </w:r>
      <w:bookmarkEnd w:id="14"/>
    </w:p>
    <w:p>
      <w:pPr>
        <w:ind w:firstLine="640"/>
        <w:rPr>
          <w:rFonts w:ascii="仿宋" w:hAnsi="仿宋" w:eastAsia="仿宋"/>
          <w:bCs/>
          <w:szCs w:val="32"/>
        </w:rPr>
      </w:pPr>
    </w:p>
    <w:p>
      <w:pPr>
        <w:ind w:firstLine="640"/>
        <w:rPr>
          <w:rFonts w:ascii="仿宋_GB2312" w:hAnsi="Calibri"/>
          <w:bCs/>
          <w:szCs w:val="32"/>
        </w:rPr>
      </w:pPr>
      <w:r>
        <w:rPr>
          <w:rFonts w:hint="eastAsia" w:ascii="仿宋_GB2312" w:hAnsi="Calibri"/>
          <w:bCs/>
          <w:szCs w:val="32"/>
        </w:rPr>
        <w:t>落实全民健身国家战略和“六边工程”，着力打造“处处可健身”的高品质运动空间，培育“人人会健身”的高水平健康素养，倡导“天天想健身”的现代化生活方式，让人人从参与体育中收获健康，建设人人运动、人人健康的活力之城。</w:t>
      </w:r>
    </w:p>
    <w:p>
      <w:pPr>
        <w:ind w:firstLine="640"/>
        <w:outlineLvl w:val="1"/>
        <w:rPr>
          <w:rFonts w:ascii="楷体" w:hAnsi="楷体" w:eastAsia="楷体"/>
          <w:bCs/>
          <w:szCs w:val="32"/>
        </w:rPr>
      </w:pPr>
      <w:bookmarkStart w:id="15" w:name="_Toc62630901"/>
      <w:bookmarkStart w:id="16" w:name="_Toc66174897"/>
      <w:r>
        <w:rPr>
          <w:rFonts w:hint="eastAsia" w:ascii="楷体" w:hAnsi="楷体" w:eastAsia="楷体"/>
          <w:bCs/>
          <w:szCs w:val="32"/>
        </w:rPr>
        <w:t>（一）</w:t>
      </w:r>
      <w:bookmarkEnd w:id="15"/>
      <w:r>
        <w:rPr>
          <w:rFonts w:hint="eastAsia" w:ascii="楷体" w:hAnsi="楷体" w:eastAsia="楷体"/>
          <w:bCs/>
          <w:szCs w:val="32"/>
        </w:rPr>
        <w:t>加快体育设施提档升级</w:t>
      </w:r>
      <w:bookmarkEnd w:id="16"/>
    </w:p>
    <w:p>
      <w:pPr>
        <w:ind w:firstLine="640"/>
        <w:rPr>
          <w:rFonts w:ascii="仿宋_GB2312" w:hAnsi="仿宋"/>
          <w:bCs/>
          <w:szCs w:val="32"/>
        </w:rPr>
      </w:pPr>
      <w:r>
        <w:rPr>
          <w:rFonts w:hint="eastAsia" w:ascii="仿宋_GB2312" w:hAnsi="仿宋"/>
          <w:bCs/>
          <w:szCs w:val="32"/>
        </w:rPr>
        <w:t>实施全民健身场地设施提升工程和补短板行动，完善“8分钟健身圈”配套功能，科学规划建设城市居住区三级生活圈及农村健身场地，推进时尚健身社区、时尚健身设施等布局。加强土地集约复合利用，借助“市办实事”，在城市更新、环境整治等产生的金边银角及低效地，改造建设一批更加便利的口袋公园、健身步道、社区健康中心、文体广场等场地设施。五年内建成</w:t>
      </w:r>
      <w:r>
        <w:rPr>
          <w:rFonts w:ascii="仿宋_GB2312" w:hAnsi="仿宋"/>
          <w:bCs/>
          <w:szCs w:val="32"/>
        </w:rPr>
        <w:t>1-2处综合性智能化时尚体育公园</w:t>
      </w:r>
      <w:r>
        <w:rPr>
          <w:rFonts w:hint="eastAsia" w:ascii="仿宋_GB2312" w:hAnsi="仿宋"/>
          <w:bCs/>
          <w:szCs w:val="32"/>
        </w:rPr>
        <w:t>。结合美丽乡村建设继续加大农村健身设施建设力度，试点并推行运动休闲特色小镇建设。统筹全域公共场所健身器材维护管理和更新换代，加大智慧健身设施投入，智能健身器材普及率不低于30%。推动公共体育设施向公众开放，到2</w:t>
      </w:r>
      <w:r>
        <w:rPr>
          <w:rFonts w:ascii="仿宋_GB2312" w:hAnsi="仿宋"/>
          <w:bCs/>
          <w:szCs w:val="32"/>
        </w:rPr>
        <w:t>025年</w:t>
      </w:r>
      <w:r>
        <w:rPr>
          <w:rFonts w:hint="eastAsia" w:ascii="仿宋_GB2312" w:hAnsi="仿宋"/>
          <w:bCs/>
          <w:szCs w:val="32"/>
        </w:rPr>
        <w:t>全市公益性健身设施超过</w:t>
      </w:r>
      <w:r>
        <w:rPr>
          <w:rFonts w:ascii="仿宋_GB2312" w:hAnsi="仿宋"/>
          <w:bCs/>
          <w:szCs w:val="32"/>
        </w:rPr>
        <w:t>11000处</w:t>
      </w:r>
      <w:r>
        <w:rPr>
          <w:rFonts w:hint="eastAsia" w:ascii="仿宋_GB2312" w:hAnsi="仿宋"/>
          <w:bCs/>
          <w:szCs w:val="32"/>
        </w:rPr>
        <w:t>。</w:t>
      </w:r>
    </w:p>
    <w:tbl>
      <w:tblPr>
        <w:tblStyle w:val="10"/>
        <w:tblW w:w="8789" w:type="dxa"/>
        <w:jc w:val="center"/>
        <w:tblLayout w:type="fixed"/>
        <w:tblCellMar>
          <w:top w:w="0" w:type="dxa"/>
          <w:left w:w="108" w:type="dxa"/>
          <w:bottom w:w="0" w:type="dxa"/>
          <w:right w:w="108" w:type="dxa"/>
        </w:tblCellMar>
      </w:tblPr>
      <w:tblGrid>
        <w:gridCol w:w="1274"/>
        <w:gridCol w:w="7515"/>
      </w:tblGrid>
      <w:tr>
        <w:tblPrEx>
          <w:tblCellMar>
            <w:top w:w="0" w:type="dxa"/>
            <w:left w:w="108" w:type="dxa"/>
            <w:bottom w:w="0" w:type="dxa"/>
            <w:right w:w="108" w:type="dxa"/>
          </w:tblCellMar>
        </w:tblPrEx>
        <w:trPr>
          <w:trHeight w:val="312" w:hRule="atLeast"/>
          <w:jc w:val="center"/>
        </w:trPr>
        <w:tc>
          <w:tcPr>
            <w:tcW w:w="8789" w:type="dxa"/>
            <w:gridSpan w:val="2"/>
            <w:tcBorders>
              <w:top w:val="single" w:color="auto" w:sz="4" w:space="0"/>
              <w:left w:val="single" w:color="auto" w:sz="4" w:space="0"/>
              <w:bottom w:val="single" w:color="auto" w:sz="4" w:space="0"/>
              <w:right w:val="single" w:color="000000" w:sz="4" w:space="0"/>
            </w:tcBorders>
            <w:shd w:val="clear" w:color="auto" w:fill="auto"/>
            <w:vAlign w:val="bottom"/>
          </w:tcPr>
          <w:p>
            <w:pPr>
              <w:ind w:firstLine="480"/>
              <w:jc w:val="center"/>
              <w:rPr>
                <w:rFonts w:ascii="黑体" w:hAnsi="黑体" w:eastAsia="黑体" w:cs="Times New Roman"/>
                <w:bCs/>
                <w:snapToGrid w:val="0"/>
                <w:kern w:val="0"/>
                <w:sz w:val="24"/>
                <w:szCs w:val="24"/>
              </w:rPr>
            </w:pPr>
            <w:r>
              <w:rPr>
                <w:rFonts w:hint="eastAsia" w:ascii="黑体" w:hAnsi="黑体" w:eastAsia="黑体" w:cs="Times New Roman"/>
                <w:bCs/>
                <w:snapToGrid w:val="0"/>
                <w:kern w:val="0"/>
                <w:sz w:val="24"/>
                <w:szCs w:val="24"/>
              </w:rPr>
              <w:t>专栏  ：群众体育重点工作</w:t>
            </w:r>
          </w:p>
        </w:tc>
      </w:tr>
      <w:tr>
        <w:tblPrEx>
          <w:tblCellMar>
            <w:top w:w="0" w:type="dxa"/>
            <w:left w:w="108" w:type="dxa"/>
            <w:bottom w:w="0" w:type="dxa"/>
            <w:right w:w="108" w:type="dxa"/>
          </w:tblCellMar>
        </w:tblPrEx>
        <w:trPr>
          <w:trHeight w:val="312" w:hRule="atLeast"/>
          <w:jc w:val="center"/>
        </w:trPr>
        <w:tc>
          <w:tcPr>
            <w:tcW w:w="1274" w:type="dxa"/>
            <w:tcBorders>
              <w:top w:val="single" w:color="auto" w:sz="4" w:space="0"/>
              <w:left w:val="single" w:color="auto" w:sz="4" w:space="0"/>
              <w:bottom w:val="single" w:color="auto" w:sz="4" w:space="0"/>
              <w:right w:val="single" w:color="000000" w:sz="4" w:space="0"/>
            </w:tcBorders>
            <w:vAlign w:val="center"/>
          </w:tcPr>
          <w:p>
            <w:pPr>
              <w:tabs>
                <w:tab w:val="left" w:pos="360"/>
              </w:tabs>
              <w:spacing w:line="240" w:lineRule="auto"/>
              <w:ind w:firstLine="0" w:firstLineChars="0"/>
              <w:jc w:val="center"/>
              <w:rPr>
                <w:rFonts w:ascii="仿宋_GB2312" w:hAnsi="仿宋_GB2312" w:cs="仿宋_GB2312" w:eastAsiaTheme="minorEastAsia"/>
                <w:bCs/>
                <w:snapToGrid w:val="0"/>
                <w:kern w:val="0"/>
                <w:sz w:val="24"/>
                <w:szCs w:val="24"/>
              </w:rPr>
            </w:pPr>
            <w:r>
              <w:rPr>
                <w:rFonts w:hint="eastAsia" w:ascii="仿宋_GB2312" w:hAnsi="仿宋_GB2312" w:cs="仿宋_GB2312" w:eastAsiaTheme="minorEastAsia"/>
                <w:bCs/>
                <w:snapToGrid w:val="0"/>
                <w:kern w:val="0"/>
                <w:sz w:val="22"/>
              </w:rPr>
              <w:t>三级全民健身设施网络</w:t>
            </w:r>
          </w:p>
        </w:tc>
        <w:tc>
          <w:tcPr>
            <w:tcW w:w="7515" w:type="dxa"/>
            <w:tcBorders>
              <w:top w:val="single" w:color="auto" w:sz="4" w:space="0"/>
              <w:left w:val="single" w:color="auto" w:sz="4" w:space="0"/>
              <w:bottom w:val="single" w:color="auto" w:sz="4" w:space="0"/>
              <w:right w:val="single" w:color="000000" w:sz="4" w:space="0"/>
            </w:tcBorders>
            <w:vAlign w:val="center"/>
          </w:tcPr>
          <w:p>
            <w:pPr>
              <w:tabs>
                <w:tab w:val="left" w:pos="360"/>
              </w:tabs>
              <w:spacing w:line="312" w:lineRule="auto"/>
              <w:ind w:firstLine="440" w:firstLineChars="0"/>
              <w:jc w:val="left"/>
              <w:rPr>
                <w:rFonts w:ascii="仿宋_GB2312" w:hAnsi="仿宋_GB2312" w:cs="仿宋_GB2312" w:eastAsiaTheme="minorEastAsia"/>
                <w:bCs/>
                <w:snapToGrid w:val="0"/>
                <w:kern w:val="0"/>
                <w:sz w:val="22"/>
              </w:rPr>
            </w:pPr>
            <w:r>
              <w:rPr>
                <w:rFonts w:hint="eastAsia" w:ascii="仿宋_GB2312" w:hAnsi="仿宋_GB2312" w:cs="仿宋_GB2312" w:eastAsiaTheme="minorEastAsia"/>
                <w:bCs/>
                <w:snapToGrid w:val="0"/>
                <w:kern w:val="0"/>
                <w:sz w:val="22"/>
              </w:rPr>
              <w:t>建设区市、街道（乡镇）、行政村（社区）三级全民健身设施网络，完善城市社区8分钟健身圈，人均体育场地面积达到3.2平方米以上。</w:t>
            </w:r>
          </w:p>
        </w:tc>
      </w:tr>
      <w:tr>
        <w:tblPrEx>
          <w:tblCellMar>
            <w:top w:w="0" w:type="dxa"/>
            <w:left w:w="108" w:type="dxa"/>
            <w:bottom w:w="0" w:type="dxa"/>
            <w:right w:w="108" w:type="dxa"/>
          </w:tblCellMar>
        </w:tblPrEx>
        <w:trPr>
          <w:trHeight w:val="312" w:hRule="atLeast"/>
          <w:jc w:val="center"/>
        </w:trPr>
        <w:tc>
          <w:tcPr>
            <w:tcW w:w="1274" w:type="dxa"/>
            <w:tcBorders>
              <w:top w:val="single" w:color="auto" w:sz="4" w:space="0"/>
              <w:left w:val="single" w:color="auto" w:sz="4" w:space="0"/>
              <w:bottom w:val="single" w:color="auto" w:sz="4" w:space="0"/>
              <w:right w:val="single" w:color="000000" w:sz="4" w:space="0"/>
            </w:tcBorders>
            <w:vAlign w:val="center"/>
          </w:tcPr>
          <w:p>
            <w:pPr>
              <w:tabs>
                <w:tab w:val="left" w:pos="360"/>
              </w:tabs>
              <w:spacing w:line="240" w:lineRule="auto"/>
              <w:ind w:firstLine="0" w:firstLineChars="0"/>
              <w:jc w:val="center"/>
              <w:rPr>
                <w:rFonts w:ascii="仿宋_GB2312" w:hAnsi="仿宋_GB2312" w:cs="仿宋_GB2312" w:eastAsiaTheme="minorEastAsia"/>
                <w:bCs/>
                <w:snapToGrid w:val="0"/>
                <w:kern w:val="0"/>
                <w:sz w:val="24"/>
                <w:szCs w:val="24"/>
              </w:rPr>
            </w:pPr>
            <w:r>
              <w:rPr>
                <w:rFonts w:hint="eastAsia" w:ascii="仿宋_GB2312" w:hAnsi="仿宋_GB2312" w:cs="仿宋_GB2312" w:eastAsiaTheme="minorEastAsia"/>
                <w:bCs/>
                <w:snapToGrid w:val="0"/>
                <w:kern w:val="0"/>
                <w:sz w:val="22"/>
              </w:rPr>
              <w:t>完善“五个一”、“3+X”工程</w:t>
            </w:r>
          </w:p>
        </w:tc>
        <w:tc>
          <w:tcPr>
            <w:tcW w:w="7515" w:type="dxa"/>
            <w:tcBorders>
              <w:top w:val="single" w:color="auto" w:sz="4" w:space="0"/>
              <w:left w:val="single" w:color="auto" w:sz="4" w:space="0"/>
              <w:bottom w:val="single" w:color="auto" w:sz="4" w:space="0"/>
              <w:right w:val="single" w:color="000000" w:sz="4" w:space="0"/>
            </w:tcBorders>
            <w:vAlign w:val="center"/>
          </w:tcPr>
          <w:p>
            <w:pPr>
              <w:tabs>
                <w:tab w:val="left" w:pos="360"/>
              </w:tabs>
              <w:spacing w:line="312" w:lineRule="auto"/>
              <w:ind w:firstLine="440" w:firstLineChars="0"/>
              <w:jc w:val="left"/>
              <w:rPr>
                <w:rFonts w:ascii="仿宋_GB2312" w:hAnsi="仿宋_GB2312" w:cs="仿宋_GB2312" w:eastAsiaTheme="minorEastAsia"/>
                <w:bCs/>
                <w:snapToGrid w:val="0"/>
                <w:kern w:val="0"/>
                <w:sz w:val="22"/>
              </w:rPr>
            </w:pPr>
            <w:r>
              <w:rPr>
                <w:rFonts w:hint="eastAsia" w:ascii="仿宋_GB2312" w:hAnsi="仿宋_GB2312" w:cs="仿宋_GB2312" w:eastAsiaTheme="minorEastAsia"/>
                <w:bCs/>
                <w:snapToGrid w:val="0"/>
                <w:kern w:val="0"/>
                <w:sz w:val="22"/>
              </w:rPr>
              <w:t>按《城市公共服务设施规划标准》规定的人口规模分类，继续完善“五个一”工程（一个公共体育场、一个公共体育馆、一个公共游泳馆、一个全民健身中心、一个体育公园），完善区市“3+X”工程（一个公共体育场、一个公共体育馆、一个全民健身中心或公共游泳馆、体育公园、健身广场）。</w:t>
            </w:r>
          </w:p>
        </w:tc>
      </w:tr>
      <w:tr>
        <w:tblPrEx>
          <w:tblCellMar>
            <w:top w:w="0" w:type="dxa"/>
            <w:left w:w="108" w:type="dxa"/>
            <w:bottom w:w="0" w:type="dxa"/>
            <w:right w:w="108" w:type="dxa"/>
          </w:tblCellMar>
        </w:tblPrEx>
        <w:trPr>
          <w:trHeight w:val="312" w:hRule="atLeast"/>
          <w:jc w:val="center"/>
        </w:trPr>
        <w:tc>
          <w:tcPr>
            <w:tcW w:w="1274" w:type="dxa"/>
            <w:tcBorders>
              <w:top w:val="single" w:color="auto" w:sz="4" w:space="0"/>
              <w:left w:val="single" w:color="auto" w:sz="4" w:space="0"/>
              <w:bottom w:val="single" w:color="auto" w:sz="4" w:space="0"/>
              <w:right w:val="single" w:color="000000" w:sz="4" w:space="0"/>
            </w:tcBorders>
            <w:vAlign w:val="center"/>
          </w:tcPr>
          <w:p>
            <w:pPr>
              <w:tabs>
                <w:tab w:val="left" w:pos="360"/>
              </w:tabs>
              <w:spacing w:line="240" w:lineRule="auto"/>
              <w:ind w:firstLine="0" w:firstLineChars="0"/>
              <w:jc w:val="center"/>
              <w:rPr>
                <w:rFonts w:ascii="仿宋_GB2312" w:hAnsi="仿宋_GB2312" w:cs="仿宋_GB2312" w:eastAsiaTheme="minorEastAsia"/>
                <w:bCs/>
                <w:snapToGrid w:val="0"/>
                <w:kern w:val="0"/>
                <w:sz w:val="24"/>
                <w:szCs w:val="24"/>
              </w:rPr>
            </w:pPr>
            <w:r>
              <w:rPr>
                <w:rFonts w:hint="eastAsia" w:ascii="仿宋_GB2312" w:hAnsi="仿宋_GB2312" w:cs="仿宋_GB2312" w:eastAsiaTheme="minorEastAsia"/>
                <w:bCs/>
                <w:snapToGrid w:val="0"/>
                <w:kern w:val="0"/>
                <w:sz w:val="22"/>
              </w:rPr>
              <w:t>完善场地设施</w:t>
            </w:r>
          </w:p>
        </w:tc>
        <w:tc>
          <w:tcPr>
            <w:tcW w:w="7515" w:type="dxa"/>
            <w:tcBorders>
              <w:top w:val="single" w:color="auto" w:sz="4" w:space="0"/>
              <w:left w:val="single" w:color="auto" w:sz="4" w:space="0"/>
              <w:bottom w:val="single" w:color="auto" w:sz="4" w:space="0"/>
              <w:right w:val="single" w:color="000000" w:sz="4" w:space="0"/>
            </w:tcBorders>
            <w:vAlign w:val="center"/>
          </w:tcPr>
          <w:p>
            <w:pPr>
              <w:tabs>
                <w:tab w:val="left" w:pos="360"/>
              </w:tabs>
              <w:spacing w:line="312" w:lineRule="auto"/>
              <w:ind w:firstLine="440" w:firstLineChars="0"/>
              <w:jc w:val="left"/>
              <w:rPr>
                <w:rFonts w:ascii="仿宋_GB2312" w:hAnsi="仿宋_GB2312" w:cs="仿宋_GB2312" w:eastAsiaTheme="minorEastAsia"/>
                <w:bCs/>
                <w:snapToGrid w:val="0"/>
                <w:kern w:val="0"/>
                <w:sz w:val="22"/>
              </w:rPr>
            </w:pPr>
            <w:r>
              <w:rPr>
                <w:rFonts w:hint="eastAsia" w:ascii="仿宋_GB2312" w:hAnsi="仿宋_GB2312" w:cs="仿宋_GB2312" w:eastAsiaTheme="minorEastAsia"/>
                <w:bCs/>
                <w:snapToGrid w:val="0"/>
                <w:kern w:val="0"/>
                <w:sz w:val="22"/>
              </w:rPr>
              <w:t>按《城市居住区规划设计标准》关于“三级生活区”和居住街坊全民健身场地设施配置的要求，结合人口规模完善场地设施。每个街道至少建成1个社区多功能运动场（如笼式足球、笼式篮球和拼装式游泳池），结合实际配置乒乓球室、棋牌室等室内体育活动场所；每个乡镇至少建成1个配置篮球架、足球门羽毛球柱、室外健身器材和室外照明设施的健身广场。继续实施城市社区室内外结合的小型社区健身中心项目；配套农村新型社区健身设施，结合社区实际建设情况，打造“风雨无阻”型农村社区健身中心。</w:t>
            </w:r>
          </w:p>
        </w:tc>
      </w:tr>
      <w:tr>
        <w:tblPrEx>
          <w:tblCellMar>
            <w:top w:w="0" w:type="dxa"/>
            <w:left w:w="108" w:type="dxa"/>
            <w:bottom w:w="0" w:type="dxa"/>
            <w:right w:w="108" w:type="dxa"/>
          </w:tblCellMar>
        </w:tblPrEx>
        <w:trPr>
          <w:trHeight w:val="312" w:hRule="atLeast"/>
          <w:jc w:val="center"/>
        </w:trPr>
        <w:tc>
          <w:tcPr>
            <w:tcW w:w="1274" w:type="dxa"/>
            <w:tcBorders>
              <w:top w:val="single" w:color="auto" w:sz="4" w:space="0"/>
              <w:left w:val="single" w:color="auto" w:sz="4" w:space="0"/>
              <w:bottom w:val="single" w:color="auto" w:sz="4" w:space="0"/>
              <w:right w:val="single" w:color="000000" w:sz="4" w:space="0"/>
            </w:tcBorders>
            <w:vAlign w:val="center"/>
          </w:tcPr>
          <w:p>
            <w:pPr>
              <w:tabs>
                <w:tab w:val="left" w:pos="360"/>
              </w:tabs>
              <w:spacing w:line="240" w:lineRule="auto"/>
              <w:ind w:firstLine="0" w:firstLineChars="0"/>
              <w:jc w:val="center"/>
              <w:rPr>
                <w:rFonts w:ascii="仿宋_GB2312" w:hAnsi="仿宋_GB2312" w:cs="仿宋_GB2312" w:eastAsiaTheme="minorEastAsia"/>
                <w:bCs/>
                <w:snapToGrid w:val="0"/>
                <w:kern w:val="0"/>
                <w:sz w:val="24"/>
                <w:szCs w:val="24"/>
              </w:rPr>
            </w:pPr>
            <w:r>
              <w:rPr>
                <w:rFonts w:hint="eastAsia" w:ascii="仿宋_GB2312" w:hAnsi="仿宋_GB2312" w:cs="仿宋_GB2312" w:eastAsiaTheme="minorEastAsia"/>
                <w:bCs/>
                <w:snapToGrid w:val="0"/>
                <w:kern w:val="0"/>
                <w:sz w:val="22"/>
              </w:rPr>
              <w:t>推动免费开放</w:t>
            </w:r>
          </w:p>
        </w:tc>
        <w:tc>
          <w:tcPr>
            <w:tcW w:w="7515" w:type="dxa"/>
            <w:tcBorders>
              <w:top w:val="single" w:color="auto" w:sz="4" w:space="0"/>
              <w:left w:val="single" w:color="auto" w:sz="4" w:space="0"/>
              <w:bottom w:val="single" w:color="auto" w:sz="4" w:space="0"/>
              <w:right w:val="single" w:color="000000" w:sz="4" w:space="0"/>
            </w:tcBorders>
            <w:vAlign w:val="center"/>
          </w:tcPr>
          <w:p>
            <w:pPr>
              <w:tabs>
                <w:tab w:val="left" w:pos="360"/>
              </w:tabs>
              <w:spacing w:line="312" w:lineRule="auto"/>
              <w:ind w:firstLine="440" w:firstLineChars="0"/>
              <w:jc w:val="left"/>
              <w:rPr>
                <w:rFonts w:ascii="仿宋_GB2312" w:hAnsi="仿宋_GB2312" w:cs="仿宋_GB2312" w:eastAsiaTheme="minorEastAsia"/>
                <w:bCs/>
                <w:snapToGrid w:val="0"/>
                <w:kern w:val="0"/>
                <w:sz w:val="22"/>
              </w:rPr>
            </w:pPr>
            <w:r>
              <w:rPr>
                <w:rFonts w:hint="eastAsia" w:ascii="仿宋_GB2312" w:hAnsi="仿宋_GB2312" w:cs="仿宋_GB2312" w:eastAsiaTheme="minorEastAsia"/>
                <w:bCs/>
                <w:snapToGrid w:val="0"/>
                <w:kern w:val="0"/>
                <w:sz w:val="22"/>
              </w:rPr>
              <w:t>室外公共体育设施向公众免费开放；区市公共体育场内年免费开放天数不少于230天；学校体育场地设施开放率不低于</w:t>
            </w:r>
            <w:r>
              <w:rPr>
                <w:rFonts w:ascii="仿宋_GB2312" w:hAnsi="仿宋_GB2312" w:cs="仿宋_GB2312" w:eastAsiaTheme="minorEastAsia"/>
                <w:bCs/>
                <w:snapToGrid w:val="0"/>
                <w:kern w:val="0"/>
                <w:sz w:val="22"/>
              </w:rPr>
              <w:t>90%</w:t>
            </w:r>
            <w:r>
              <w:rPr>
                <w:rFonts w:hint="eastAsia" w:ascii="仿宋_GB2312" w:hAnsi="仿宋_GB2312" w:cs="仿宋_GB2312" w:eastAsiaTheme="minorEastAsia"/>
                <w:bCs/>
                <w:snapToGrid w:val="0"/>
                <w:kern w:val="0"/>
                <w:sz w:val="22"/>
              </w:rPr>
              <w:t>。</w:t>
            </w:r>
          </w:p>
        </w:tc>
      </w:tr>
    </w:tbl>
    <w:p>
      <w:pPr>
        <w:ind w:firstLine="640"/>
        <w:outlineLvl w:val="1"/>
        <w:rPr>
          <w:rFonts w:ascii="楷体" w:hAnsi="楷体" w:eastAsia="楷体"/>
          <w:bCs/>
          <w:szCs w:val="32"/>
        </w:rPr>
      </w:pPr>
      <w:bookmarkStart w:id="17" w:name="_Toc66174898"/>
      <w:r>
        <w:rPr>
          <w:rFonts w:hint="eastAsia" w:ascii="楷体" w:hAnsi="楷体" w:eastAsia="楷体"/>
          <w:bCs/>
          <w:szCs w:val="32"/>
        </w:rPr>
        <w:t>（二）完善全民健身组织体系</w:t>
      </w:r>
      <w:bookmarkEnd w:id="17"/>
    </w:p>
    <w:p>
      <w:pPr>
        <w:ind w:firstLine="640"/>
        <w:rPr>
          <w:rFonts w:ascii="仿宋_GB2312" w:hAnsi="仿宋"/>
          <w:bCs/>
          <w:szCs w:val="32"/>
        </w:rPr>
      </w:pPr>
      <w:r>
        <w:rPr>
          <w:rFonts w:hint="eastAsia" w:ascii="仿宋_GB2312" w:hAnsi="仿宋"/>
          <w:bCs/>
          <w:szCs w:val="32"/>
        </w:rPr>
        <w:t>充分发挥市（区）全民健身领导小组或联席会议职能作用，全面贯彻落实行业协会、商会与行政机关脱钩改革工作，以各级体育总会为枢纽，健全各级体育社会组织体系，加大政府向体育社会组织购买全民健身公共服务力度。加强全民健身辅导站点建设，继续推行社会体育指导员挂靠全民健身站点制度。到</w:t>
      </w:r>
      <w:r>
        <w:rPr>
          <w:rFonts w:ascii="仿宋_GB2312" w:hAnsi="仿宋"/>
          <w:bCs/>
          <w:szCs w:val="32"/>
        </w:rPr>
        <w:t>2025年市级运动项目协会达到65个以上，每千人拥有社会体育指导员3.2名，</w:t>
      </w:r>
      <w:r>
        <w:rPr>
          <w:rFonts w:hint="eastAsia" w:ascii="仿宋_GB2312" w:hAnsi="仿宋"/>
          <w:bCs/>
          <w:szCs w:val="32"/>
        </w:rPr>
        <w:t>建成全民健身辅导站点</w:t>
      </w:r>
      <w:r>
        <w:rPr>
          <w:rFonts w:ascii="仿宋_GB2312" w:hAnsi="仿宋"/>
          <w:bCs/>
          <w:szCs w:val="32"/>
        </w:rPr>
        <w:t>8000个以上</w:t>
      </w:r>
      <w:r>
        <w:rPr>
          <w:rFonts w:hint="eastAsia" w:ascii="仿宋_GB2312" w:hAnsi="仿宋"/>
          <w:bCs/>
          <w:szCs w:val="32"/>
        </w:rPr>
        <w:t>。</w:t>
      </w:r>
    </w:p>
    <w:p>
      <w:pPr>
        <w:ind w:firstLine="640"/>
        <w:outlineLvl w:val="1"/>
        <w:rPr>
          <w:rFonts w:ascii="楷体" w:hAnsi="楷体" w:eastAsia="楷体"/>
          <w:bCs/>
          <w:szCs w:val="32"/>
        </w:rPr>
      </w:pPr>
      <w:bookmarkStart w:id="18" w:name="_Toc66174899"/>
      <w:r>
        <w:rPr>
          <w:rFonts w:hint="eastAsia" w:ascii="楷体" w:hAnsi="楷体" w:eastAsia="楷体"/>
          <w:bCs/>
          <w:szCs w:val="32"/>
        </w:rPr>
        <w:t>（</w:t>
      </w:r>
      <w:r>
        <w:rPr>
          <w:rFonts w:ascii="楷体" w:hAnsi="楷体" w:eastAsia="楷体"/>
          <w:bCs/>
          <w:szCs w:val="32"/>
        </w:rPr>
        <w:t>三</w:t>
      </w:r>
      <w:r>
        <w:rPr>
          <w:rFonts w:hint="eastAsia" w:ascii="楷体" w:hAnsi="楷体" w:eastAsia="楷体"/>
          <w:bCs/>
          <w:szCs w:val="32"/>
        </w:rPr>
        <w:t>）丰富群众体育</w:t>
      </w:r>
      <w:r>
        <w:rPr>
          <w:rFonts w:ascii="楷体" w:hAnsi="楷体" w:eastAsia="楷体"/>
          <w:bCs/>
          <w:szCs w:val="32"/>
        </w:rPr>
        <w:t>赛事活动</w:t>
      </w:r>
      <w:bookmarkEnd w:id="18"/>
    </w:p>
    <w:p>
      <w:pPr>
        <w:ind w:firstLine="640"/>
        <w:rPr>
          <w:rFonts w:ascii="仿宋_GB2312" w:hAnsi="仿宋"/>
          <w:bCs/>
          <w:szCs w:val="32"/>
        </w:rPr>
      </w:pPr>
      <w:r>
        <w:rPr>
          <w:rFonts w:hint="eastAsia" w:ascii="仿宋_GB2312" w:hAnsi="仿宋"/>
          <w:bCs/>
          <w:szCs w:val="32"/>
        </w:rPr>
        <w:t>彰显青岛山、海、城特色，突出“运动青岛、健康城市”主题，举办青岛市全民健身登山节、市全民健身运动会、市居家健身运动会、市体育大会、市智力运动会、沙滩体育节、毅行（徒步）健身大会、畅游汇泉湾、全民健身操舞、海上马拉松、崂山1</w:t>
      </w:r>
      <w:r>
        <w:rPr>
          <w:rFonts w:ascii="仿宋_GB2312" w:hAnsi="仿宋"/>
          <w:bCs/>
          <w:szCs w:val="32"/>
        </w:rPr>
        <w:t>00公里山地越野赛</w:t>
      </w:r>
      <w:r>
        <w:rPr>
          <w:rFonts w:hint="eastAsia" w:ascii="仿宋_GB2312" w:hAnsi="仿宋"/>
          <w:bCs/>
          <w:szCs w:val="32"/>
        </w:rPr>
        <w:t>、“青岛球王”系列公开赛等普及面广、群众喜闻乐见的群众体育赛事活动。策划举办马术、健美、体育舞蹈、电竞等时尚体育赛事。办好冰雪节，推广群众冰雪运动。到2</w:t>
      </w:r>
      <w:r>
        <w:rPr>
          <w:rFonts w:ascii="仿宋_GB2312" w:hAnsi="仿宋"/>
          <w:bCs/>
          <w:szCs w:val="32"/>
        </w:rPr>
        <w:t>025年</w:t>
      </w:r>
      <w:r>
        <w:rPr>
          <w:rFonts w:hint="eastAsia" w:ascii="仿宋_GB2312" w:hAnsi="仿宋"/>
          <w:bCs/>
          <w:szCs w:val="32"/>
        </w:rPr>
        <w:t>全市经常参加体育锻炼人数比例达到5</w:t>
      </w:r>
      <w:r>
        <w:rPr>
          <w:rFonts w:ascii="仿宋_GB2312" w:hAnsi="仿宋"/>
          <w:bCs/>
          <w:szCs w:val="32"/>
        </w:rPr>
        <w:t>0</w:t>
      </w:r>
      <w:r>
        <w:rPr>
          <w:rFonts w:hint="eastAsia" w:ascii="仿宋_GB2312" w:hAnsi="仿宋"/>
          <w:bCs/>
          <w:szCs w:val="32"/>
        </w:rPr>
        <w:t>%。</w:t>
      </w:r>
    </w:p>
    <w:tbl>
      <w:tblPr>
        <w:tblStyle w:val="10"/>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789" w:type="dxa"/>
            <w:shd w:val="clear" w:color="auto" w:fill="auto"/>
            <w:vAlign w:val="bottom"/>
          </w:tcPr>
          <w:p>
            <w:pPr>
              <w:widowControl/>
              <w:adjustRightInd w:val="0"/>
              <w:snapToGrid w:val="0"/>
              <w:spacing w:line="240" w:lineRule="auto"/>
              <w:ind w:firstLine="480" w:firstLineChars="0"/>
              <w:jc w:val="center"/>
              <w:rPr>
                <w:rFonts w:ascii="黑体" w:hAnsi="黑体" w:eastAsia="黑体" w:cs="Times New Roman"/>
                <w:bCs/>
                <w:snapToGrid w:val="0"/>
                <w:kern w:val="0"/>
                <w:sz w:val="24"/>
                <w:szCs w:val="24"/>
              </w:rPr>
            </w:pPr>
            <w:r>
              <w:rPr>
                <w:rFonts w:hint="eastAsia" w:ascii="黑体" w:hAnsi="黑体" w:eastAsia="黑体" w:cs="Times New Roman"/>
                <w:bCs/>
                <w:snapToGrid w:val="0"/>
                <w:kern w:val="0"/>
                <w:sz w:val="24"/>
                <w:szCs w:val="24"/>
              </w:rPr>
              <w:t>专栏  ：基层群众体育赛事重点工作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1" w:hRule="atLeast"/>
          <w:jc w:val="center"/>
        </w:trPr>
        <w:tc>
          <w:tcPr>
            <w:tcW w:w="8789" w:type="dxa"/>
            <w:vAlign w:val="center"/>
          </w:tcPr>
          <w:p>
            <w:pPr>
              <w:pStyle w:val="17"/>
              <w:numPr>
                <w:ilvl w:val="0"/>
                <w:numId w:val="1"/>
              </w:numPr>
              <w:ind w:left="0" w:firstLine="418" w:firstLineChars="190"/>
              <w:rPr>
                <w:rFonts w:ascii="仿宋_GB2312" w:hAnsi="楷体"/>
                <w:bCs/>
                <w:sz w:val="22"/>
              </w:rPr>
            </w:pPr>
            <w:r>
              <w:rPr>
                <w:rFonts w:hint="eastAsia" w:ascii="仿宋_GB2312" w:hAnsi="楷体"/>
                <w:bCs/>
                <w:sz w:val="22"/>
              </w:rPr>
              <w:t>以“社区运动会”为龙头，打造具有区域特色、影响力大、可持续发展的公益性群众体育赛事活动。市级至少打造10个以上、每个区市至少打造5个以上不同层次和类型的公益性群众体育赛事活动，并形成届次。</w:t>
            </w:r>
          </w:p>
          <w:p>
            <w:pPr>
              <w:pStyle w:val="17"/>
              <w:numPr>
                <w:ilvl w:val="2"/>
                <w:numId w:val="1"/>
              </w:numPr>
              <w:tabs>
                <w:tab w:val="left" w:pos="360"/>
              </w:tabs>
              <w:ind w:left="0" w:firstLine="418" w:firstLineChars="190"/>
              <w:jc w:val="left"/>
              <w:rPr>
                <w:rFonts w:ascii="仿宋_GB2312" w:hAnsi="仿宋_GB2312" w:cs="仿宋_GB2312" w:eastAsiaTheme="minorEastAsia"/>
                <w:bCs/>
                <w:snapToGrid w:val="0"/>
                <w:kern w:val="0"/>
                <w:sz w:val="22"/>
              </w:rPr>
            </w:pPr>
            <w:r>
              <w:rPr>
                <w:rFonts w:hint="eastAsia" w:ascii="仿宋_GB2312" w:hAnsi="楷体"/>
                <w:bCs/>
                <w:sz w:val="22"/>
              </w:rPr>
              <w:t>依托节假日，大力组织开展健康跑、健步行、骑行、登山、徒步、游泳、球类、广场舞等群众性体育赛事活动。街道（乡镇）每年举办4次以上群众体育赛事活动（其中至少1次国家体育锻炼标准达标测验活动），行政村（社区）每年举办2次以上群众体育赛事活动。</w:t>
            </w:r>
          </w:p>
        </w:tc>
      </w:tr>
    </w:tbl>
    <w:p>
      <w:pPr>
        <w:ind w:firstLine="640"/>
        <w:rPr>
          <w:rFonts w:ascii="仿宋_GB2312" w:hAnsi="仿宋"/>
          <w:bCs/>
          <w:szCs w:val="32"/>
        </w:rPr>
      </w:pPr>
    </w:p>
    <w:p>
      <w:pPr>
        <w:ind w:firstLine="640"/>
        <w:outlineLvl w:val="1"/>
        <w:rPr>
          <w:rFonts w:ascii="楷体" w:hAnsi="楷体" w:eastAsia="楷体"/>
          <w:bCs/>
          <w:szCs w:val="32"/>
        </w:rPr>
      </w:pPr>
      <w:bookmarkStart w:id="19" w:name="_Toc62630907"/>
      <w:bookmarkStart w:id="20" w:name="_Toc66174900"/>
      <w:r>
        <w:rPr>
          <w:rFonts w:hint="eastAsia" w:ascii="楷体" w:hAnsi="楷体" w:eastAsia="楷体"/>
          <w:bCs/>
          <w:szCs w:val="32"/>
        </w:rPr>
        <w:t>（四）加强科学健身指导</w:t>
      </w:r>
      <w:bookmarkEnd w:id="19"/>
      <w:bookmarkEnd w:id="20"/>
    </w:p>
    <w:p>
      <w:pPr>
        <w:ind w:firstLine="640"/>
        <w:rPr>
          <w:rFonts w:ascii="仿宋" w:hAnsi="仿宋" w:eastAsia="仿宋"/>
          <w:bCs/>
          <w:szCs w:val="32"/>
        </w:rPr>
      </w:pPr>
      <w:r>
        <w:rPr>
          <w:rFonts w:hint="eastAsia" w:ascii="仿宋_GB2312" w:hAnsi="仿宋"/>
          <w:bCs/>
          <w:szCs w:val="32"/>
        </w:rPr>
        <w:t>加强体质监测硬件基础设施建设，推行国家体育锻炼标准和运动水平等级标准检测，到2025年城乡居民《国民体质测定标准》合格率达到95.5%。编制健康青岛全民健身行动方案，广泛开展全民健身示范区（市）和“十百千万”健康大使评选，推进全民健身与全民健康深度融合。推行《青岛市全民健身“运动处方”推广手册》，开展运动处方培训。建立体医融合专家队伍，深入农村、社区、机关、学校，针对不同人群开展运动伤病预防、运动康复知识宣讲，开展医疗诊断治疗，出具运动处方，传授运动康复手段和方法。建立针对不同人群、不同环境、不同身体状况的运动处方库，将运动处方、个性化健身指导与家庭医生签约服务、健康教育、慢病管理等相结合，为群众提供个性化的</w:t>
      </w:r>
      <w:r>
        <w:rPr>
          <w:rFonts w:hint="eastAsia" w:ascii="仿宋" w:hAnsi="仿宋" w:eastAsia="仿宋"/>
          <w:bCs/>
          <w:szCs w:val="32"/>
        </w:rPr>
        <w:t>健身指导服务，打造体医融合示范社区。</w:t>
      </w:r>
    </w:p>
    <w:p>
      <w:pPr>
        <w:ind w:firstLine="640"/>
        <w:outlineLvl w:val="1"/>
        <w:rPr>
          <w:rFonts w:ascii="楷体" w:hAnsi="楷体" w:eastAsia="楷体"/>
          <w:bCs/>
          <w:szCs w:val="32"/>
        </w:rPr>
      </w:pPr>
      <w:bookmarkStart w:id="21" w:name="_Toc66174901"/>
      <w:bookmarkStart w:id="22" w:name="_Toc62630908"/>
      <w:r>
        <w:rPr>
          <w:rFonts w:hint="eastAsia" w:ascii="楷体" w:hAnsi="楷体" w:eastAsia="楷体"/>
          <w:bCs/>
          <w:szCs w:val="32"/>
        </w:rPr>
        <w:t>（五）推动全民健身家庭化、智慧化发展</w:t>
      </w:r>
      <w:bookmarkEnd w:id="21"/>
    </w:p>
    <w:bookmarkEnd w:id="22"/>
    <w:p>
      <w:pPr>
        <w:ind w:firstLine="640"/>
        <w:rPr>
          <w:rFonts w:ascii="仿宋_GB2312" w:hAnsi="仿宋"/>
          <w:bCs/>
          <w:szCs w:val="32"/>
        </w:rPr>
      </w:pPr>
      <w:r>
        <w:rPr>
          <w:rFonts w:hint="eastAsia" w:ascii="仿宋_GB2312" w:hAnsi="仿宋"/>
          <w:bCs/>
          <w:szCs w:val="32"/>
        </w:rPr>
        <w:t>推广居家健身新模式，倡导全民健身新时尚。充分发挥电视、广播、报刊、互联网等媒体宣传作用，开辟健身指导、知识普及、项目推广等专题专栏，提高公民科学健身素养。借助全民健身运动会、全民健身日和各级各类体育赛事活动加强宣传，倡导开展“运动是良医”“终身体育”教育引导，线上线下相结合、居家户外相补充，推动全民健身进家庭、进单位，动员社会各界积极参加全民健身，在全社会营造全民健身人人参与的浓厚氛围。</w:t>
      </w:r>
      <w:bookmarkStart w:id="23" w:name="_Toc62819730"/>
      <w:r>
        <w:rPr>
          <w:rFonts w:hint="eastAsia" w:ascii="仿宋_GB2312" w:hAnsi="仿宋"/>
          <w:bCs/>
          <w:szCs w:val="32"/>
        </w:rPr>
        <w:t>打造市、区两级智慧体育公共服务平台，实现信息资源互联互通、共建共享，促进全民健身网络化、数据化、智慧化发展。</w:t>
      </w:r>
      <w:bookmarkEnd w:id="23"/>
    </w:p>
    <w:p>
      <w:pPr>
        <w:ind w:firstLine="640"/>
        <w:rPr>
          <w:rFonts w:ascii="仿宋" w:hAnsi="仿宋" w:eastAsia="仿宋"/>
          <w:bCs/>
          <w:szCs w:val="32"/>
        </w:rPr>
      </w:pPr>
    </w:p>
    <w:p>
      <w:pPr>
        <w:spacing w:line="240" w:lineRule="auto"/>
        <w:ind w:firstLine="640"/>
        <w:outlineLvl w:val="0"/>
        <w:rPr>
          <w:rFonts w:ascii="黑体" w:hAnsi="黑体" w:eastAsia="黑体"/>
          <w:bCs/>
          <w:szCs w:val="32"/>
        </w:rPr>
      </w:pPr>
      <w:bookmarkStart w:id="24" w:name="_Toc62630909"/>
      <w:bookmarkStart w:id="25" w:name="_Toc66174902"/>
      <w:r>
        <w:rPr>
          <w:rFonts w:hint="eastAsia" w:ascii="黑体" w:hAnsi="黑体" w:eastAsia="黑体"/>
          <w:bCs/>
          <w:szCs w:val="32"/>
        </w:rPr>
        <w:t>五、大力实施奥运争光计划，</w:t>
      </w:r>
      <w:bookmarkEnd w:id="24"/>
      <w:r>
        <w:rPr>
          <w:rFonts w:hint="eastAsia" w:ascii="黑体" w:hAnsi="黑体" w:eastAsia="黑体"/>
          <w:bCs/>
          <w:szCs w:val="32"/>
        </w:rPr>
        <w:t>打造国家竞技体育人才输出中心</w:t>
      </w:r>
      <w:bookmarkEnd w:id="25"/>
    </w:p>
    <w:p>
      <w:pPr>
        <w:ind w:firstLine="640"/>
        <w:rPr>
          <w:rFonts w:ascii="黑体" w:hAnsi="黑体" w:eastAsia="黑体"/>
          <w:bCs/>
          <w:szCs w:val="32"/>
        </w:rPr>
      </w:pPr>
    </w:p>
    <w:p>
      <w:pPr>
        <w:ind w:firstLine="640"/>
        <w:rPr>
          <w:rFonts w:ascii="仿宋_GB2312" w:hAnsi="仿宋"/>
          <w:bCs/>
          <w:szCs w:val="32"/>
        </w:rPr>
      </w:pPr>
      <w:r>
        <w:rPr>
          <w:rFonts w:hint="eastAsia" w:ascii="仿宋_GB2312" w:hAnsi="仿宋"/>
          <w:bCs/>
          <w:szCs w:val="32"/>
        </w:rPr>
        <w:t>坚持以奥运统领亚运、全运带动青运、省运布局市运，以赛促训，优化竞技赛事项目结构与布局，完善竞技体育孵化体系，创新竞技体育发展模式。打好“体教融合攻坚战”，增强竞技体育选培能力，畅通人才输送渠道，提高高水平后备人才输送数量和质量，提升对国家和省竞技体育发展的贡献度。</w:t>
      </w:r>
    </w:p>
    <w:p>
      <w:pPr>
        <w:ind w:firstLine="640"/>
        <w:outlineLvl w:val="1"/>
        <w:rPr>
          <w:rFonts w:ascii="楷体" w:hAnsi="楷体" w:eastAsia="楷体"/>
          <w:bCs/>
          <w:szCs w:val="32"/>
        </w:rPr>
      </w:pPr>
      <w:bookmarkStart w:id="26" w:name="_Toc62630910"/>
      <w:bookmarkStart w:id="27" w:name="_Toc66174903"/>
      <w:r>
        <w:rPr>
          <w:rFonts w:hint="eastAsia" w:ascii="楷体" w:hAnsi="楷体" w:eastAsia="楷体"/>
          <w:bCs/>
          <w:szCs w:val="32"/>
        </w:rPr>
        <w:t>（一）完成重大体育赛事任务</w:t>
      </w:r>
      <w:bookmarkEnd w:id="26"/>
      <w:bookmarkEnd w:id="27"/>
    </w:p>
    <w:p>
      <w:pPr>
        <w:ind w:firstLine="640"/>
        <w:rPr>
          <w:rFonts w:ascii="仿宋_GB2312" w:hAnsi="仿宋"/>
          <w:bCs/>
          <w:szCs w:val="32"/>
        </w:rPr>
      </w:pPr>
      <w:r>
        <w:rPr>
          <w:rFonts w:hint="eastAsia" w:ascii="仿宋_GB2312" w:hAnsi="仿宋"/>
          <w:bCs/>
          <w:szCs w:val="32"/>
        </w:rPr>
        <w:t>全力做好2021年东京奥运会、2022年北京冬奥会和2024年巴黎奥运会的备战参赛工作。优化人才选拔、培养、输送工作，合理统筹，靠前保障，力争奥运成绩实现递增和突破。全力备战第25届省运会，办好青岛市第5届和第6届运动会，积极推进2021年第14届全运会、2022年第19届亚运会、2023年第3届青运会、2024年第15届冬运会、2025年第15届全运会运动员选拔和梯队建设，力争运动成绩位于国内同类城市前列。</w:t>
      </w:r>
    </w:p>
    <w:p>
      <w:pPr>
        <w:ind w:firstLine="640"/>
        <w:outlineLvl w:val="1"/>
        <w:rPr>
          <w:rFonts w:ascii="楷体" w:hAnsi="楷体" w:eastAsia="楷体"/>
          <w:bCs/>
          <w:szCs w:val="32"/>
        </w:rPr>
      </w:pPr>
      <w:bookmarkStart w:id="28" w:name="_Toc62630911"/>
      <w:bookmarkStart w:id="29" w:name="_Toc66174904"/>
      <w:r>
        <w:rPr>
          <w:rFonts w:hint="eastAsia" w:ascii="楷体" w:hAnsi="楷体" w:eastAsia="楷体"/>
          <w:bCs/>
          <w:szCs w:val="32"/>
        </w:rPr>
        <w:t>（二）</w:t>
      </w:r>
      <w:bookmarkEnd w:id="28"/>
      <w:r>
        <w:rPr>
          <w:rFonts w:hint="eastAsia" w:ascii="楷体" w:hAnsi="楷体" w:eastAsia="楷体"/>
          <w:bCs/>
          <w:szCs w:val="32"/>
        </w:rPr>
        <w:t>优化项目结构和布局</w:t>
      </w:r>
      <w:bookmarkEnd w:id="29"/>
    </w:p>
    <w:p>
      <w:pPr>
        <w:ind w:firstLine="640"/>
        <w:rPr>
          <w:rFonts w:ascii="仿宋_GB2312" w:hAnsi="仿宋"/>
          <w:bCs/>
          <w:szCs w:val="32"/>
        </w:rPr>
      </w:pPr>
      <w:r>
        <w:rPr>
          <w:rFonts w:hint="eastAsia" w:ascii="仿宋_GB2312" w:hAnsi="仿宋"/>
          <w:bCs/>
          <w:szCs w:val="32"/>
        </w:rPr>
        <w:t>着眼强化奥运争光能力和全运夺金能力，实施“重点、加快、突破、培育”梯次发展战略，做好项目发展规划。深入普及田径、游泳、帆船等传统优势项目。加强“三大球”项目发展，积极探索符合青岛实际的足球发展新思路和管理模式。实施“冬季项目后备人才培养工程”，着力打造“冰雪之岛”。加大对社会力量办体育的政策支持，联动体育总会，加强对联办基地、后备人才基地、单项协会、社会俱乐部等组织的管理，完善高水平体育后备人才基地三级网络和考评体系。挖掘区市潜能，优化项目布局，补齐项目短板，提高优势项目核心竞争力。</w:t>
      </w:r>
    </w:p>
    <w:tbl>
      <w:tblPr>
        <w:tblStyle w:val="10"/>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789" w:type="dxa"/>
            <w:shd w:val="clear" w:color="auto" w:fill="auto"/>
            <w:vAlign w:val="bottom"/>
          </w:tcPr>
          <w:p>
            <w:pPr>
              <w:widowControl/>
              <w:adjustRightInd w:val="0"/>
              <w:snapToGrid w:val="0"/>
              <w:spacing w:line="240" w:lineRule="auto"/>
              <w:ind w:firstLine="480" w:firstLineChars="0"/>
              <w:jc w:val="center"/>
              <w:rPr>
                <w:rFonts w:ascii="黑体" w:hAnsi="黑体" w:eastAsia="黑体" w:cs="Times New Roman"/>
                <w:bCs/>
                <w:snapToGrid w:val="0"/>
                <w:kern w:val="0"/>
                <w:sz w:val="24"/>
                <w:szCs w:val="24"/>
              </w:rPr>
            </w:pPr>
            <w:r>
              <w:rPr>
                <w:rFonts w:hint="eastAsia" w:ascii="黑体" w:hAnsi="黑体" w:eastAsia="黑体" w:cs="Times New Roman"/>
                <w:bCs/>
                <w:snapToGrid w:val="0"/>
                <w:kern w:val="0"/>
                <w:sz w:val="24"/>
                <w:szCs w:val="24"/>
              </w:rPr>
              <w:t>专栏  ：竞技体育项目梯次发展战略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789" w:type="dxa"/>
            <w:vAlign w:val="center"/>
          </w:tcPr>
          <w:p>
            <w:pPr>
              <w:pStyle w:val="17"/>
              <w:numPr>
                <w:ilvl w:val="2"/>
                <w:numId w:val="1"/>
              </w:numPr>
              <w:tabs>
                <w:tab w:val="left" w:pos="360"/>
              </w:tabs>
              <w:ind w:left="0" w:firstLine="418" w:firstLineChars="190"/>
              <w:jc w:val="left"/>
              <w:rPr>
                <w:rFonts w:ascii="仿宋_GB2312" w:hAnsi="仿宋_GB2312" w:cs="仿宋_GB2312" w:eastAsiaTheme="minorEastAsia"/>
                <w:bCs/>
                <w:snapToGrid w:val="0"/>
                <w:kern w:val="0"/>
                <w:sz w:val="22"/>
              </w:rPr>
            </w:pPr>
            <w:r>
              <w:rPr>
                <w:rFonts w:hint="eastAsia" w:ascii="仿宋_GB2312" w:hAnsi="仿宋_GB2312" w:cs="仿宋_GB2312" w:eastAsiaTheme="minorEastAsia"/>
                <w:bCs/>
                <w:snapToGrid w:val="0"/>
                <w:kern w:val="0"/>
                <w:sz w:val="22"/>
              </w:rPr>
              <w:t>重点发展田径、游泳2个基础大项，足球、篮球、排球3个大球项目，短道速滑1个冰雪项目，乒乓球、羽毛球、射击3个国家奥运优势项目和射箭、帆船（板）、柔道3个青岛传统优势项目。</w:t>
            </w:r>
          </w:p>
          <w:p>
            <w:pPr>
              <w:pStyle w:val="17"/>
              <w:numPr>
                <w:ilvl w:val="2"/>
                <w:numId w:val="1"/>
              </w:numPr>
              <w:tabs>
                <w:tab w:val="left" w:pos="360"/>
              </w:tabs>
              <w:ind w:left="0" w:firstLine="418" w:firstLineChars="190"/>
              <w:jc w:val="left"/>
              <w:rPr>
                <w:rFonts w:ascii="仿宋_GB2312" w:hAnsi="仿宋_GB2312" w:cs="仿宋_GB2312" w:eastAsiaTheme="minorEastAsia"/>
                <w:bCs/>
                <w:snapToGrid w:val="0"/>
                <w:kern w:val="0"/>
                <w:sz w:val="22"/>
              </w:rPr>
            </w:pPr>
            <w:r>
              <w:rPr>
                <w:rFonts w:hint="eastAsia" w:ascii="仿宋_GB2312" w:hAnsi="仿宋_GB2312" w:cs="仿宋_GB2312" w:eastAsiaTheme="minorEastAsia"/>
                <w:bCs/>
                <w:snapToGrid w:val="0"/>
                <w:kern w:val="0"/>
                <w:sz w:val="22"/>
              </w:rPr>
              <w:t>加快发展体操（蹦床）、举重2个国家奥运优势项目，击剑、跆拳道2个国家潜优项目和皮艇、赛艇、自行车、国际式摔跤、橄榄球、现代五项6个青岛潜优项目。</w:t>
            </w:r>
          </w:p>
          <w:p>
            <w:pPr>
              <w:pStyle w:val="17"/>
              <w:numPr>
                <w:ilvl w:val="2"/>
                <w:numId w:val="1"/>
              </w:numPr>
              <w:tabs>
                <w:tab w:val="left" w:pos="360"/>
              </w:tabs>
              <w:ind w:left="0" w:firstLine="418" w:firstLineChars="190"/>
              <w:jc w:val="left"/>
              <w:rPr>
                <w:rFonts w:ascii="仿宋_GB2312" w:hAnsi="仿宋_GB2312" w:cs="仿宋_GB2312" w:eastAsiaTheme="minorEastAsia"/>
                <w:bCs/>
                <w:snapToGrid w:val="0"/>
                <w:kern w:val="0"/>
                <w:sz w:val="22"/>
              </w:rPr>
            </w:pPr>
            <w:r>
              <w:rPr>
                <w:rFonts w:hint="eastAsia" w:ascii="仿宋_GB2312" w:hAnsi="仿宋_GB2312" w:cs="仿宋_GB2312" w:eastAsiaTheme="minorEastAsia"/>
                <w:bCs/>
                <w:snapToGrid w:val="0"/>
                <w:kern w:val="0"/>
                <w:sz w:val="22"/>
              </w:rPr>
              <w:t>突破发展跳水、划艇、武术（套路、散打）、手球、拳击、网球6个项目。</w:t>
            </w:r>
          </w:p>
          <w:p>
            <w:pPr>
              <w:pStyle w:val="17"/>
              <w:numPr>
                <w:ilvl w:val="2"/>
                <w:numId w:val="1"/>
              </w:numPr>
              <w:tabs>
                <w:tab w:val="left" w:pos="360"/>
              </w:tabs>
              <w:ind w:left="0" w:firstLine="418" w:firstLineChars="190"/>
              <w:jc w:val="left"/>
              <w:rPr>
                <w:rFonts w:ascii="仿宋_GB2312" w:hAnsi="仿宋_GB2312" w:cs="仿宋_GB2312" w:eastAsiaTheme="minorEastAsia"/>
                <w:bCs/>
                <w:snapToGrid w:val="0"/>
                <w:kern w:val="0"/>
                <w:sz w:val="22"/>
              </w:rPr>
            </w:pPr>
            <w:r>
              <w:rPr>
                <w:rFonts w:hint="eastAsia" w:ascii="仿宋_GB2312" w:hAnsi="仿宋_GB2312" w:cs="仿宋_GB2312" w:eastAsiaTheme="minorEastAsia"/>
                <w:bCs/>
                <w:snapToGrid w:val="0"/>
                <w:kern w:val="0"/>
                <w:sz w:val="22"/>
              </w:rPr>
              <w:t>培育发展空手道、冲浪、攀岩、滑板4个奥运会新上时尚项目，激流回旋1个省运会新上项目，马术、高尔夫、棒（垒）球3个省运会表演项目，以及花样滑冰等冰雪项目。</w:t>
            </w:r>
          </w:p>
        </w:tc>
      </w:tr>
    </w:tbl>
    <w:p>
      <w:pPr>
        <w:ind w:firstLine="640"/>
        <w:outlineLvl w:val="1"/>
        <w:rPr>
          <w:rFonts w:ascii="楷体" w:hAnsi="楷体" w:eastAsia="楷体"/>
          <w:bCs/>
          <w:szCs w:val="32"/>
        </w:rPr>
      </w:pPr>
      <w:bookmarkStart w:id="30" w:name="_Toc66174905"/>
      <w:r>
        <w:rPr>
          <w:rFonts w:hint="eastAsia" w:ascii="楷体" w:hAnsi="楷体" w:eastAsia="楷体"/>
          <w:bCs/>
          <w:szCs w:val="32"/>
        </w:rPr>
        <w:t>（三）加强青少年体育工作</w:t>
      </w:r>
      <w:bookmarkEnd w:id="30"/>
    </w:p>
    <w:p>
      <w:pPr>
        <w:ind w:firstLine="640"/>
        <w:rPr>
          <w:rFonts w:ascii="仿宋" w:hAnsi="仿宋" w:eastAsia="仿宋"/>
          <w:bCs/>
          <w:szCs w:val="32"/>
        </w:rPr>
      </w:pPr>
      <w:r>
        <w:rPr>
          <w:rFonts w:hint="eastAsia" w:ascii="仿宋" w:hAnsi="仿宋" w:eastAsia="仿宋"/>
          <w:bCs/>
          <w:szCs w:val="32"/>
        </w:rPr>
        <w:t>全方位开展体教融合。制定青岛市《关于进一步深化体教融合促进青少年健康发展的实施意见》。建立青少年体育项目推广目录库，创新竞技体育人才发现机制，让更多优秀运动员从学校走出来。全力支持、配合教育部门开展“一校一品”、“一校多品”校园体育建设，孵化教体联合办赛新模式。按照体教融合“一体化设计、一体化推进”工作目标，推进区（市）体育运动学校改革，优化场地设施供给、教学服务和师资力量配备，鼓励教练员、教师在体教一线双向流动，畅通退役运动员进入学校兼职、入职和培训通道。推动社会体育俱乐部进校园，建立衔接有序的社会体育俱乐部竞赛、训练和培训体系。支持社会体育组织为学校体育活动提供指导，普及体育运动技能。</w:t>
      </w:r>
    </w:p>
    <w:p>
      <w:pPr>
        <w:ind w:firstLine="640"/>
        <w:rPr>
          <w:rFonts w:ascii="仿宋" w:hAnsi="仿宋" w:eastAsia="仿宋"/>
          <w:bCs/>
          <w:szCs w:val="32"/>
        </w:rPr>
      </w:pPr>
      <w:r>
        <w:rPr>
          <w:rFonts w:hint="eastAsia" w:ascii="仿宋" w:hAnsi="仿宋" w:eastAsia="仿宋"/>
          <w:bCs/>
          <w:szCs w:val="32"/>
        </w:rPr>
        <w:t>加强青少年人才培养。健全训练单位、学校、家庭与社会密切融合的多元化选材培训机制，完善从小学、中学、高中到大学以及区（市）体校和体育俱乐部、市级运动队到高水平运动队的“一条龙”体育后备人才培养网络，推动竞技体育、学校体育和社会体育相互贯通，拓宽运动员的成长路径。加强高水平运动队建设，完善“训科医管服”功能，打造复合型教练团队，逐步建立“科研、医务、心理、体能、康复”五位一体的综合性科医保障体系。探索和推广人工智能、可穿戴电子设备等在日常训练、体育比赛中的应用。鼓励支持体育专项特色学校承担市级运动队建设任务。组织开展青少年体育冬夏令营，丰富赛事资源，完善立体竞赛体系，提高青少年体育人才竞技水平。</w:t>
      </w:r>
    </w:p>
    <w:p>
      <w:pPr>
        <w:ind w:firstLine="640"/>
        <w:outlineLvl w:val="1"/>
        <w:rPr>
          <w:rFonts w:ascii="楷体" w:hAnsi="楷体" w:eastAsia="楷体"/>
          <w:bCs/>
          <w:szCs w:val="32"/>
        </w:rPr>
      </w:pPr>
      <w:bookmarkStart w:id="31" w:name="_Toc66174906"/>
      <w:r>
        <w:rPr>
          <w:rFonts w:hint="eastAsia" w:ascii="楷体" w:hAnsi="楷体" w:eastAsia="楷体"/>
          <w:bCs/>
          <w:szCs w:val="32"/>
        </w:rPr>
        <w:t>（四）加大高水平后备人才输送力度</w:t>
      </w:r>
      <w:bookmarkEnd w:id="31"/>
    </w:p>
    <w:p>
      <w:pPr>
        <w:ind w:firstLine="640"/>
        <w:rPr>
          <w:rFonts w:ascii="仿宋" w:hAnsi="仿宋" w:eastAsia="仿宋"/>
          <w:bCs/>
          <w:szCs w:val="32"/>
        </w:rPr>
      </w:pPr>
      <w:r>
        <w:rPr>
          <w:rFonts w:hint="eastAsia" w:ascii="仿宋" w:hAnsi="仿宋" w:eastAsia="仿宋"/>
          <w:bCs/>
          <w:szCs w:val="32"/>
        </w:rPr>
        <w:t>完善优秀运动员、教练员激励政策，吸引全国顶尖体育人才参与青岛竞技体育发展。加强城市、高校和体育社会团体项目合作和资源置换，布局全国横向输送网点。增数提质、优选优送，做好向国家队、省队输送高水平运动员和教练员的保障工作。积极参与承接国家队和省队在青训练、设立基地及办赛等任务，争取国家队和省队有关项目的夏训基地落户青岛，畅通“向上”输送能力。</w:t>
      </w:r>
    </w:p>
    <w:p>
      <w:pPr>
        <w:ind w:firstLine="640"/>
        <w:rPr>
          <w:rFonts w:ascii="仿宋" w:hAnsi="仿宋" w:eastAsia="仿宋"/>
          <w:bCs/>
          <w:szCs w:val="32"/>
        </w:rPr>
      </w:pPr>
    </w:p>
    <w:p>
      <w:pPr>
        <w:ind w:firstLine="640"/>
        <w:outlineLvl w:val="0"/>
        <w:rPr>
          <w:rFonts w:ascii="黑体" w:hAnsi="黑体" w:eastAsia="黑体"/>
          <w:bCs/>
          <w:szCs w:val="32"/>
        </w:rPr>
      </w:pPr>
      <w:bookmarkStart w:id="32" w:name="_Toc66174907"/>
      <w:r>
        <w:rPr>
          <w:rFonts w:ascii="黑体" w:hAnsi="黑体" w:eastAsia="黑体"/>
          <w:bCs/>
          <w:szCs w:val="32"/>
        </w:rPr>
        <w:t>六</w:t>
      </w:r>
      <w:r>
        <w:rPr>
          <w:rFonts w:hint="eastAsia" w:ascii="黑体" w:hAnsi="黑体" w:eastAsia="黑体"/>
          <w:bCs/>
          <w:szCs w:val="32"/>
        </w:rPr>
        <w:t>、加大赛事招引培育力度，</w:t>
      </w:r>
      <w:r>
        <w:rPr>
          <w:rFonts w:ascii="黑体" w:hAnsi="黑体" w:eastAsia="黑体"/>
          <w:bCs/>
          <w:szCs w:val="32"/>
        </w:rPr>
        <w:t>建设国家体育赛事中心</w:t>
      </w:r>
      <w:bookmarkEnd w:id="32"/>
    </w:p>
    <w:p>
      <w:pPr>
        <w:ind w:firstLine="640"/>
        <w:rPr>
          <w:rFonts w:ascii="仿宋" w:hAnsi="仿宋" w:eastAsia="仿宋"/>
          <w:bCs/>
          <w:szCs w:val="32"/>
        </w:rPr>
      </w:pPr>
    </w:p>
    <w:p>
      <w:pPr>
        <w:ind w:firstLine="640"/>
        <w:rPr>
          <w:rFonts w:ascii="仿宋" w:hAnsi="仿宋" w:eastAsia="仿宋"/>
          <w:bCs/>
          <w:szCs w:val="32"/>
        </w:rPr>
      </w:pPr>
      <w:r>
        <w:rPr>
          <w:rFonts w:hint="eastAsia" w:ascii="仿宋" w:hAnsi="仿宋" w:eastAsia="仿宋"/>
          <w:bCs/>
          <w:szCs w:val="32"/>
        </w:rPr>
        <w:t>着力招引国内外重大体育赛事，提升自主品牌赛事品质，优化赛事格局。不断提高观赛体验，扩大市民的赛事参与度，塑造新时代青岛城市精神。充分释放体育赛事在带动产业发展、激发城市活力等方面的独特作用，加快建成国家体育赛事中心。</w:t>
      </w:r>
    </w:p>
    <w:p>
      <w:pPr>
        <w:ind w:firstLine="640"/>
        <w:outlineLvl w:val="1"/>
        <w:rPr>
          <w:rFonts w:ascii="楷体" w:hAnsi="楷体" w:eastAsia="楷体"/>
          <w:bCs/>
          <w:szCs w:val="32"/>
        </w:rPr>
      </w:pPr>
      <w:bookmarkStart w:id="33" w:name="_Toc66174908"/>
      <w:r>
        <w:rPr>
          <w:rFonts w:hint="eastAsia" w:ascii="楷体" w:hAnsi="楷体" w:eastAsia="楷体"/>
          <w:bCs/>
          <w:szCs w:val="32"/>
        </w:rPr>
        <w:t>（一）承办国际国内高端赛事</w:t>
      </w:r>
      <w:bookmarkEnd w:id="33"/>
    </w:p>
    <w:p>
      <w:pPr>
        <w:ind w:firstLine="640"/>
        <w:rPr>
          <w:rFonts w:ascii="仿宋" w:hAnsi="仿宋" w:eastAsia="仿宋"/>
          <w:bCs/>
          <w:szCs w:val="32"/>
        </w:rPr>
      </w:pPr>
      <w:r>
        <w:rPr>
          <w:rFonts w:hint="eastAsia" w:ascii="仿宋" w:hAnsi="仿宋" w:eastAsia="仿宋"/>
          <w:bCs/>
          <w:szCs w:val="32"/>
        </w:rPr>
        <w:t>办好</w:t>
      </w:r>
      <w:r>
        <w:rPr>
          <w:rFonts w:hint="eastAsia" w:ascii="仿宋_GB2312" w:hAnsi="仿宋"/>
          <w:bCs/>
          <w:szCs w:val="32"/>
        </w:rPr>
        <w:t>2023亚洲杯足球赛、</w:t>
      </w:r>
      <w:r>
        <w:rPr>
          <w:rFonts w:hint="eastAsia" w:ascii="仿宋" w:hAnsi="仿宋" w:eastAsia="仿宋"/>
          <w:bCs/>
          <w:szCs w:val="32"/>
        </w:rPr>
        <w:t>克利伯环球帆船赛（青岛站）、中国女篮国际挑战赛、歌德杯世界青少年足球赛，举办城市俱乐部国际帆船赛（CCOR）、第九届青岛国际武术节、2021 年国际友好城市网球邀请赛，积极申办</w:t>
      </w:r>
      <w:r>
        <w:rPr>
          <w:rFonts w:hint="eastAsia" w:ascii="仿宋_GB2312" w:hAnsi="仿宋"/>
          <w:bCs/>
          <w:szCs w:val="32"/>
        </w:rPr>
        <w:t>世界杯预选赛、奥运会预选赛、</w:t>
      </w:r>
      <w:r>
        <w:rPr>
          <w:rFonts w:hint="eastAsia" w:ascii="仿宋" w:hAnsi="仿宋" w:eastAsia="仿宋"/>
          <w:bCs/>
          <w:szCs w:val="32"/>
        </w:rPr>
        <w:t>世界智力运动会、美洲杯帆船赛、2022 年激光雷迪尔级帆船世界锦标赛</w:t>
      </w:r>
      <w:r>
        <w:rPr>
          <w:rFonts w:hint="eastAsia" w:ascii="仿宋_GB2312" w:hAnsi="仿宋"/>
          <w:bCs/>
          <w:szCs w:val="32"/>
        </w:rPr>
        <w:t>等国际比赛</w:t>
      </w:r>
      <w:r>
        <w:rPr>
          <w:rFonts w:hint="eastAsia" w:ascii="仿宋" w:hAnsi="仿宋" w:eastAsia="仿宋"/>
          <w:bCs/>
          <w:szCs w:val="32"/>
        </w:rPr>
        <w:t>。举办CBA 全明星周末、全国游泳冠军赛、全国击剑冠军赛、中国击剑俱乐部联赛、中国家庭帆船赛、全国 U 系列田径通讯赛青岛站、全国触式橄榄球分区赛、全国沙滩橄榄球分站赛、中国青少年壁球公开赛、全国青少年游泳 U 系列比赛（青岛站）、全国短道速滑联赛、全国花样滑冰冠军赛。引进和承办全国壁球俱乐部联赛总决赛、中国（青岛）国际武术大会。</w:t>
      </w:r>
      <w:r>
        <w:rPr>
          <w:rFonts w:hint="eastAsia" w:ascii="仿宋_GB2312" w:hAnsi="仿宋"/>
          <w:bCs/>
          <w:szCs w:val="32"/>
        </w:rPr>
        <w:t>积极挖掘高端赛事的潜在资源，持续放大赛事综合效应，发挥赛事对餐饮、住宿、旅游、会展、文化创意等领域的拉动作用，提升城市功能和国际影响力。</w:t>
      </w:r>
    </w:p>
    <w:p>
      <w:pPr>
        <w:ind w:firstLine="640"/>
        <w:outlineLvl w:val="1"/>
        <w:rPr>
          <w:rFonts w:ascii="楷体" w:hAnsi="楷体" w:eastAsia="楷体"/>
          <w:bCs/>
          <w:szCs w:val="32"/>
        </w:rPr>
      </w:pPr>
      <w:bookmarkStart w:id="34" w:name="_Toc66174909"/>
      <w:r>
        <w:rPr>
          <w:rFonts w:hint="eastAsia" w:ascii="楷体" w:hAnsi="楷体" w:eastAsia="楷体"/>
          <w:bCs/>
          <w:szCs w:val="32"/>
        </w:rPr>
        <w:t>（二）擦亮青岛自主赛事品牌</w:t>
      </w:r>
      <w:bookmarkEnd w:id="34"/>
    </w:p>
    <w:p>
      <w:pPr>
        <w:ind w:firstLine="640"/>
        <w:rPr>
          <w:rFonts w:ascii="仿宋" w:hAnsi="仿宋" w:eastAsia="仿宋"/>
          <w:bCs/>
          <w:szCs w:val="32"/>
        </w:rPr>
      </w:pPr>
      <w:r>
        <w:rPr>
          <w:rFonts w:hint="eastAsia" w:ascii="仿宋" w:hAnsi="仿宋" w:eastAsia="仿宋"/>
          <w:bCs/>
          <w:szCs w:val="32"/>
        </w:rPr>
        <w:t>高水平办好青岛国际帆船周·青岛国际海洋节、青岛马拉松、海上马拉松。支持举办远东杯国际帆船拉力赛、国际名校帆船赛（中国·青岛）、崂山 100 公里国际山地越野挑战赛等自主品牌赛事。办好首届青澳国际帆船拉力赛，</w:t>
      </w:r>
      <w:r>
        <w:rPr>
          <w:rFonts w:hint="eastAsia" w:ascii="仿宋_GB2312" w:hAnsi="仿宋"/>
          <w:bCs/>
          <w:szCs w:val="32"/>
        </w:rPr>
        <w:t>高水平筹划中国海帆拉力赛，</w:t>
      </w:r>
      <w:r>
        <w:rPr>
          <w:rFonts w:hint="eastAsia" w:ascii="仿宋" w:hAnsi="仿宋" w:eastAsia="仿宋"/>
          <w:bCs/>
          <w:szCs w:val="32"/>
        </w:rPr>
        <w:t>构建沿海城市协同发展新格局。以胶东经济圈体育协同发展联盟为平台，组织胶东城市足球协会杯赛、足球协会俱乐部冠军联赛、胶东经济圈城市乒乓球比赛、山东半岛城市帆船赛、胶东五市五百英里新能源汽车拉力赛。以上合示范区为平台，举办上合组织国家国际象棋团体赛、上合示范区马拉松赛、</w:t>
      </w:r>
      <w:r>
        <w:rPr>
          <w:rFonts w:hint="eastAsia" w:ascii="仿宋_GB2312" w:hAnsi="仿宋"/>
          <w:bCs/>
          <w:szCs w:val="32"/>
        </w:rPr>
        <w:t>网球赛</w:t>
      </w:r>
      <w:r>
        <w:rPr>
          <w:rFonts w:hint="eastAsia" w:ascii="仿宋" w:hAnsi="仿宋" w:eastAsia="仿宋"/>
          <w:bCs/>
          <w:szCs w:val="32"/>
        </w:rPr>
        <w:t>。让市民有更多机会亲身参与体验精彩自主品牌赛事，提升城市凝聚力和市民荣誉感。</w:t>
      </w:r>
    </w:p>
    <w:p>
      <w:pPr>
        <w:ind w:firstLine="640"/>
        <w:outlineLvl w:val="1"/>
        <w:rPr>
          <w:rFonts w:ascii="楷体" w:hAnsi="楷体" w:eastAsia="楷体"/>
          <w:bCs/>
          <w:szCs w:val="32"/>
        </w:rPr>
      </w:pPr>
      <w:bookmarkStart w:id="35" w:name="_Toc66174910"/>
      <w:r>
        <w:rPr>
          <w:rFonts w:hint="eastAsia" w:ascii="楷体" w:hAnsi="楷体" w:eastAsia="楷体"/>
          <w:bCs/>
          <w:szCs w:val="32"/>
        </w:rPr>
        <w:t>（三）</w:t>
      </w:r>
      <w:bookmarkStart w:id="36" w:name="_Hlk65678975"/>
      <w:r>
        <w:rPr>
          <w:rFonts w:hint="eastAsia" w:ascii="楷体" w:hAnsi="楷体" w:eastAsia="楷体"/>
          <w:bCs/>
          <w:szCs w:val="32"/>
        </w:rPr>
        <w:t>打造周周有活动、月月有比赛</w:t>
      </w:r>
      <w:bookmarkEnd w:id="36"/>
      <w:r>
        <w:rPr>
          <w:rFonts w:hint="eastAsia" w:ascii="楷体" w:hAnsi="楷体" w:eastAsia="楷体"/>
          <w:bCs/>
          <w:szCs w:val="32"/>
        </w:rPr>
        <w:t>的群众体育赛事</w:t>
      </w:r>
      <w:bookmarkEnd w:id="35"/>
    </w:p>
    <w:p>
      <w:pPr>
        <w:ind w:firstLine="640"/>
        <w:rPr>
          <w:rFonts w:ascii="仿宋" w:hAnsi="仿宋" w:eastAsia="仿宋"/>
          <w:bCs/>
          <w:szCs w:val="32"/>
        </w:rPr>
      </w:pPr>
      <w:r>
        <w:rPr>
          <w:rFonts w:hint="eastAsia" w:ascii="仿宋" w:hAnsi="仿宋" w:eastAsia="仿宋"/>
          <w:bCs/>
          <w:szCs w:val="32"/>
        </w:rPr>
        <w:t>坚持政府主导、企业主体、协会参与、市场运作，每月推出 1 个体育节庆活动，打造青岛群众体育品牌，让市民天天想健身、节庆掀高潮、常年不断线。着眼群众多样化健身需求，组织“跑遍青岛”大型主题活动，以及全民健身日、社区健身节、社区运动会、登山节、“青岛球王”等系列赛，努力把赛事活动办到市民身边。体育部门带头健身，动员指导机关、企事业单位开展全民健身活动，推广针对不同年龄、不同性别、不同行业从业者参加的运动项目，增强全民健身参与度、受众面。每年市级全民健身活动不少于 90 项，区市级不少于 300 项，参与人数超过2000 万人次。</w:t>
      </w:r>
    </w:p>
    <w:p>
      <w:pPr>
        <w:ind w:firstLine="640"/>
        <w:outlineLvl w:val="1"/>
        <w:rPr>
          <w:rFonts w:ascii="楷体" w:hAnsi="楷体" w:eastAsia="楷体"/>
          <w:bCs/>
          <w:szCs w:val="32"/>
        </w:rPr>
      </w:pPr>
      <w:bookmarkStart w:id="37" w:name="_Toc66174911"/>
      <w:r>
        <w:rPr>
          <w:rFonts w:hint="eastAsia" w:ascii="楷体" w:hAnsi="楷体" w:eastAsia="楷体"/>
          <w:bCs/>
          <w:szCs w:val="32"/>
        </w:rPr>
        <w:t>（四）发展高水平职业体育赛事</w:t>
      </w:r>
      <w:bookmarkEnd w:id="37"/>
    </w:p>
    <w:p>
      <w:pPr>
        <w:ind w:firstLine="640"/>
        <w:rPr>
          <w:rFonts w:ascii="仿宋" w:hAnsi="仿宋" w:eastAsia="仿宋"/>
          <w:bCs/>
          <w:szCs w:val="32"/>
        </w:rPr>
      </w:pPr>
      <w:r>
        <w:rPr>
          <w:rFonts w:hint="eastAsia" w:ascii="仿宋" w:hAnsi="仿宋" w:eastAsia="仿宋"/>
          <w:bCs/>
          <w:szCs w:val="32"/>
        </w:rPr>
        <w:t>坚持市场主体地位，有序推进青岛竞技体育职业化发展。壮大职业体育俱乐部，完善管理制度。修订《青岛市高水平职业体育俱乐部扶持奖励管理办法》，推动青岛足球、篮球、羽毛球等职业俱乐部实现高质量发展。探索现代化俱乐部运营模式，引导职业球队、俱乐部股权开放，吸引社会资本参与职业体育经营管理，增强俱乐部竞争力和可持续发展能力。鼓励和支持乒乓球、网球、橄榄球、帆船、棒球、垒球、攀岩、马术、拳击等市场化程度高、基础条件好的运动项目走职业化发展道路。引进职业电竞俱乐部，推动电竞产业快速发展。积极申办举办职业赛事，活跃职业联赛市场，为职业俱乐部发展提供广阔空间。加强政府对职业体育发展的引导、评估和监管，提高职业体育规范化水平。</w:t>
      </w:r>
    </w:p>
    <w:p>
      <w:pPr>
        <w:ind w:firstLine="640"/>
        <w:rPr>
          <w:rFonts w:ascii="仿宋" w:hAnsi="仿宋" w:eastAsia="仿宋"/>
          <w:bCs/>
          <w:szCs w:val="32"/>
        </w:rPr>
      </w:pPr>
    </w:p>
    <w:p>
      <w:pPr>
        <w:ind w:firstLine="0" w:firstLineChars="0"/>
        <w:jc w:val="center"/>
        <w:outlineLvl w:val="0"/>
        <w:rPr>
          <w:rFonts w:ascii="黑体" w:hAnsi="黑体" w:eastAsia="黑体"/>
          <w:bCs/>
          <w:szCs w:val="32"/>
        </w:rPr>
      </w:pPr>
      <w:bookmarkStart w:id="38" w:name="_Toc66174912"/>
      <w:r>
        <w:rPr>
          <w:rFonts w:hint="eastAsia" w:ascii="黑体" w:hAnsi="黑体" w:eastAsia="黑体"/>
          <w:bCs/>
          <w:szCs w:val="32"/>
        </w:rPr>
        <w:t>七、扩大体育产品和服务供给，建设国家体育消费中心</w:t>
      </w:r>
      <w:bookmarkEnd w:id="38"/>
    </w:p>
    <w:p>
      <w:pPr>
        <w:ind w:firstLine="640"/>
        <w:rPr>
          <w:rFonts w:ascii="仿宋_GB2312" w:hAnsi="Calibri"/>
          <w:bCs/>
          <w:szCs w:val="32"/>
        </w:rPr>
      </w:pPr>
    </w:p>
    <w:p>
      <w:pPr>
        <w:ind w:firstLine="640"/>
        <w:rPr>
          <w:rFonts w:ascii="仿宋_GB2312" w:hAnsi="Calibri"/>
          <w:bCs/>
          <w:szCs w:val="32"/>
        </w:rPr>
      </w:pPr>
      <w:r>
        <w:rPr>
          <w:rFonts w:hint="eastAsia" w:ascii="仿宋_GB2312" w:hAnsi="Calibri"/>
          <w:bCs/>
          <w:szCs w:val="32"/>
        </w:rPr>
        <w:t>抓住国家体育消费试点城市建设机遇，主动融入新发展格局，从供需两端发力，着力推动体育消费创新升级，全面营造良好体育消费环境，激发市场活力和消费热情，打造国家体育消费中心。到2025年全市人均体育消费超过3300元。</w:t>
      </w:r>
    </w:p>
    <w:p>
      <w:pPr>
        <w:ind w:firstLine="640"/>
        <w:outlineLvl w:val="1"/>
        <w:rPr>
          <w:rFonts w:ascii="楷体" w:hAnsi="楷体" w:eastAsia="楷体"/>
          <w:bCs/>
          <w:szCs w:val="32"/>
        </w:rPr>
      </w:pPr>
      <w:bookmarkStart w:id="39" w:name="_Toc66174913"/>
      <w:r>
        <w:rPr>
          <w:rFonts w:hint="eastAsia" w:ascii="楷体" w:hAnsi="楷体" w:eastAsia="楷体"/>
          <w:bCs/>
          <w:szCs w:val="32"/>
        </w:rPr>
        <w:t>（一）丰富体育消费供给</w:t>
      </w:r>
      <w:bookmarkEnd w:id="39"/>
    </w:p>
    <w:p>
      <w:pPr>
        <w:ind w:firstLine="640"/>
        <w:rPr>
          <w:rFonts w:ascii="仿宋_GB2312" w:hAnsi="Calibri"/>
          <w:bCs/>
          <w:szCs w:val="32"/>
        </w:rPr>
      </w:pPr>
      <w:r>
        <w:rPr>
          <w:rFonts w:hint="eastAsia" w:ascii="仿宋_GB2312" w:hAnsi="Calibri"/>
          <w:bCs/>
          <w:szCs w:val="32"/>
        </w:rPr>
        <w:t>鼓励每人至少掌握1项运动技能，培养终身运动习惯，让体育消费成为一种生活方式。促进体育产业市场主体梯度化发展，丰富专业化、个性化体育产品供给。挖掘体育明星市场价值，大力发展体育竞技表演业。推动“三大球”、路跑、冰雪、马术、帆船等具有时尚消费引领特征的体育项目产业化发展。鼓励开发海洋运动、山地户外运动、冰雪运动、湖泊河流运动和汽车摩托车等户外休闲运动消费潜在市场。加快发展以足球、篮球、自行车、棒球、赛车等运动项目为核心内容的电竞产业。盘活存量体育资源，提高现有场馆的利用率和运营能力。拓宽体彩销售渠道，提升公益形象。</w:t>
      </w:r>
    </w:p>
    <w:p>
      <w:pPr>
        <w:ind w:firstLine="640"/>
        <w:outlineLvl w:val="1"/>
        <w:rPr>
          <w:rFonts w:ascii="楷体" w:hAnsi="楷体" w:eastAsia="楷体"/>
          <w:bCs/>
          <w:szCs w:val="32"/>
        </w:rPr>
      </w:pPr>
      <w:bookmarkStart w:id="40" w:name="_Toc66174914"/>
      <w:r>
        <w:rPr>
          <w:rFonts w:hint="eastAsia" w:ascii="楷体" w:hAnsi="楷体" w:eastAsia="楷体"/>
          <w:bCs/>
          <w:szCs w:val="32"/>
        </w:rPr>
        <w:t>（二）创新体育消费模式</w:t>
      </w:r>
      <w:bookmarkEnd w:id="40"/>
    </w:p>
    <w:p>
      <w:pPr>
        <w:ind w:firstLine="640"/>
        <w:rPr>
          <w:rFonts w:ascii="仿宋_GB2312" w:hAnsi="Calibri"/>
          <w:bCs/>
          <w:szCs w:val="32"/>
        </w:rPr>
      </w:pPr>
      <w:r>
        <w:rPr>
          <w:rFonts w:hint="eastAsia" w:ascii="仿宋_GB2312" w:hAnsi="Calibri"/>
          <w:bCs/>
          <w:szCs w:val="32"/>
        </w:rPr>
        <w:t>组织居家健身挑战赛、达人秀活动，开办线上马拉松、智力运动会等网络赛事，努力形成体育消费线上、线下、居家、户外共同发展新业态。加快推进体育产品和服务的数字化、网络化进程，培育体育网络消费、定制消费、体验消费、智能消费等新热点。延长体育活动时域，嵌入文旅元素，开发夜间、假日体育消费新空间。加快人工智能、物联网等新型基础设施建设，创新升级体育特色小镇、体育主题公园、体育产业集聚区等消费新场景。</w:t>
      </w:r>
    </w:p>
    <w:p>
      <w:pPr>
        <w:ind w:firstLine="640"/>
        <w:outlineLvl w:val="1"/>
        <w:rPr>
          <w:rFonts w:ascii="楷体" w:hAnsi="楷体" w:eastAsia="楷体"/>
          <w:bCs/>
          <w:szCs w:val="32"/>
        </w:rPr>
      </w:pPr>
      <w:bookmarkStart w:id="41" w:name="_Toc66174915"/>
      <w:r>
        <w:rPr>
          <w:rFonts w:hint="eastAsia" w:ascii="楷体" w:hAnsi="楷体" w:eastAsia="楷体"/>
          <w:bCs/>
          <w:szCs w:val="32"/>
        </w:rPr>
        <w:t>（三）完善体育消费政策</w:t>
      </w:r>
      <w:bookmarkEnd w:id="41"/>
    </w:p>
    <w:p>
      <w:pPr>
        <w:ind w:firstLine="640"/>
        <w:rPr>
          <w:rFonts w:ascii="仿宋_GB2312" w:hAnsi="Calibri"/>
          <w:bCs/>
          <w:szCs w:val="32"/>
        </w:rPr>
      </w:pPr>
      <w:r>
        <w:rPr>
          <w:rFonts w:hint="eastAsia" w:ascii="仿宋_GB2312" w:hAnsi="Calibri"/>
          <w:bCs/>
          <w:szCs w:val="32"/>
        </w:rPr>
        <w:t>优化体育消费促进政策，支持各区（市）因地制宜创新出台促消费举措，通过政府购买服务、延长体育场馆开放时间、发放健身消费券、举办“体育消费节”等途径，充分释放市民体育消费需求、激发体育消费热情，培养大众体育消费粘性。创新体育消费引导机制，健全体育消费统计调查与监测制度，完善统计体系，追踪体育消费热点和行业发展动态，精准引导体育消费和投资。鼓励金融机构嵌入体育服务场景，拓展体育消费支付、信贷和金融服务。探索通过全民健身公共积分、健身运动银行等途径支持群众参与体育消费。</w:t>
      </w:r>
    </w:p>
    <w:p>
      <w:pPr>
        <w:ind w:firstLine="640"/>
        <w:outlineLvl w:val="1"/>
        <w:rPr>
          <w:rFonts w:ascii="楷体" w:hAnsi="楷体" w:eastAsia="楷体"/>
          <w:bCs/>
          <w:szCs w:val="32"/>
        </w:rPr>
      </w:pPr>
      <w:bookmarkStart w:id="42" w:name="_Toc66174916"/>
      <w:r>
        <w:rPr>
          <w:rFonts w:hint="eastAsia" w:ascii="楷体" w:hAnsi="楷体" w:eastAsia="楷体"/>
          <w:bCs/>
          <w:szCs w:val="32"/>
        </w:rPr>
        <w:t>（四）维护体育市场秩序</w:t>
      </w:r>
      <w:bookmarkEnd w:id="42"/>
    </w:p>
    <w:p>
      <w:pPr>
        <w:ind w:firstLine="640"/>
        <w:rPr>
          <w:rFonts w:ascii="仿宋_GB2312" w:hAnsi="Calibri"/>
          <w:bCs/>
          <w:szCs w:val="32"/>
        </w:rPr>
      </w:pPr>
      <w:r>
        <w:rPr>
          <w:rFonts w:hint="eastAsia" w:ascii="仿宋_GB2312" w:hAnsi="Calibri"/>
          <w:bCs/>
          <w:szCs w:val="32"/>
        </w:rPr>
        <w:t>开展体育器材装备、设施设备、场所开放、营地建设管理和服务等标准的制修订，规范体育消费产品和服务标准。探索体育消费市场综合监管，加大对经营性高危体育项目监管力度，建立体育企业清单管理和分级分层管理协作及服务机制。落实《体育市场黑名单管理办法》，用活信用信息共享平台，推动青岛体育信用体系走在前列。持续提高体育消费者维权意识，探索体育预付消费资金托管，</w:t>
      </w:r>
      <w:r>
        <w:rPr>
          <w:rFonts w:ascii="仿宋_GB2312" w:hAnsi="Calibri"/>
          <w:bCs/>
          <w:szCs w:val="32"/>
        </w:rPr>
        <w:t>防范预付消费风险</w:t>
      </w:r>
      <w:r>
        <w:rPr>
          <w:rFonts w:hint="eastAsia" w:ascii="仿宋_GB2312" w:hAnsi="Calibri"/>
          <w:bCs/>
          <w:szCs w:val="32"/>
        </w:rPr>
        <w:t>，增强消费信心，优化城市体育营商环境。</w:t>
      </w:r>
    </w:p>
    <w:p>
      <w:pPr>
        <w:overflowPunct w:val="0"/>
        <w:autoSpaceDE w:val="0"/>
        <w:autoSpaceDN w:val="0"/>
        <w:ind w:firstLine="640"/>
        <w:rPr>
          <w:rFonts w:ascii="仿宋_GB2312" w:hAnsi="仿宋" w:cs="宋体"/>
          <w:bCs/>
          <w:szCs w:val="32"/>
        </w:rPr>
      </w:pPr>
    </w:p>
    <w:p>
      <w:pPr>
        <w:ind w:firstLine="640"/>
        <w:outlineLvl w:val="0"/>
        <w:rPr>
          <w:rFonts w:ascii="黑体" w:hAnsi="黑体" w:eastAsia="黑体"/>
          <w:bCs/>
          <w:szCs w:val="32"/>
        </w:rPr>
      </w:pPr>
      <w:bookmarkStart w:id="43" w:name="_Toc66174917"/>
      <w:r>
        <w:rPr>
          <w:rFonts w:ascii="黑体" w:hAnsi="黑体" w:eastAsia="黑体"/>
          <w:bCs/>
          <w:szCs w:val="32"/>
        </w:rPr>
        <w:t>八</w:t>
      </w:r>
      <w:r>
        <w:rPr>
          <w:rFonts w:hint="eastAsia" w:ascii="黑体" w:hAnsi="黑体" w:eastAsia="黑体"/>
          <w:bCs/>
          <w:szCs w:val="32"/>
        </w:rPr>
        <w:t>、加快体育制造转型升级，</w:t>
      </w:r>
      <w:r>
        <w:rPr>
          <w:rFonts w:ascii="黑体" w:hAnsi="黑体" w:eastAsia="黑体"/>
          <w:bCs/>
          <w:szCs w:val="32"/>
        </w:rPr>
        <w:t>培育国家体育</w:t>
      </w:r>
      <w:r>
        <w:rPr>
          <w:rFonts w:hint="eastAsia" w:ascii="黑体" w:hAnsi="黑体" w:eastAsia="黑体"/>
          <w:bCs/>
          <w:szCs w:val="32"/>
        </w:rPr>
        <w:t>产</w:t>
      </w:r>
      <w:r>
        <w:rPr>
          <w:rFonts w:ascii="黑体" w:hAnsi="黑体" w:eastAsia="黑体"/>
          <w:bCs/>
          <w:szCs w:val="32"/>
        </w:rPr>
        <w:t>品制造中心</w:t>
      </w:r>
      <w:bookmarkEnd w:id="43"/>
    </w:p>
    <w:p>
      <w:pPr>
        <w:overflowPunct w:val="0"/>
        <w:autoSpaceDE w:val="0"/>
        <w:autoSpaceDN w:val="0"/>
        <w:ind w:firstLine="640"/>
        <w:rPr>
          <w:rFonts w:ascii="仿宋" w:hAnsi="仿宋" w:eastAsia="仿宋"/>
          <w:bCs/>
          <w:szCs w:val="32"/>
        </w:rPr>
      </w:pPr>
    </w:p>
    <w:p>
      <w:pPr>
        <w:overflowPunct w:val="0"/>
        <w:autoSpaceDE w:val="0"/>
        <w:autoSpaceDN w:val="0"/>
        <w:ind w:firstLine="640"/>
        <w:rPr>
          <w:rFonts w:ascii="仿宋" w:hAnsi="仿宋" w:eastAsia="仿宋"/>
          <w:bCs/>
          <w:szCs w:val="32"/>
        </w:rPr>
      </w:pPr>
      <w:r>
        <w:rPr>
          <w:rFonts w:hint="eastAsia" w:ascii="仿宋" w:hAnsi="仿宋" w:eastAsia="仿宋"/>
          <w:bCs/>
          <w:szCs w:val="32"/>
        </w:rPr>
        <w:t>发挥体育制造集聚区位优势，完善体育制造产业链条，加快推动互联网、大数据、人工智能与体育实体经济紧密融合，推动体育制造业转型升级，构建“1581”青岛体育产业发展新格局，打造国家体育产品集散地。</w:t>
      </w:r>
    </w:p>
    <w:p>
      <w:pPr>
        <w:overflowPunct w:val="0"/>
        <w:autoSpaceDE w:val="0"/>
        <w:autoSpaceDN w:val="0"/>
        <w:ind w:firstLine="640"/>
        <w:rPr>
          <w:rFonts w:ascii="仿宋" w:hAnsi="仿宋" w:eastAsia="仿宋"/>
          <w:bCs/>
          <w:szCs w:val="32"/>
        </w:rPr>
      </w:pPr>
    </w:p>
    <w:tbl>
      <w:tblPr>
        <w:tblStyle w:val="10"/>
        <w:tblW w:w="8789"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8789" w:type="dxa"/>
            <w:shd w:val="clear" w:color="auto" w:fill="auto"/>
            <w:vAlign w:val="bottom"/>
          </w:tcPr>
          <w:p>
            <w:pPr>
              <w:widowControl/>
              <w:adjustRightInd w:val="0"/>
              <w:snapToGrid w:val="0"/>
              <w:spacing w:line="240" w:lineRule="auto"/>
              <w:ind w:firstLine="480" w:firstLineChars="0"/>
              <w:jc w:val="center"/>
              <w:rPr>
                <w:rFonts w:ascii="黑体" w:hAnsi="黑体" w:eastAsia="黑体" w:cs="Times New Roman"/>
                <w:bCs/>
                <w:snapToGrid w:val="0"/>
                <w:kern w:val="0"/>
                <w:sz w:val="24"/>
                <w:szCs w:val="24"/>
              </w:rPr>
            </w:pPr>
            <w:r>
              <w:rPr>
                <w:rFonts w:hint="eastAsia" w:ascii="黑体" w:hAnsi="黑体" w:eastAsia="黑体" w:cs="Times New Roman"/>
                <w:bCs/>
                <w:snapToGrid w:val="0"/>
                <w:kern w:val="0"/>
                <w:sz w:val="24"/>
                <w:szCs w:val="24"/>
              </w:rPr>
              <w:t>专栏  ：“158</w:t>
            </w:r>
            <w:r>
              <w:rPr>
                <w:rFonts w:ascii="黑体" w:hAnsi="黑体" w:eastAsia="黑体" w:cs="Times New Roman"/>
                <w:bCs/>
                <w:snapToGrid w:val="0"/>
                <w:kern w:val="0"/>
                <w:sz w:val="24"/>
                <w:szCs w:val="24"/>
              </w:rPr>
              <w:t>1</w:t>
            </w:r>
            <w:r>
              <w:rPr>
                <w:rFonts w:hint="eastAsia" w:ascii="黑体" w:hAnsi="黑体" w:eastAsia="黑体" w:cs="Times New Roman"/>
                <w:bCs/>
                <w:snapToGrid w:val="0"/>
                <w:kern w:val="0"/>
                <w:sz w:val="24"/>
                <w:szCs w:val="24"/>
              </w:rPr>
              <w:t>”工程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683" w:hRule="atLeast"/>
          <w:jc w:val="center"/>
        </w:trPr>
        <w:tc>
          <w:tcPr>
            <w:tcW w:w="8789" w:type="dxa"/>
            <w:vAlign w:val="center"/>
          </w:tcPr>
          <w:p>
            <w:pPr>
              <w:pStyle w:val="17"/>
              <w:numPr>
                <w:ilvl w:val="0"/>
                <w:numId w:val="2"/>
              </w:numPr>
              <w:tabs>
                <w:tab w:val="left" w:pos="360"/>
              </w:tabs>
              <w:ind w:left="141" w:hanging="140" w:hangingChars="64"/>
              <w:jc w:val="left"/>
              <w:rPr>
                <w:rFonts w:ascii="仿宋_GB2312" w:hAnsi="黑体" w:cs="仿宋_GB2312"/>
                <w:bCs/>
                <w:snapToGrid w:val="0"/>
                <w:kern w:val="0"/>
                <w:sz w:val="22"/>
              </w:rPr>
            </w:pPr>
            <w:r>
              <w:rPr>
                <w:rFonts w:hint="eastAsia" w:ascii="仿宋_GB2312" w:hAnsi="黑体" w:cs="仿宋_GB2312"/>
                <w:bCs/>
                <w:snapToGrid w:val="0"/>
                <w:kern w:val="0"/>
                <w:sz w:val="22"/>
              </w:rPr>
              <w:t>咬定一个目标：努力推动体育产业成为国民经济支柱性产业。</w:t>
            </w:r>
          </w:p>
          <w:p>
            <w:pPr>
              <w:pStyle w:val="17"/>
              <w:numPr>
                <w:ilvl w:val="0"/>
                <w:numId w:val="2"/>
              </w:numPr>
              <w:tabs>
                <w:tab w:val="left" w:pos="360"/>
              </w:tabs>
              <w:ind w:left="141" w:hanging="140" w:hangingChars="64"/>
              <w:jc w:val="left"/>
              <w:rPr>
                <w:rFonts w:ascii="仿宋_GB2312" w:hAnsi="黑体" w:cs="仿宋_GB2312"/>
                <w:bCs/>
                <w:snapToGrid w:val="0"/>
                <w:kern w:val="0"/>
                <w:sz w:val="22"/>
              </w:rPr>
            </w:pPr>
            <w:r>
              <w:rPr>
                <w:rFonts w:hint="eastAsia" w:ascii="仿宋_GB2312" w:hAnsi="黑体" w:cs="仿宋_GB2312"/>
                <w:bCs/>
                <w:snapToGrid w:val="0"/>
                <w:kern w:val="0"/>
                <w:sz w:val="22"/>
              </w:rPr>
              <w:t>抓住五个关键：做好顶层设计规划、引进体育总部机构、培育一批品牌赛事、打造一批领军企业、建设一批体育平台。</w:t>
            </w:r>
          </w:p>
          <w:p>
            <w:pPr>
              <w:pStyle w:val="17"/>
              <w:numPr>
                <w:ilvl w:val="0"/>
                <w:numId w:val="2"/>
              </w:numPr>
              <w:tabs>
                <w:tab w:val="left" w:pos="360"/>
              </w:tabs>
              <w:ind w:left="141" w:hanging="140" w:hangingChars="64"/>
              <w:jc w:val="left"/>
              <w:rPr>
                <w:rFonts w:ascii="仿宋_GB2312" w:hAnsi="仿宋_GB2312" w:cs="仿宋_GB2312" w:eastAsiaTheme="minorEastAsia"/>
                <w:bCs/>
                <w:snapToGrid w:val="0"/>
                <w:kern w:val="0"/>
                <w:sz w:val="22"/>
              </w:rPr>
            </w:pPr>
            <w:r>
              <w:rPr>
                <w:rFonts w:hint="eastAsia" w:ascii="仿宋_GB2312" w:hAnsi="黑体" w:cs="仿宋_GB2312"/>
                <w:bCs/>
                <w:snapToGrid w:val="0"/>
                <w:kern w:val="0"/>
                <w:sz w:val="22"/>
              </w:rPr>
              <w:t>突出八个支撑：发展时尚体育、拓展智能体育、打造新型业态、拉动体育消费、完善政策体系、建立产业基金、夯实人才队伍、办好产业协会、建强人才队伍。</w:t>
            </w:r>
          </w:p>
          <w:p>
            <w:pPr>
              <w:pStyle w:val="17"/>
              <w:numPr>
                <w:ilvl w:val="0"/>
                <w:numId w:val="2"/>
              </w:numPr>
              <w:tabs>
                <w:tab w:val="left" w:pos="360"/>
              </w:tabs>
              <w:ind w:left="141" w:hanging="140" w:hangingChars="64"/>
              <w:jc w:val="left"/>
              <w:rPr>
                <w:rFonts w:ascii="仿宋_GB2312" w:hAnsi="仿宋_GB2312" w:cs="仿宋_GB2312" w:eastAsiaTheme="minorEastAsia"/>
                <w:bCs/>
                <w:snapToGrid w:val="0"/>
                <w:kern w:val="0"/>
                <w:sz w:val="22"/>
              </w:rPr>
            </w:pPr>
            <w:r>
              <w:rPr>
                <w:rFonts w:ascii="仿宋_GB2312" w:hAnsi="黑体" w:cs="仿宋_GB2312"/>
                <w:bCs/>
                <w:snapToGrid w:val="0"/>
                <w:kern w:val="0"/>
                <w:sz w:val="22"/>
              </w:rPr>
              <w:t>夯实一个保障</w:t>
            </w:r>
            <w:r>
              <w:rPr>
                <w:rFonts w:hint="eastAsia" w:ascii="仿宋_GB2312" w:hAnsi="黑体" w:cs="仿宋_GB2312"/>
                <w:bCs/>
                <w:snapToGrid w:val="0"/>
                <w:kern w:val="0"/>
                <w:sz w:val="22"/>
              </w:rPr>
              <w:t>：以自身建设为根本，树立抓党建就是抓全局意识，强化党建引领；坚持“开放办体育”，强化市场化、平台化、生态化思维，不断解放思想，推动观念创新；坚持“开门办体育”，强化作风建设，为产业发展提供坚强组织、思想、作风保证。</w:t>
            </w:r>
          </w:p>
        </w:tc>
      </w:tr>
    </w:tbl>
    <w:p>
      <w:pPr>
        <w:overflowPunct w:val="0"/>
        <w:autoSpaceDE w:val="0"/>
        <w:autoSpaceDN w:val="0"/>
        <w:ind w:firstLine="640"/>
        <w:rPr>
          <w:rFonts w:ascii="仿宋" w:hAnsi="仿宋" w:eastAsia="仿宋"/>
          <w:bCs/>
          <w:szCs w:val="32"/>
        </w:rPr>
      </w:pPr>
    </w:p>
    <w:p>
      <w:pPr>
        <w:ind w:firstLine="640"/>
        <w:outlineLvl w:val="1"/>
        <w:rPr>
          <w:rFonts w:ascii="楷体" w:hAnsi="楷体" w:eastAsia="楷体"/>
          <w:bCs/>
          <w:szCs w:val="32"/>
        </w:rPr>
      </w:pPr>
      <w:bookmarkStart w:id="44" w:name="_Toc66174918"/>
      <w:r>
        <w:rPr>
          <w:rFonts w:hint="eastAsia" w:ascii="楷体" w:hAnsi="楷体" w:eastAsia="楷体"/>
          <w:bCs/>
          <w:szCs w:val="32"/>
        </w:rPr>
        <w:t>（一）促进体育制造产业集聚发展</w:t>
      </w:r>
      <w:bookmarkEnd w:id="44"/>
    </w:p>
    <w:p>
      <w:pPr>
        <w:ind w:firstLine="640"/>
        <w:rPr>
          <w:rFonts w:ascii="仿宋" w:hAnsi="仿宋" w:eastAsia="仿宋"/>
          <w:bCs/>
          <w:szCs w:val="32"/>
        </w:rPr>
      </w:pPr>
      <w:r>
        <w:rPr>
          <w:rFonts w:hint="eastAsia" w:ascii="仿宋" w:hAnsi="仿宋" w:eastAsia="仿宋"/>
          <w:bCs/>
          <w:szCs w:val="32"/>
        </w:rPr>
        <w:t>统筹“一核引领、两轴贯通、四区集聚、双点突破”的体育产业发展空间格局，贯通胶州、城阳、即墨、平度、莱西体育制造产业发展轴，建设涵盖健身器械、竞赛用品、运动护具、运动服饰、户外运动休闲用品等产品的生产销售集散地；依托雄厚的体育制造业基础，打造即墨高端体育健身器械制造产业集聚区；引进国际国内知名体育制造企业，发挥其技术和资金优势，支持组建相关产业联盟，去长板、补短板，集中布局、集约发展，延长上下游产业链，壮大区域性集约发展优势和产业规模。</w:t>
      </w:r>
    </w:p>
    <w:p>
      <w:pPr>
        <w:ind w:firstLine="640"/>
        <w:outlineLvl w:val="1"/>
        <w:rPr>
          <w:rFonts w:ascii="楷体" w:hAnsi="楷体" w:eastAsia="楷体"/>
          <w:bCs/>
          <w:szCs w:val="32"/>
        </w:rPr>
      </w:pPr>
      <w:bookmarkStart w:id="45" w:name="_Toc66174919"/>
      <w:r>
        <w:rPr>
          <w:rFonts w:hint="eastAsia" w:ascii="楷体" w:hAnsi="楷体" w:eastAsia="楷体"/>
          <w:bCs/>
          <w:szCs w:val="32"/>
        </w:rPr>
        <w:t>（二）推动体育制造向体育智造转变</w:t>
      </w:r>
      <w:bookmarkEnd w:id="45"/>
    </w:p>
    <w:p>
      <w:pPr>
        <w:overflowPunct w:val="0"/>
        <w:autoSpaceDE w:val="0"/>
        <w:autoSpaceDN w:val="0"/>
        <w:ind w:firstLine="640"/>
        <w:rPr>
          <w:rFonts w:ascii="仿宋" w:hAnsi="仿宋" w:eastAsia="仿宋"/>
          <w:bCs/>
          <w:szCs w:val="32"/>
        </w:rPr>
      </w:pPr>
      <w:r>
        <w:rPr>
          <w:rFonts w:hint="eastAsia" w:ascii="仿宋" w:hAnsi="仿宋" w:eastAsia="仿宋"/>
          <w:bCs/>
          <w:szCs w:val="32"/>
        </w:rPr>
        <w:t>利用体育服务业的数据优势、工业互联网的平台优势，引导体育制造业加快数字化、智能化升级。鼓励企业与高校合作，加大科研投入力度，推进体育用品企业的科技和管理创新，提高产品科技含量和附加值。开展体育用品个性化定制，探索“智能健身器材+运动健康服务”“体育器材制造+场馆数字管理”等定制化应用场景的“产品+服务”模式，运用互联网平台不断拓展国内外市场，推动体育用品满足多元化消费需求。重点围绕“帆船之都”“足球之城”“冰雪之岛”等城市品牌建设，实现船艇、足球、冰雪、海上旅游等体育用品的本土化生产和扩张。鼓励发展高端运动装备制造业，促进可穿戴运动设备、智能场馆设施和智能运动装备的研发、制造和销售。</w:t>
      </w:r>
    </w:p>
    <w:p>
      <w:pPr>
        <w:ind w:firstLine="640"/>
        <w:outlineLvl w:val="1"/>
        <w:rPr>
          <w:rFonts w:ascii="楷体" w:hAnsi="楷体" w:eastAsia="楷体"/>
          <w:bCs/>
          <w:szCs w:val="32"/>
        </w:rPr>
      </w:pPr>
      <w:bookmarkStart w:id="46" w:name="_Toc66174920"/>
      <w:r>
        <w:rPr>
          <w:rFonts w:hint="eastAsia" w:ascii="楷体" w:hAnsi="楷体" w:eastAsia="楷体"/>
          <w:bCs/>
          <w:szCs w:val="32"/>
        </w:rPr>
        <w:t>（三）实施体育制造品牌发展战略</w:t>
      </w:r>
      <w:bookmarkEnd w:id="46"/>
    </w:p>
    <w:p>
      <w:pPr>
        <w:ind w:firstLine="640"/>
        <w:rPr>
          <w:rFonts w:ascii="仿宋" w:hAnsi="仿宋" w:eastAsia="仿宋"/>
          <w:bCs/>
          <w:szCs w:val="32"/>
        </w:rPr>
      </w:pPr>
      <w:r>
        <w:rPr>
          <w:rFonts w:hint="eastAsia" w:ascii="仿宋" w:hAnsi="仿宋" w:eastAsia="仿宋"/>
          <w:bCs/>
          <w:szCs w:val="32"/>
        </w:rPr>
        <w:t>引导英派斯、英吉多、双星、青禾、马泽润等体育用品制造企业转型升级，打造有国际竞争力的大型体育产业集团。全力推进泰山集团等时尚体育龙头企业招引落地。孵化一批创新发展型小巨人、瞪羚、独角兽企业，扶持一批灵活多样、市场潜力大的中小微企业。争创著名商标，提升知名品牌，开发具有自主品牌和自主知识产权的新产品，打造名品、精品和拳头产品。支持优秀运动员创设个人体育用品品牌，推动民族体育品牌创新升级，加速体育用品高端细分品牌发展。加大体育文创产品、纪念品等创作制作，打造一批本土体育I</w:t>
      </w:r>
      <w:r>
        <w:rPr>
          <w:rFonts w:ascii="仿宋" w:hAnsi="仿宋" w:eastAsia="仿宋"/>
          <w:bCs/>
          <w:szCs w:val="32"/>
        </w:rPr>
        <w:t>P</w:t>
      </w:r>
      <w:r>
        <w:rPr>
          <w:rFonts w:hint="eastAsia" w:ascii="仿宋" w:hAnsi="仿宋" w:eastAsia="仿宋"/>
          <w:bCs/>
          <w:szCs w:val="32"/>
        </w:rPr>
        <w:t>品牌、体育雕塑和体育出版精品，彰显山海独特气质，融入城市血脉。到2025年重点打造5-6个国内知名体育产业品牌、10个以上体育明星企业。</w:t>
      </w:r>
    </w:p>
    <w:p>
      <w:pPr>
        <w:overflowPunct w:val="0"/>
        <w:autoSpaceDE w:val="0"/>
        <w:autoSpaceDN w:val="0"/>
        <w:ind w:firstLine="640"/>
        <w:rPr>
          <w:rFonts w:ascii="仿宋_GB2312" w:hAnsi="仿宋" w:cs="宋体"/>
          <w:bCs/>
          <w:szCs w:val="32"/>
        </w:rPr>
      </w:pPr>
    </w:p>
    <w:p>
      <w:pPr>
        <w:ind w:firstLine="0" w:firstLineChars="0"/>
        <w:jc w:val="center"/>
        <w:outlineLvl w:val="0"/>
        <w:rPr>
          <w:rFonts w:ascii="黑体" w:hAnsi="黑体" w:eastAsia="黑体"/>
          <w:bCs/>
          <w:szCs w:val="32"/>
        </w:rPr>
      </w:pPr>
      <w:bookmarkStart w:id="47" w:name="_Toc66174921"/>
      <w:r>
        <w:rPr>
          <w:rFonts w:hint="eastAsia" w:ascii="黑体" w:hAnsi="黑体" w:eastAsia="黑体"/>
          <w:bCs/>
          <w:szCs w:val="32"/>
        </w:rPr>
        <w:t>九、促进要素集聚耦合，打造区域体育资源配置中心</w:t>
      </w:r>
      <w:bookmarkEnd w:id="47"/>
    </w:p>
    <w:p>
      <w:pPr>
        <w:ind w:firstLine="640"/>
        <w:rPr>
          <w:rFonts w:ascii="仿宋" w:hAnsi="仿宋" w:eastAsia="仿宋" w:cs="Times New Roman"/>
          <w:bCs/>
          <w:szCs w:val="32"/>
        </w:rPr>
      </w:pPr>
    </w:p>
    <w:p>
      <w:pPr>
        <w:ind w:firstLine="640"/>
        <w:rPr>
          <w:rFonts w:ascii="仿宋" w:hAnsi="仿宋" w:eastAsia="仿宋" w:cs="Times New Roman"/>
          <w:bCs/>
          <w:szCs w:val="32"/>
        </w:rPr>
      </w:pPr>
      <w:r>
        <w:rPr>
          <w:rFonts w:hint="eastAsia" w:ascii="仿宋" w:hAnsi="仿宋" w:eastAsia="仿宋" w:cs="Times New Roman"/>
          <w:bCs/>
          <w:szCs w:val="32"/>
        </w:rPr>
        <w:t>坚持“市场化、法治化、专业化”思维，盘活全要素体育资源，强化科研支撑能力，促进体育用地、体育人才、体育产品、体育场馆、体育机构等集聚，提升青岛体育区域招引和辐射能力。</w:t>
      </w:r>
    </w:p>
    <w:p>
      <w:pPr>
        <w:ind w:firstLine="640"/>
        <w:outlineLvl w:val="1"/>
        <w:rPr>
          <w:rFonts w:ascii="楷体" w:hAnsi="楷体" w:eastAsia="楷体"/>
          <w:bCs/>
          <w:szCs w:val="32"/>
        </w:rPr>
      </w:pPr>
      <w:bookmarkStart w:id="48" w:name="_Toc66174922"/>
      <w:r>
        <w:rPr>
          <w:rFonts w:hint="eastAsia" w:ascii="楷体" w:hAnsi="楷体" w:eastAsia="楷体"/>
          <w:bCs/>
          <w:szCs w:val="32"/>
        </w:rPr>
        <w:t>（一）激活体育要素资源</w:t>
      </w:r>
      <w:bookmarkEnd w:id="48"/>
    </w:p>
    <w:p>
      <w:pPr>
        <w:ind w:firstLine="640"/>
        <w:rPr>
          <w:bCs/>
        </w:rPr>
      </w:pPr>
      <w:r>
        <w:rPr>
          <w:rFonts w:hint="eastAsia" w:ascii="仿宋" w:hAnsi="仿宋" w:eastAsia="仿宋" w:cs="Times New Roman"/>
          <w:bCs/>
          <w:szCs w:val="32"/>
        </w:rPr>
        <w:t>实施“金牌教练员引聚计划”“优秀中青年教练员成长计划”，引进部分具有国际视野和专业经验的高级管理人才。大力培养和引进懂体育、会经营、有创意、善营销的复合型体育产业人才。建设体育经纪人队伍，培养一批具有广泛影响力的体育明星。</w:t>
      </w:r>
      <w:r>
        <w:rPr>
          <w:rFonts w:ascii="仿宋" w:hAnsi="仿宋" w:eastAsia="仿宋" w:cs="Times New Roman"/>
          <w:bCs/>
          <w:szCs w:val="32"/>
        </w:rPr>
        <w:t>推动规划</w:t>
      </w:r>
      <w:r>
        <w:rPr>
          <w:rFonts w:hint="eastAsia" w:ascii="仿宋" w:hAnsi="仿宋" w:eastAsia="仿宋" w:cs="Times New Roman"/>
          <w:bCs/>
          <w:szCs w:val="32"/>
        </w:rPr>
        <w:t>“留白”机制，保障体育项目用地。加快公共体育场馆所有权和经营权分离改革，确保体育场馆的公益和文化属性，打造一批高品质城市体育地标。转变社会体育组织服务模式，提升青岛市体育事业发展中心、体育产业发展中心的服务和增值功能。创建更多国家级、省级体育产业示范基地和体育旅游精品线路。建立青岛体育产业基金，鼓励社会力量依法设立各类体育产业投资基金，创新保险、信托等体育金融服务。吸引世界羽联、中国羽协等国际国内体育组织和功能中心落户青岛。</w:t>
      </w:r>
    </w:p>
    <w:p>
      <w:pPr>
        <w:ind w:firstLine="640"/>
        <w:outlineLvl w:val="1"/>
        <w:rPr>
          <w:rFonts w:ascii="楷体" w:hAnsi="楷体" w:eastAsia="楷体"/>
          <w:bCs/>
          <w:szCs w:val="32"/>
        </w:rPr>
      </w:pPr>
      <w:bookmarkStart w:id="49" w:name="_Toc66174923"/>
      <w:r>
        <w:rPr>
          <w:rFonts w:hint="eastAsia" w:ascii="楷体" w:hAnsi="楷体" w:eastAsia="楷体"/>
          <w:bCs/>
          <w:szCs w:val="32"/>
        </w:rPr>
        <w:t>（二）做大做强体育资源配置平台</w:t>
      </w:r>
      <w:bookmarkEnd w:id="49"/>
    </w:p>
    <w:p>
      <w:pPr>
        <w:ind w:firstLine="640"/>
        <w:rPr>
          <w:rFonts w:ascii="仿宋" w:hAnsi="仿宋" w:eastAsia="仿宋"/>
          <w:bCs/>
          <w:szCs w:val="32"/>
        </w:rPr>
      </w:pPr>
      <w:r>
        <w:rPr>
          <w:rFonts w:hint="eastAsia" w:ascii="仿宋" w:hAnsi="仿宋" w:eastAsia="仿宋"/>
          <w:bCs/>
          <w:szCs w:val="32"/>
        </w:rPr>
        <w:t>支持用工业互联网思维推动青岛体育资源及IP交易平台建设，完善交易服务功能。</w:t>
      </w:r>
      <w:r>
        <w:rPr>
          <w:rFonts w:hint="eastAsia" w:ascii="仿宋" w:hAnsi="仿宋" w:eastAsia="仿宋" w:cs="Times New Roman"/>
          <w:bCs/>
          <w:szCs w:val="32"/>
        </w:rPr>
        <w:t>用好自贸区青岛片区、上合示范区等开放政策，以胶东经济圈、沿黄流域高质量发展为契机</w:t>
      </w:r>
      <w:r>
        <w:rPr>
          <w:rFonts w:hint="eastAsia" w:ascii="仿宋" w:hAnsi="仿宋" w:eastAsia="仿宋"/>
          <w:bCs/>
          <w:szCs w:val="32"/>
        </w:rPr>
        <w:t>，鼓励域内外体育实体和相关组织上云、上平台，盘活闲置体育资源，畅通体育资源流通渠道，广泛吸引国内外具备交易条件和市场价值的体育资源通过平台实现交易流转和衍生品创新，拓展实物、非实物类交易，探索体育贸易新模式，实时发布体育资源流动和交易指数，不断提高平台资源配置和聚散能力，</w:t>
      </w:r>
      <w:r>
        <w:rPr>
          <w:rFonts w:hint="eastAsia" w:ascii="仿宋" w:hAnsi="仿宋" w:eastAsia="仿宋" w:cs="Times New Roman"/>
          <w:bCs/>
          <w:szCs w:val="32"/>
        </w:rPr>
        <w:t>打造政府主导、社会参与、覆盖全产业链的区域综合性体育产业互联网平台。</w:t>
      </w:r>
    </w:p>
    <w:p>
      <w:pPr>
        <w:ind w:firstLine="640"/>
        <w:outlineLvl w:val="1"/>
        <w:rPr>
          <w:rFonts w:ascii="楷体" w:hAnsi="楷体" w:eastAsia="楷体"/>
          <w:bCs/>
          <w:szCs w:val="32"/>
        </w:rPr>
      </w:pPr>
      <w:bookmarkStart w:id="50" w:name="_Toc66174924"/>
      <w:r>
        <w:rPr>
          <w:rFonts w:hint="eastAsia" w:ascii="楷体" w:hAnsi="楷体" w:eastAsia="楷体"/>
          <w:bCs/>
          <w:szCs w:val="32"/>
        </w:rPr>
        <w:t>（三）加强区域和城际体育合作</w:t>
      </w:r>
      <w:bookmarkEnd w:id="50"/>
    </w:p>
    <w:p>
      <w:pPr>
        <w:ind w:firstLine="640"/>
        <w:rPr>
          <w:rFonts w:ascii="仿宋" w:hAnsi="仿宋" w:eastAsia="仿宋" w:cs="Times New Roman"/>
          <w:bCs/>
          <w:szCs w:val="32"/>
        </w:rPr>
      </w:pPr>
      <w:r>
        <w:rPr>
          <w:rFonts w:hint="eastAsia" w:ascii="仿宋" w:hAnsi="仿宋" w:eastAsia="仿宋" w:cs="Times New Roman"/>
          <w:bCs/>
          <w:szCs w:val="32"/>
        </w:rPr>
        <w:t>主动服务和融入胶东经济圈一体化发展战略，充分发挥五市地域相邻、文化相近的优势，深化胶东经济圈体育协同发展联盟建设，以足球联盟、帆船联盟、篮球联盟为基础，探索区域体育一体化发展路径和模式，促进胶东经济圈体育领域规划衔接、政策联动、项目共推。通过赛事联办、产业协作、资源共享、平台共建，形成一批具有重大影响和示范作用的高水平合作成果。持续举办胶东五市足球联赛、青少年体育冬夏令营、环半岛帆船拉力赛，不断扩大胶东经济圈体育竞争力和影响力。发挥计划单列市时尚体育城市战略联盟的平台优势，完善时尚体育城市协作交流机制，联合开展时尚体育赛事和体育表演，以体育竞技、体育科技和人才的交流与合作为重点，实现城际资源共享、集群发展、共同繁荣。</w:t>
      </w:r>
    </w:p>
    <w:p>
      <w:pPr>
        <w:overflowPunct w:val="0"/>
        <w:autoSpaceDE w:val="0"/>
        <w:autoSpaceDN w:val="0"/>
        <w:ind w:firstLine="640"/>
        <w:rPr>
          <w:rFonts w:ascii="楷体" w:hAnsi="楷体" w:eastAsia="楷体"/>
          <w:bCs/>
          <w:szCs w:val="32"/>
        </w:rPr>
      </w:pPr>
    </w:p>
    <w:p>
      <w:pPr>
        <w:ind w:firstLine="640"/>
        <w:outlineLvl w:val="0"/>
        <w:rPr>
          <w:rFonts w:ascii="黑体" w:hAnsi="黑体" w:eastAsia="黑体"/>
          <w:bCs/>
          <w:szCs w:val="32"/>
        </w:rPr>
      </w:pPr>
      <w:bookmarkStart w:id="51" w:name="_Toc66174925"/>
      <w:r>
        <w:rPr>
          <w:rFonts w:hint="eastAsia" w:ascii="黑体" w:hAnsi="黑体" w:eastAsia="黑体"/>
          <w:bCs/>
          <w:szCs w:val="32"/>
        </w:rPr>
        <w:t>十、深化机制体制改革，高质量保障体育规划实施</w:t>
      </w:r>
      <w:bookmarkEnd w:id="51"/>
    </w:p>
    <w:p>
      <w:pPr>
        <w:ind w:firstLine="640"/>
        <w:rPr>
          <w:rFonts w:ascii="仿宋" w:hAnsi="仿宋" w:eastAsia="仿宋"/>
          <w:bCs/>
          <w:szCs w:val="32"/>
        </w:rPr>
      </w:pPr>
    </w:p>
    <w:p>
      <w:pPr>
        <w:ind w:firstLine="640"/>
        <w:rPr>
          <w:rFonts w:ascii="仿宋" w:hAnsi="仿宋" w:eastAsia="仿宋"/>
          <w:bCs/>
          <w:szCs w:val="32"/>
        </w:rPr>
      </w:pPr>
      <w:r>
        <w:rPr>
          <w:rFonts w:hint="eastAsia" w:ascii="仿宋" w:hAnsi="仿宋" w:eastAsia="仿宋"/>
          <w:bCs/>
          <w:szCs w:val="32"/>
        </w:rPr>
        <w:t>实现青岛市体育事业“十四五”规划目标，必须深化市场化、法治化改革，全面推进流程再造，打通重点领域发展痛点堵点；必须坚持党的全面领导，发挥党总揽全局、协调各方的领导核心作用，充分调动一切积极因素，广泛团结一切可以团结的力量，凝心聚力把宏伟蓝图变成美好现实。</w:t>
      </w:r>
    </w:p>
    <w:p>
      <w:pPr>
        <w:ind w:firstLine="640"/>
        <w:outlineLvl w:val="1"/>
        <w:rPr>
          <w:rFonts w:ascii="楷体" w:hAnsi="楷体" w:eastAsia="楷体"/>
          <w:bCs/>
          <w:szCs w:val="32"/>
        </w:rPr>
      </w:pPr>
      <w:bookmarkStart w:id="52" w:name="_Toc66174926"/>
      <w:r>
        <w:rPr>
          <w:rFonts w:hint="eastAsia" w:ascii="楷体" w:hAnsi="楷体" w:eastAsia="楷体"/>
          <w:bCs/>
          <w:szCs w:val="32"/>
        </w:rPr>
        <w:t>（一）加强组织领导</w:t>
      </w:r>
      <w:bookmarkEnd w:id="52"/>
    </w:p>
    <w:p>
      <w:pPr>
        <w:ind w:firstLine="640"/>
        <w:rPr>
          <w:rFonts w:ascii="仿宋" w:hAnsi="仿宋" w:eastAsia="仿宋"/>
          <w:bCs/>
          <w:szCs w:val="32"/>
        </w:rPr>
      </w:pPr>
      <w:r>
        <w:rPr>
          <w:rFonts w:hint="eastAsia" w:ascii="仿宋" w:hAnsi="仿宋" w:eastAsia="仿宋"/>
          <w:bCs/>
          <w:szCs w:val="32"/>
        </w:rPr>
        <w:t>坚持党对体育工作的领导，贯彻党的体育工作方针和决策部署。落实全民健身国家战略、奥运争光战略，强化各级政府责任，完善体育部门牵头、政府多部门协同合作、社会力量共同参与的体育发展工作机制。定期研究规划实施中的重点难点问题，提出政策举措，落实责任分工，各尽其责，形成合力，共同推进全球知名体育城市和国家体育中心城市建设。</w:t>
      </w:r>
    </w:p>
    <w:p>
      <w:pPr>
        <w:ind w:firstLine="640"/>
        <w:outlineLvl w:val="1"/>
        <w:rPr>
          <w:rFonts w:ascii="楷体" w:hAnsi="楷体" w:eastAsia="楷体"/>
          <w:bCs/>
          <w:szCs w:val="32"/>
        </w:rPr>
      </w:pPr>
      <w:bookmarkStart w:id="53" w:name="_Toc66174927"/>
      <w:r>
        <w:rPr>
          <w:rFonts w:hint="eastAsia" w:ascii="楷体" w:hAnsi="楷体" w:eastAsia="楷体"/>
          <w:bCs/>
          <w:szCs w:val="32"/>
        </w:rPr>
        <w:t>（二）深化体制机制改革</w:t>
      </w:r>
      <w:bookmarkEnd w:id="53"/>
    </w:p>
    <w:p>
      <w:pPr>
        <w:ind w:firstLine="640"/>
        <w:rPr>
          <w:rFonts w:ascii="仿宋" w:hAnsi="仿宋" w:eastAsia="仿宋"/>
          <w:bCs/>
          <w:szCs w:val="32"/>
        </w:rPr>
      </w:pPr>
      <w:r>
        <w:rPr>
          <w:rFonts w:hint="eastAsia" w:ascii="仿宋" w:hAnsi="仿宋" w:eastAsia="仿宋"/>
          <w:bCs/>
          <w:szCs w:val="32"/>
        </w:rPr>
        <w:t>全面深化体育改革，深入推进体育治理体系和治理能力现代化。正确履行政府职能，加强对体育赛事、体育市场经营等活动的事中事后监管。加快构建覆盖体育组织、体育企业、从业人员等的行业信用体系，提倡诚信经营、规范服务，强化行业自律。大力推进政府向社会购买公共服务，完善购买服务内容、标准、方式和程序，建立健全承接政府购买服务绩效评估体系。</w:t>
      </w:r>
    </w:p>
    <w:p>
      <w:pPr>
        <w:ind w:firstLine="640"/>
        <w:outlineLvl w:val="1"/>
        <w:rPr>
          <w:rFonts w:ascii="楷体" w:hAnsi="楷体" w:eastAsia="楷体"/>
          <w:bCs/>
          <w:szCs w:val="32"/>
        </w:rPr>
      </w:pPr>
      <w:bookmarkStart w:id="54" w:name="_Toc66174928"/>
      <w:r>
        <w:rPr>
          <w:rFonts w:hint="eastAsia" w:ascii="楷体" w:hAnsi="楷体" w:eastAsia="楷体"/>
          <w:bCs/>
          <w:szCs w:val="32"/>
        </w:rPr>
        <w:t>（三）全面深化依法治体</w:t>
      </w:r>
      <w:bookmarkEnd w:id="54"/>
    </w:p>
    <w:p>
      <w:pPr>
        <w:ind w:firstLine="640"/>
        <w:rPr>
          <w:rFonts w:ascii="仿宋" w:hAnsi="仿宋" w:eastAsia="仿宋"/>
          <w:bCs/>
          <w:szCs w:val="32"/>
        </w:rPr>
      </w:pPr>
      <w:r>
        <w:rPr>
          <w:rFonts w:hint="eastAsia" w:ascii="仿宋" w:hAnsi="仿宋" w:eastAsia="仿宋"/>
          <w:bCs/>
          <w:szCs w:val="32"/>
        </w:rPr>
        <w:t>加大体育立法和政策研究力度，推进体育法制宣传教育和体育政策制度体系一体化发展。完善体育统计制度、标准和体系建设，为科学决策提供依据。加快体育领域地方标准、团体标准、企业标准建设，形成较为完善的标准体系。积极推进综合行政执法，强化体育领域法治和行业作风建设，建立体育纠纷多元化解机制。深入开展赛风赛纪和反兴奋剂专项治理。</w:t>
      </w:r>
    </w:p>
    <w:p>
      <w:pPr>
        <w:ind w:firstLine="640"/>
        <w:outlineLvl w:val="1"/>
        <w:rPr>
          <w:rFonts w:ascii="楷体" w:hAnsi="楷体" w:eastAsia="楷体"/>
          <w:bCs/>
          <w:szCs w:val="32"/>
        </w:rPr>
      </w:pPr>
      <w:bookmarkStart w:id="55" w:name="_Toc66174929"/>
      <w:r>
        <w:rPr>
          <w:rFonts w:hint="eastAsia" w:ascii="楷体" w:hAnsi="楷体" w:eastAsia="楷体"/>
          <w:bCs/>
          <w:szCs w:val="32"/>
        </w:rPr>
        <w:t>（四）鼓励社会力量参与</w:t>
      </w:r>
      <w:bookmarkEnd w:id="55"/>
    </w:p>
    <w:p>
      <w:pPr>
        <w:ind w:firstLine="640"/>
        <w:rPr>
          <w:rFonts w:ascii="仿宋" w:hAnsi="仿宋" w:eastAsia="仿宋"/>
          <w:bCs/>
          <w:szCs w:val="32"/>
        </w:rPr>
      </w:pPr>
      <w:r>
        <w:rPr>
          <w:rFonts w:hint="eastAsia" w:ascii="仿宋" w:hAnsi="仿宋" w:eastAsia="仿宋"/>
          <w:bCs/>
          <w:szCs w:val="32"/>
        </w:rPr>
        <w:t>充分调动社会力量参与体育设施建设管理运营、赛事活动承办、体育人才培养等，构建管办分离、灵活高效的体育发展模式。推动体育社会组织社会化、实体化、专业化发展，积极参与竞赛组织、技能培训、健身指导等市场运作，把社会能自行解决、行业组织能自律管理的职能转移给体育社会组织，发挥好体育社会组织在社会管理和公共服务中的作用。</w:t>
      </w:r>
    </w:p>
    <w:p>
      <w:pPr>
        <w:ind w:firstLine="640"/>
        <w:outlineLvl w:val="1"/>
        <w:rPr>
          <w:rFonts w:ascii="楷体" w:hAnsi="楷体" w:eastAsia="楷体"/>
          <w:bCs/>
          <w:szCs w:val="32"/>
        </w:rPr>
      </w:pPr>
      <w:bookmarkStart w:id="56" w:name="_Toc66174930"/>
      <w:r>
        <w:rPr>
          <w:rFonts w:hint="eastAsia" w:ascii="楷体" w:hAnsi="楷体" w:eastAsia="楷体"/>
          <w:bCs/>
          <w:szCs w:val="32"/>
        </w:rPr>
        <w:t>（五）落实体育相关政策</w:t>
      </w:r>
      <w:bookmarkEnd w:id="56"/>
    </w:p>
    <w:p>
      <w:pPr>
        <w:ind w:firstLine="640"/>
        <w:rPr>
          <w:rFonts w:ascii="仿宋" w:hAnsi="仿宋" w:eastAsia="仿宋"/>
          <w:bCs/>
          <w:szCs w:val="32"/>
        </w:rPr>
      </w:pPr>
      <w:r>
        <w:rPr>
          <w:rFonts w:hint="eastAsia" w:ascii="仿宋" w:hAnsi="仿宋" w:eastAsia="仿宋"/>
          <w:bCs/>
          <w:szCs w:val="32"/>
        </w:rPr>
        <w:t>完善公共财政体育投入机制，加大对关键领域、薄弱环节、重点区域的支持力度，加强对财政资金使用效益的评估。切实落实国家支持体育发展的税费政策，出台体育健身设施管理维护奖补办法，加强对政策执行情况的评估督查。加大体育融资政策扶持力度，支持体育企业股权融资和发行债券。将全民健身场地设施纳入各级政府经济社会发展规划和各级国土空间规划，统筹考虑全民健身场地设施、体育用地需求，建立社区全民健身场地设施配建标准和评价制度。完善建设用地标准，在国家土地政策允许范围内，保障重要公益性体育设施和体育产业设施、项目用地。</w:t>
      </w:r>
    </w:p>
    <w:p>
      <w:pPr>
        <w:ind w:firstLine="640"/>
        <w:outlineLvl w:val="1"/>
        <w:rPr>
          <w:rFonts w:ascii="楷体" w:hAnsi="楷体" w:eastAsia="楷体"/>
          <w:bCs/>
          <w:szCs w:val="32"/>
        </w:rPr>
      </w:pPr>
      <w:bookmarkStart w:id="57" w:name="_Toc66174931"/>
      <w:r>
        <w:rPr>
          <w:rFonts w:hint="eastAsia" w:ascii="楷体" w:hAnsi="楷体" w:eastAsia="楷体"/>
          <w:bCs/>
          <w:szCs w:val="32"/>
        </w:rPr>
        <w:t>（六）加强规划监督执行</w:t>
      </w:r>
      <w:bookmarkEnd w:id="57"/>
    </w:p>
    <w:p>
      <w:pPr>
        <w:ind w:firstLine="640"/>
        <w:rPr>
          <w:rFonts w:ascii="仿宋" w:hAnsi="仿宋" w:eastAsia="仿宋"/>
          <w:bCs/>
          <w:szCs w:val="32"/>
        </w:rPr>
      </w:pPr>
      <w:r>
        <w:rPr>
          <w:rFonts w:hint="eastAsia" w:ascii="仿宋" w:hAnsi="仿宋" w:eastAsia="仿宋"/>
          <w:bCs/>
          <w:szCs w:val="32"/>
        </w:rPr>
        <w:t>建立目标任务考核制度，分解落实本规划确定的目标任务，实行规划年度监测、中期评估和总结评估制度。建立健全重要目标任务跟踪反馈机制，根据实际运行情况提出修订方案、改进措施，确保本规划目标任务如期完成。规划实施要接受人大及其常委会的监督检查，接受人民政协的民主监督，认真听取人大代表、政协委员、工商联、民主党派、无党派人士和各人民团体的意见。全面推行政务公开和各领域办事公开，自觉接受群众监督和舆论监督，及时回应社会关切。</w:t>
      </w:r>
    </w:p>
    <w:p>
      <w:pPr>
        <w:ind w:firstLine="640"/>
        <w:rPr>
          <w:rFonts w:ascii="仿宋" w:hAnsi="仿宋" w:eastAsia="仿宋"/>
          <w:bCs/>
          <w:szCs w:val="32"/>
        </w:rPr>
      </w:pPr>
    </w:p>
    <w:p>
      <w:pPr>
        <w:ind w:firstLine="640"/>
        <w:rPr>
          <w:rFonts w:ascii="楷体" w:hAnsi="楷体" w:eastAsia="楷体"/>
          <w:bCs/>
          <w:szCs w:val="32"/>
        </w:rPr>
        <w:sectPr>
          <w:footerReference r:id="rId12" w:type="default"/>
          <w:pgSz w:w="11906" w:h="16838"/>
          <w:pgMar w:top="1588" w:right="1588" w:bottom="1588" w:left="1588" w:header="851" w:footer="992" w:gutter="0"/>
          <w:pgNumType w:start="1"/>
          <w:cols w:space="425" w:num="1"/>
          <w:docGrid w:type="lines" w:linePitch="312" w:charSpace="0"/>
        </w:sectPr>
      </w:pPr>
    </w:p>
    <w:tbl>
      <w:tblPr>
        <w:tblStyle w:val="10"/>
        <w:tblW w:w="4998" w:type="pct"/>
        <w:tblInd w:w="0" w:type="dxa"/>
        <w:tblLayout w:type="fixed"/>
        <w:tblCellMar>
          <w:top w:w="0" w:type="dxa"/>
          <w:left w:w="0" w:type="dxa"/>
          <w:bottom w:w="0" w:type="dxa"/>
          <w:right w:w="0" w:type="dxa"/>
        </w:tblCellMar>
      </w:tblPr>
      <w:tblGrid>
        <w:gridCol w:w="569"/>
        <w:gridCol w:w="2469"/>
        <w:gridCol w:w="8166"/>
        <w:gridCol w:w="884"/>
        <w:gridCol w:w="1599"/>
      </w:tblGrid>
      <w:tr>
        <w:tblPrEx>
          <w:tblCellMar>
            <w:top w:w="0" w:type="dxa"/>
            <w:left w:w="0" w:type="dxa"/>
            <w:bottom w:w="0" w:type="dxa"/>
            <w:right w:w="0" w:type="dxa"/>
          </w:tblCellMar>
        </w:tblPrEx>
        <w:trPr>
          <w:trHeight w:val="702" w:hRule="atLeast"/>
          <w:tblHeader/>
        </w:trPr>
        <w:tc>
          <w:tcPr>
            <w:tcW w:w="20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ind w:firstLine="0" w:firstLineChars="0"/>
              <w:jc w:val="center"/>
              <w:textAlignment w:val="center"/>
              <w:rPr>
                <w:rFonts w:ascii="黑体" w:hAnsi="黑体" w:eastAsia="黑体" w:cs="黑体"/>
                <w:bCs/>
                <w:sz w:val="22"/>
              </w:rPr>
            </w:pPr>
            <w:r>
              <w:rPr>
                <w:rFonts w:hint="eastAsia" w:ascii="黑体" w:hAnsi="黑体" w:eastAsia="黑体" w:cs="黑体"/>
                <w:bCs/>
                <w:kern w:val="0"/>
                <w:sz w:val="22"/>
              </w:rPr>
              <w:t>序号</w:t>
            </w:r>
          </w:p>
        </w:tc>
        <w:tc>
          <w:tcPr>
            <w:tcW w:w="90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ind w:firstLine="0" w:firstLineChars="0"/>
              <w:jc w:val="center"/>
              <w:textAlignment w:val="center"/>
              <w:rPr>
                <w:rFonts w:ascii="黑体" w:hAnsi="黑体" w:eastAsia="黑体" w:cs="黑体"/>
                <w:bCs/>
                <w:sz w:val="22"/>
              </w:rPr>
            </w:pPr>
            <w:r>
              <w:rPr>
                <w:rFonts w:hint="eastAsia" w:ascii="黑体" w:hAnsi="黑体" w:eastAsia="黑体" w:cs="黑体"/>
                <w:bCs/>
                <w:kern w:val="0"/>
                <w:sz w:val="22"/>
              </w:rPr>
              <w:t>项目名称</w:t>
            </w:r>
          </w:p>
        </w:tc>
        <w:tc>
          <w:tcPr>
            <w:tcW w:w="298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ind w:firstLine="0" w:firstLineChars="0"/>
              <w:jc w:val="center"/>
              <w:textAlignment w:val="center"/>
              <w:rPr>
                <w:rFonts w:ascii="黑体" w:hAnsi="黑体" w:eastAsia="黑体" w:cs="黑体"/>
                <w:bCs/>
                <w:sz w:val="22"/>
              </w:rPr>
            </w:pPr>
            <w:r>
              <w:rPr>
                <w:rFonts w:hint="eastAsia" w:ascii="黑体" w:hAnsi="黑体" w:eastAsia="黑体" w:cs="黑体"/>
                <w:bCs/>
                <w:kern w:val="0"/>
                <w:sz w:val="22"/>
              </w:rPr>
              <w:t>建设内容</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ind w:firstLine="0" w:firstLineChars="0"/>
              <w:jc w:val="center"/>
              <w:textAlignment w:val="center"/>
              <w:rPr>
                <w:rFonts w:ascii="黑体" w:hAnsi="黑体" w:eastAsia="黑体" w:cs="黑体"/>
                <w:bCs/>
                <w:sz w:val="22"/>
              </w:rPr>
            </w:pPr>
            <w:r>
              <w:rPr>
                <w:rFonts w:hint="eastAsia" w:ascii="黑体" w:hAnsi="黑体" w:eastAsia="黑体" w:cs="黑体"/>
                <w:bCs/>
                <w:kern w:val="0"/>
                <w:sz w:val="22"/>
              </w:rPr>
              <w:t>总投资</w:t>
            </w:r>
            <w:r>
              <w:rPr>
                <w:rFonts w:hint="eastAsia" w:ascii="黑体" w:hAnsi="黑体" w:eastAsia="黑体" w:cs="黑体"/>
                <w:bCs/>
                <w:kern w:val="0"/>
                <w:sz w:val="22"/>
              </w:rPr>
              <w:br w:type="textWrapping"/>
            </w:r>
            <w:r>
              <w:rPr>
                <w:rFonts w:hint="eastAsia" w:ascii="黑体" w:hAnsi="黑体" w:eastAsia="黑体" w:cs="黑体"/>
                <w:bCs/>
                <w:kern w:val="0"/>
                <w:sz w:val="22"/>
              </w:rPr>
              <w:t>（亿元）</w:t>
            </w:r>
          </w:p>
        </w:tc>
        <w:tc>
          <w:tcPr>
            <w:tcW w:w="58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ind w:firstLine="0" w:firstLineChars="0"/>
              <w:jc w:val="center"/>
              <w:textAlignment w:val="center"/>
              <w:rPr>
                <w:rFonts w:ascii="黑体" w:hAnsi="黑体" w:eastAsia="黑体" w:cs="黑体"/>
                <w:bCs/>
                <w:sz w:val="22"/>
              </w:rPr>
            </w:pPr>
            <w:r>
              <w:rPr>
                <w:rFonts w:hint="eastAsia" w:ascii="黑体" w:hAnsi="黑体" w:eastAsia="黑体" w:cs="黑体"/>
                <w:bCs/>
                <w:kern w:val="0"/>
                <w:sz w:val="22"/>
              </w:rPr>
              <w:t>责任单位</w:t>
            </w:r>
          </w:p>
        </w:tc>
      </w:tr>
      <w:tr>
        <w:tblPrEx>
          <w:tblCellMar>
            <w:top w:w="0" w:type="dxa"/>
            <w:left w:w="0" w:type="dxa"/>
            <w:bottom w:w="0" w:type="dxa"/>
            <w:right w:w="0" w:type="dxa"/>
          </w:tblCellMar>
        </w:tblPrEx>
        <w:trPr>
          <w:trHeight w:val="1020" w:hRule="atLeast"/>
        </w:trPr>
        <w:tc>
          <w:tcPr>
            <w:tcW w:w="20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ascii="宋体" w:hAnsi="宋体" w:cs="宋体"/>
                <w:bCs/>
                <w:sz w:val="22"/>
              </w:rPr>
            </w:pPr>
            <w:r>
              <w:rPr>
                <w:rFonts w:hint="eastAsia" w:ascii="宋体" w:hAnsi="宋体" w:cs="宋体"/>
                <w:bCs/>
                <w:kern w:val="0"/>
                <w:sz w:val="22"/>
              </w:rPr>
              <w:t>1</w:t>
            </w:r>
          </w:p>
        </w:tc>
        <w:tc>
          <w:tcPr>
            <w:tcW w:w="90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ind w:firstLine="0" w:firstLineChars="0"/>
              <w:jc w:val="left"/>
              <w:textAlignment w:val="center"/>
              <w:rPr>
                <w:rFonts w:ascii="宋体" w:hAnsi="宋体" w:cs="宋体"/>
                <w:bCs/>
                <w:sz w:val="22"/>
              </w:rPr>
            </w:pPr>
            <w:r>
              <w:rPr>
                <w:rFonts w:hint="eastAsia" w:ascii="宋体" w:hAnsi="宋体" w:cs="宋体"/>
                <w:bCs/>
                <w:kern w:val="0"/>
                <w:sz w:val="22"/>
              </w:rPr>
              <w:t>2023年亚洲杯足球赛</w:t>
            </w:r>
          </w:p>
        </w:tc>
        <w:tc>
          <w:tcPr>
            <w:tcW w:w="298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spacing w:line="240" w:lineRule="auto"/>
              <w:ind w:firstLine="0" w:firstLineChars="0"/>
              <w:jc w:val="left"/>
              <w:textAlignment w:val="top"/>
              <w:rPr>
                <w:rFonts w:ascii="宋体" w:hAnsi="宋体" w:cs="宋体"/>
                <w:bCs/>
                <w:sz w:val="22"/>
              </w:rPr>
            </w:pPr>
            <w:r>
              <w:rPr>
                <w:rFonts w:hint="eastAsia" w:ascii="宋体" w:hAnsi="宋体" w:cs="宋体"/>
                <w:bCs/>
                <w:kern w:val="0"/>
                <w:sz w:val="22"/>
              </w:rPr>
              <w:t>成立2023年亚洲杯青岛赛区组委会，做好各项组织保障服务工作；通过承办2023亚洲杯足球赛，助力国际时尚城建设，为打造“开放、现代、活力、时尚”的国际化大都市贡献力量；进一步深化“足球名城”建设，全面推动青岛足球事业振兴和发展；突出青岛市的办赛水平和办赛优势，积累办赛经验，为下步申办世界杯赛事奠定基础。</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ascii="宋体" w:hAnsi="宋体" w:cs="宋体"/>
                <w:bCs/>
                <w:sz w:val="22"/>
              </w:rPr>
            </w:pPr>
            <w:r>
              <w:rPr>
                <w:rFonts w:hint="eastAsia" w:ascii="宋体" w:hAnsi="宋体" w:cs="宋体"/>
                <w:bCs/>
                <w:kern w:val="0"/>
                <w:sz w:val="22"/>
              </w:rPr>
              <w:t xml:space="preserve">1.3 </w:t>
            </w:r>
          </w:p>
        </w:tc>
        <w:tc>
          <w:tcPr>
            <w:tcW w:w="58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ascii="宋体" w:hAnsi="宋体" w:cs="宋体"/>
                <w:bCs/>
                <w:sz w:val="22"/>
              </w:rPr>
            </w:pPr>
            <w:r>
              <w:rPr>
                <w:rFonts w:hint="eastAsia" w:ascii="宋体" w:hAnsi="宋体" w:cs="宋体"/>
                <w:bCs/>
                <w:kern w:val="0"/>
                <w:sz w:val="22"/>
              </w:rPr>
              <w:t>市体育局</w:t>
            </w:r>
          </w:p>
        </w:tc>
      </w:tr>
      <w:tr>
        <w:tblPrEx>
          <w:tblCellMar>
            <w:top w:w="0" w:type="dxa"/>
            <w:left w:w="0" w:type="dxa"/>
            <w:bottom w:w="0" w:type="dxa"/>
            <w:right w:w="0" w:type="dxa"/>
          </w:tblCellMar>
        </w:tblPrEx>
        <w:trPr>
          <w:trHeight w:val="1062" w:hRule="atLeast"/>
        </w:trPr>
        <w:tc>
          <w:tcPr>
            <w:tcW w:w="20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ascii="宋体" w:hAnsi="宋体" w:cs="宋体"/>
                <w:bCs/>
                <w:sz w:val="22"/>
              </w:rPr>
            </w:pPr>
            <w:r>
              <w:rPr>
                <w:rFonts w:hint="eastAsia" w:ascii="宋体" w:hAnsi="宋体" w:cs="宋体"/>
                <w:bCs/>
                <w:kern w:val="0"/>
                <w:sz w:val="22"/>
              </w:rPr>
              <w:t>2</w:t>
            </w:r>
          </w:p>
        </w:tc>
        <w:tc>
          <w:tcPr>
            <w:tcW w:w="90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ind w:firstLine="0" w:firstLineChars="0"/>
              <w:jc w:val="left"/>
              <w:textAlignment w:val="center"/>
              <w:rPr>
                <w:rFonts w:ascii="宋体" w:hAnsi="宋体" w:cs="宋体"/>
                <w:bCs/>
                <w:sz w:val="22"/>
              </w:rPr>
            </w:pPr>
            <w:r>
              <w:rPr>
                <w:rFonts w:hint="eastAsia" w:ascii="宋体" w:hAnsi="宋体" w:cs="宋体"/>
                <w:bCs/>
                <w:kern w:val="0"/>
                <w:sz w:val="22"/>
              </w:rPr>
              <w:t>2023亚洲杯专业足球场</w:t>
            </w:r>
          </w:p>
        </w:tc>
        <w:tc>
          <w:tcPr>
            <w:tcW w:w="298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ind w:firstLine="0" w:firstLineChars="0"/>
              <w:jc w:val="left"/>
              <w:textAlignment w:val="center"/>
              <w:rPr>
                <w:rFonts w:ascii="宋体" w:hAnsi="宋体" w:cs="宋体"/>
                <w:bCs/>
                <w:sz w:val="22"/>
              </w:rPr>
            </w:pPr>
            <w:r>
              <w:rPr>
                <w:rFonts w:hint="eastAsia" w:ascii="宋体" w:hAnsi="宋体" w:cs="宋体"/>
                <w:bCs/>
                <w:kern w:val="0"/>
                <w:sz w:val="22"/>
              </w:rPr>
              <w:t>建设1处4万座专业足球比赛场地和4块配套训练场地，主赛场观众席按照每个座席2平方米标准，总建筑面积为8万平方米。按照每100个座席配备4个车位计算，主赛场总计规划1600个地下车位，按照每个车位35-40平方米的面积计算，地下车位总面积6万平方米。建设单位：青岛城阳开发投资集团有限公司。建设期限：2020-2022年。</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ascii="宋体" w:hAnsi="宋体" w:cs="宋体"/>
                <w:bCs/>
                <w:sz w:val="22"/>
              </w:rPr>
            </w:pPr>
            <w:r>
              <w:rPr>
                <w:rFonts w:hint="eastAsia" w:ascii="宋体" w:hAnsi="宋体" w:cs="宋体"/>
                <w:bCs/>
                <w:kern w:val="0"/>
                <w:sz w:val="22"/>
              </w:rPr>
              <w:t xml:space="preserve">32.4 </w:t>
            </w:r>
          </w:p>
        </w:tc>
        <w:tc>
          <w:tcPr>
            <w:tcW w:w="58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ascii="宋体" w:hAnsi="宋体" w:cs="宋体"/>
                <w:bCs/>
                <w:sz w:val="22"/>
              </w:rPr>
            </w:pPr>
            <w:r>
              <w:rPr>
                <w:rFonts w:hint="eastAsia" w:ascii="宋体" w:hAnsi="宋体" w:cs="宋体"/>
                <w:bCs/>
                <w:kern w:val="0"/>
                <w:sz w:val="22"/>
              </w:rPr>
              <w:t>城阳区</w:t>
            </w:r>
          </w:p>
        </w:tc>
      </w:tr>
      <w:tr>
        <w:tblPrEx>
          <w:tblCellMar>
            <w:top w:w="0" w:type="dxa"/>
            <w:left w:w="0" w:type="dxa"/>
            <w:bottom w:w="0" w:type="dxa"/>
            <w:right w:w="0" w:type="dxa"/>
          </w:tblCellMar>
        </w:tblPrEx>
        <w:trPr>
          <w:trHeight w:val="1220" w:hRule="atLeast"/>
        </w:trPr>
        <w:tc>
          <w:tcPr>
            <w:tcW w:w="20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ascii="宋体" w:hAnsi="宋体" w:cs="宋体"/>
                <w:bCs/>
                <w:sz w:val="22"/>
              </w:rPr>
            </w:pPr>
            <w:r>
              <w:rPr>
                <w:rFonts w:hint="eastAsia" w:ascii="宋体" w:hAnsi="宋体" w:cs="宋体"/>
                <w:bCs/>
                <w:kern w:val="0"/>
                <w:sz w:val="22"/>
              </w:rPr>
              <w:t>3</w:t>
            </w:r>
          </w:p>
        </w:tc>
        <w:tc>
          <w:tcPr>
            <w:tcW w:w="90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ind w:firstLine="0" w:firstLineChars="0"/>
              <w:jc w:val="left"/>
              <w:textAlignment w:val="center"/>
              <w:rPr>
                <w:rFonts w:ascii="宋体" w:hAnsi="宋体" w:cs="宋体"/>
                <w:bCs/>
                <w:sz w:val="22"/>
              </w:rPr>
            </w:pPr>
            <w:r>
              <w:rPr>
                <w:rFonts w:hint="eastAsia" w:ascii="宋体" w:hAnsi="宋体" w:cs="宋体"/>
                <w:bCs/>
                <w:kern w:val="0"/>
                <w:sz w:val="22"/>
              </w:rPr>
              <w:t>中国足球学院青岛分院</w:t>
            </w:r>
          </w:p>
        </w:tc>
        <w:tc>
          <w:tcPr>
            <w:tcW w:w="298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ind w:firstLine="0" w:firstLineChars="0"/>
              <w:jc w:val="left"/>
              <w:textAlignment w:val="center"/>
              <w:rPr>
                <w:rFonts w:ascii="宋体" w:hAnsi="宋体" w:cs="宋体"/>
                <w:bCs/>
                <w:sz w:val="22"/>
              </w:rPr>
            </w:pPr>
            <w:r>
              <w:rPr>
                <w:rFonts w:hint="eastAsia" w:ascii="宋体" w:hAnsi="宋体" w:cs="宋体"/>
                <w:bCs/>
                <w:kern w:val="0"/>
                <w:sz w:val="22"/>
              </w:rPr>
              <w:t>建设18班，配有标准教室，与新建初中共享学校操场。赛事训练使用白沙湾足球基地部分场地。主要建设教学楼、宿舍、餐厅、停车场等配套，建筑面积约4万平方米。建设单位：青岛城阳城市发展集团有限公司。建设期限：2020-2022年。</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ascii="宋体" w:hAnsi="宋体" w:cs="宋体"/>
                <w:bCs/>
                <w:sz w:val="22"/>
              </w:rPr>
            </w:pPr>
            <w:r>
              <w:rPr>
                <w:rFonts w:hint="eastAsia" w:ascii="宋体" w:hAnsi="宋体" w:cs="宋体"/>
                <w:bCs/>
                <w:kern w:val="0"/>
                <w:sz w:val="22"/>
              </w:rPr>
              <w:t xml:space="preserve">3.8 </w:t>
            </w:r>
          </w:p>
        </w:tc>
        <w:tc>
          <w:tcPr>
            <w:tcW w:w="58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ascii="宋体" w:hAnsi="宋体" w:cs="宋体"/>
                <w:bCs/>
                <w:kern w:val="0"/>
                <w:sz w:val="22"/>
              </w:rPr>
            </w:pPr>
            <w:r>
              <w:rPr>
                <w:rFonts w:hint="eastAsia" w:ascii="宋体" w:hAnsi="宋体" w:cs="宋体"/>
                <w:bCs/>
                <w:kern w:val="0"/>
                <w:sz w:val="22"/>
              </w:rPr>
              <w:t>市体育局</w:t>
            </w:r>
          </w:p>
          <w:p>
            <w:pPr>
              <w:widowControl/>
              <w:spacing w:line="240" w:lineRule="auto"/>
              <w:ind w:firstLine="0" w:firstLineChars="0"/>
              <w:jc w:val="center"/>
              <w:textAlignment w:val="center"/>
              <w:rPr>
                <w:rFonts w:ascii="宋体" w:hAnsi="宋体" w:cs="宋体"/>
                <w:bCs/>
                <w:sz w:val="22"/>
              </w:rPr>
            </w:pPr>
            <w:r>
              <w:rPr>
                <w:rFonts w:hint="eastAsia" w:ascii="宋体" w:hAnsi="宋体" w:cs="宋体"/>
                <w:bCs/>
                <w:kern w:val="0"/>
                <w:sz w:val="22"/>
              </w:rPr>
              <w:t>城阳区</w:t>
            </w:r>
          </w:p>
        </w:tc>
      </w:tr>
      <w:tr>
        <w:tblPrEx>
          <w:tblCellMar>
            <w:top w:w="0" w:type="dxa"/>
            <w:left w:w="0" w:type="dxa"/>
            <w:bottom w:w="0" w:type="dxa"/>
            <w:right w:w="0" w:type="dxa"/>
          </w:tblCellMar>
        </w:tblPrEx>
        <w:trPr>
          <w:trHeight w:val="1320" w:hRule="atLeast"/>
        </w:trPr>
        <w:tc>
          <w:tcPr>
            <w:tcW w:w="20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ascii="宋体" w:hAnsi="宋体" w:cs="宋体"/>
                <w:bCs/>
                <w:sz w:val="22"/>
              </w:rPr>
            </w:pPr>
            <w:r>
              <w:rPr>
                <w:rFonts w:hint="eastAsia" w:ascii="宋体" w:hAnsi="宋体" w:cs="宋体"/>
                <w:bCs/>
                <w:kern w:val="0"/>
                <w:sz w:val="22"/>
              </w:rPr>
              <w:t>4</w:t>
            </w:r>
          </w:p>
        </w:tc>
        <w:tc>
          <w:tcPr>
            <w:tcW w:w="90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ind w:firstLine="0" w:firstLineChars="0"/>
              <w:jc w:val="left"/>
              <w:textAlignment w:val="center"/>
              <w:rPr>
                <w:rFonts w:ascii="宋体" w:hAnsi="宋体" w:cs="宋体"/>
                <w:bCs/>
                <w:sz w:val="22"/>
              </w:rPr>
            </w:pPr>
            <w:r>
              <w:rPr>
                <w:rFonts w:hint="eastAsia" w:ascii="宋体" w:hAnsi="宋体" w:cs="宋体"/>
                <w:bCs/>
                <w:kern w:val="0"/>
                <w:sz w:val="22"/>
              </w:rPr>
              <w:t>国家足球篮球学院</w:t>
            </w:r>
          </w:p>
        </w:tc>
        <w:tc>
          <w:tcPr>
            <w:tcW w:w="298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ind w:firstLine="0" w:firstLineChars="0"/>
              <w:jc w:val="left"/>
              <w:textAlignment w:val="center"/>
              <w:rPr>
                <w:rFonts w:ascii="宋体" w:hAnsi="宋体" w:cs="宋体"/>
                <w:bCs/>
                <w:sz w:val="22"/>
              </w:rPr>
            </w:pPr>
            <w:r>
              <w:rPr>
                <w:rFonts w:hint="eastAsia" w:ascii="宋体" w:hAnsi="宋体" w:cs="宋体"/>
                <w:bCs/>
                <w:kern w:val="0"/>
                <w:sz w:val="22"/>
              </w:rPr>
              <w:t>项目位于青岛市高新区全民健身中心东北侧，占地300余亩，规划总面积约7.27万㎡。建设包括：1#2#综合训练馆、1#2#综合楼、赛场服务中心、运动场看台等单体及训练馆、体能训练、科研教学、医疗康复、餐厅、运动员教练员公寓等功能用房。建设期限：2019年9月-2022年12月。</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ascii="宋体" w:hAnsi="宋体" w:cs="宋体"/>
                <w:bCs/>
                <w:sz w:val="22"/>
              </w:rPr>
            </w:pPr>
            <w:r>
              <w:rPr>
                <w:rFonts w:hint="eastAsia" w:ascii="宋体" w:hAnsi="宋体" w:cs="宋体"/>
                <w:bCs/>
                <w:kern w:val="0"/>
                <w:sz w:val="22"/>
              </w:rPr>
              <w:t xml:space="preserve">5.5 </w:t>
            </w:r>
          </w:p>
        </w:tc>
        <w:tc>
          <w:tcPr>
            <w:tcW w:w="58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ascii="宋体" w:hAnsi="宋体" w:cs="宋体"/>
                <w:bCs/>
                <w:sz w:val="22"/>
              </w:rPr>
            </w:pPr>
            <w:r>
              <w:rPr>
                <w:rFonts w:hint="eastAsia" w:ascii="宋体" w:hAnsi="宋体" w:cs="宋体"/>
                <w:bCs/>
                <w:kern w:val="0"/>
                <w:sz w:val="22"/>
              </w:rPr>
              <w:t>市体育局</w:t>
            </w:r>
          </w:p>
        </w:tc>
      </w:tr>
      <w:tr>
        <w:tblPrEx>
          <w:tblCellMar>
            <w:top w:w="0" w:type="dxa"/>
            <w:left w:w="0" w:type="dxa"/>
            <w:bottom w:w="0" w:type="dxa"/>
            <w:right w:w="0" w:type="dxa"/>
          </w:tblCellMar>
        </w:tblPrEx>
        <w:trPr>
          <w:trHeight w:val="960" w:hRule="atLeast"/>
        </w:trPr>
        <w:tc>
          <w:tcPr>
            <w:tcW w:w="20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ascii="宋体" w:hAnsi="宋体" w:cs="宋体"/>
                <w:bCs/>
                <w:sz w:val="22"/>
              </w:rPr>
            </w:pPr>
            <w:r>
              <w:rPr>
                <w:rFonts w:hint="eastAsia" w:ascii="宋体" w:hAnsi="宋体" w:cs="宋体"/>
                <w:bCs/>
                <w:kern w:val="0"/>
                <w:sz w:val="22"/>
              </w:rPr>
              <w:t>5</w:t>
            </w:r>
          </w:p>
        </w:tc>
        <w:tc>
          <w:tcPr>
            <w:tcW w:w="90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ind w:firstLine="0" w:firstLineChars="0"/>
              <w:jc w:val="left"/>
              <w:textAlignment w:val="center"/>
              <w:rPr>
                <w:rFonts w:ascii="宋体" w:hAnsi="宋体" w:cs="宋体"/>
                <w:bCs/>
                <w:sz w:val="22"/>
              </w:rPr>
            </w:pPr>
            <w:r>
              <w:rPr>
                <w:rFonts w:hint="eastAsia" w:ascii="宋体" w:hAnsi="宋体" w:cs="宋体"/>
                <w:bCs/>
                <w:kern w:val="0"/>
                <w:sz w:val="22"/>
              </w:rPr>
              <w:t>即墨全民健身中心</w:t>
            </w:r>
          </w:p>
        </w:tc>
        <w:tc>
          <w:tcPr>
            <w:tcW w:w="298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ind w:firstLine="0" w:firstLineChars="0"/>
              <w:jc w:val="left"/>
              <w:textAlignment w:val="center"/>
              <w:rPr>
                <w:rFonts w:ascii="宋体" w:hAnsi="宋体" w:cs="宋体"/>
                <w:bCs/>
                <w:sz w:val="22"/>
              </w:rPr>
            </w:pPr>
            <w:r>
              <w:rPr>
                <w:rFonts w:hint="eastAsia" w:ascii="宋体" w:hAnsi="宋体" w:cs="宋体"/>
                <w:bCs/>
                <w:kern w:val="0"/>
                <w:sz w:val="22"/>
              </w:rPr>
              <w:t>拆除原体育场范围内的建筑，在原址上规划建设体育培训中心一栋。总建筑面积约30000平方米，其中地上约21000平方米，地下约9000平方米，同步对原400米运动场及东侧活动场地进行改造提升。建设单位：青岛市即墨区城投城骏实业发展有限公司 建设期限：2020-2021年。</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ind w:firstLine="0" w:firstLineChars="0"/>
              <w:jc w:val="center"/>
              <w:textAlignment w:val="center"/>
              <w:rPr>
                <w:rFonts w:ascii="宋体" w:hAnsi="宋体" w:cs="宋体"/>
                <w:bCs/>
                <w:sz w:val="22"/>
              </w:rPr>
            </w:pPr>
            <w:r>
              <w:rPr>
                <w:rFonts w:hint="eastAsia" w:ascii="宋体" w:hAnsi="宋体" w:cs="宋体"/>
                <w:bCs/>
                <w:kern w:val="0"/>
                <w:sz w:val="22"/>
              </w:rPr>
              <w:t xml:space="preserve">2.7 </w:t>
            </w:r>
          </w:p>
        </w:tc>
        <w:tc>
          <w:tcPr>
            <w:tcW w:w="58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ascii="宋体" w:hAnsi="宋体" w:cs="宋体"/>
                <w:bCs/>
                <w:sz w:val="22"/>
              </w:rPr>
            </w:pPr>
            <w:r>
              <w:rPr>
                <w:rFonts w:hint="eastAsia" w:ascii="宋体" w:hAnsi="宋体" w:cs="宋体"/>
                <w:bCs/>
                <w:kern w:val="0"/>
                <w:sz w:val="22"/>
              </w:rPr>
              <w:t>即墨区</w:t>
            </w:r>
          </w:p>
        </w:tc>
      </w:tr>
      <w:tr>
        <w:tblPrEx>
          <w:tblCellMar>
            <w:top w:w="0" w:type="dxa"/>
            <w:left w:w="0" w:type="dxa"/>
            <w:bottom w:w="0" w:type="dxa"/>
            <w:right w:w="0" w:type="dxa"/>
          </w:tblCellMar>
        </w:tblPrEx>
        <w:trPr>
          <w:trHeight w:val="960" w:hRule="atLeast"/>
        </w:trPr>
        <w:tc>
          <w:tcPr>
            <w:tcW w:w="20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ascii="宋体" w:hAnsi="宋体" w:cs="宋体"/>
                <w:bCs/>
                <w:kern w:val="0"/>
                <w:sz w:val="22"/>
              </w:rPr>
            </w:pPr>
            <w:r>
              <w:rPr>
                <w:rFonts w:hint="eastAsia" w:ascii="宋体" w:hAnsi="宋体" w:cs="宋体"/>
                <w:bCs/>
                <w:kern w:val="0"/>
                <w:sz w:val="22"/>
              </w:rPr>
              <w:t>6</w:t>
            </w:r>
          </w:p>
        </w:tc>
        <w:tc>
          <w:tcPr>
            <w:tcW w:w="90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ind w:firstLine="0" w:firstLineChars="0"/>
              <w:jc w:val="left"/>
              <w:textAlignment w:val="center"/>
              <w:rPr>
                <w:rFonts w:ascii="宋体" w:hAnsi="宋体" w:cs="宋体"/>
                <w:bCs/>
                <w:kern w:val="0"/>
                <w:sz w:val="22"/>
              </w:rPr>
            </w:pPr>
            <w:r>
              <w:rPr>
                <w:rFonts w:hint="eastAsia" w:ascii="宋体" w:hAnsi="宋体" w:cs="宋体"/>
                <w:bCs/>
                <w:kern w:val="0"/>
                <w:sz w:val="22"/>
              </w:rPr>
              <w:t>青岛世界体育城</w:t>
            </w:r>
          </w:p>
        </w:tc>
        <w:tc>
          <w:tcPr>
            <w:tcW w:w="298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ind w:firstLine="0" w:firstLineChars="0"/>
              <w:jc w:val="left"/>
              <w:textAlignment w:val="center"/>
              <w:rPr>
                <w:rFonts w:ascii="宋体" w:hAnsi="宋体" w:cs="宋体"/>
                <w:bCs/>
                <w:kern w:val="0"/>
                <w:sz w:val="22"/>
              </w:rPr>
            </w:pPr>
            <w:r>
              <w:rPr>
                <w:rFonts w:hint="eastAsia" w:ascii="宋体" w:hAnsi="宋体" w:cs="宋体"/>
                <w:bCs/>
                <w:kern w:val="0"/>
                <w:sz w:val="22"/>
              </w:rPr>
              <w:t>占地面积约192.65亩，建筑面积约24万平方米，拟规划建设体育总部经济区、时尚运动活力区、体育科创谷三大功能区。建设单位：泰山体育产业集团有限公司。建设地点：高新区。</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ind w:firstLine="0" w:firstLineChars="0"/>
              <w:jc w:val="center"/>
              <w:textAlignment w:val="center"/>
              <w:rPr>
                <w:rFonts w:ascii="宋体" w:hAnsi="宋体" w:cs="宋体"/>
                <w:bCs/>
                <w:kern w:val="0"/>
                <w:sz w:val="22"/>
              </w:rPr>
            </w:pPr>
            <w:r>
              <w:rPr>
                <w:rFonts w:hint="eastAsia" w:ascii="宋体" w:hAnsi="宋体" w:cs="宋体"/>
                <w:bCs/>
                <w:kern w:val="0"/>
                <w:sz w:val="22"/>
              </w:rPr>
              <w:t>24</w:t>
            </w:r>
          </w:p>
        </w:tc>
        <w:tc>
          <w:tcPr>
            <w:tcW w:w="58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ascii="宋体" w:hAnsi="宋体" w:cs="宋体"/>
                <w:bCs/>
                <w:kern w:val="0"/>
                <w:sz w:val="22"/>
              </w:rPr>
            </w:pPr>
            <w:r>
              <w:rPr>
                <w:rFonts w:hint="eastAsia" w:ascii="宋体" w:hAnsi="宋体" w:cs="宋体"/>
                <w:bCs/>
                <w:kern w:val="0"/>
                <w:sz w:val="22"/>
              </w:rPr>
              <w:t>市体育局</w:t>
            </w:r>
          </w:p>
        </w:tc>
      </w:tr>
      <w:tr>
        <w:tblPrEx>
          <w:tblCellMar>
            <w:top w:w="0" w:type="dxa"/>
            <w:left w:w="0" w:type="dxa"/>
            <w:bottom w:w="0" w:type="dxa"/>
            <w:right w:w="0" w:type="dxa"/>
          </w:tblCellMar>
        </w:tblPrEx>
        <w:trPr>
          <w:trHeight w:val="859" w:hRule="atLeast"/>
        </w:trPr>
        <w:tc>
          <w:tcPr>
            <w:tcW w:w="20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ascii="宋体" w:hAnsi="宋体" w:cs="宋体"/>
                <w:bCs/>
                <w:sz w:val="22"/>
              </w:rPr>
            </w:pPr>
            <w:r>
              <w:rPr>
                <w:rFonts w:hint="eastAsia" w:ascii="宋体" w:hAnsi="宋体" w:cs="宋体"/>
                <w:bCs/>
                <w:sz w:val="22"/>
              </w:rPr>
              <w:t>7</w:t>
            </w:r>
          </w:p>
        </w:tc>
        <w:tc>
          <w:tcPr>
            <w:tcW w:w="90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ind w:firstLine="0" w:firstLineChars="0"/>
              <w:jc w:val="left"/>
              <w:textAlignment w:val="center"/>
              <w:rPr>
                <w:rFonts w:ascii="宋体" w:hAnsi="宋体" w:cs="宋体"/>
                <w:bCs/>
                <w:kern w:val="0"/>
                <w:sz w:val="22"/>
              </w:rPr>
            </w:pPr>
            <w:r>
              <w:rPr>
                <w:rFonts w:hint="eastAsia" w:ascii="宋体" w:hAnsi="宋体" w:cs="宋体"/>
                <w:bCs/>
                <w:kern w:val="0"/>
                <w:sz w:val="22"/>
              </w:rPr>
              <w:t>青岛市弘诚体育场改造</w:t>
            </w:r>
          </w:p>
        </w:tc>
        <w:tc>
          <w:tcPr>
            <w:tcW w:w="298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ind w:firstLine="0" w:firstLineChars="0"/>
              <w:jc w:val="left"/>
              <w:textAlignment w:val="center"/>
              <w:rPr>
                <w:rFonts w:ascii="宋体" w:hAnsi="宋体" w:cs="宋体"/>
                <w:bCs/>
                <w:kern w:val="0"/>
                <w:sz w:val="22"/>
              </w:rPr>
            </w:pPr>
            <w:r>
              <w:rPr>
                <w:rFonts w:hint="eastAsia" w:ascii="宋体" w:hAnsi="宋体" w:cs="宋体"/>
                <w:bCs/>
                <w:kern w:val="0"/>
                <w:sz w:val="22"/>
              </w:rPr>
              <w:t>占地面积约6.15万平方米，在原址改造建设一处城市体育服务综合体，项目总投资约5-6亿元。</w:t>
            </w:r>
            <w:r>
              <w:rPr>
                <w:rFonts w:ascii="宋体" w:hAnsi="宋体" w:cs="宋体"/>
                <w:bCs/>
                <w:kern w:val="0"/>
                <w:sz w:val="22"/>
              </w:rPr>
              <w:t>建成后，</w:t>
            </w:r>
            <w:r>
              <w:rPr>
                <w:rFonts w:hint="eastAsia" w:ascii="宋体" w:hAnsi="宋体" w:cs="宋体"/>
                <w:bCs/>
                <w:kern w:val="0"/>
                <w:sz w:val="22"/>
              </w:rPr>
              <w:t>体育设施</w:t>
            </w:r>
            <w:r>
              <w:rPr>
                <w:rFonts w:ascii="宋体" w:hAnsi="宋体" w:cs="宋体"/>
                <w:bCs/>
                <w:kern w:val="0"/>
                <w:sz w:val="22"/>
              </w:rPr>
              <w:t>面积</w:t>
            </w:r>
            <w:r>
              <w:rPr>
                <w:rFonts w:hint="eastAsia" w:ascii="宋体" w:hAnsi="宋体" w:cs="宋体"/>
                <w:bCs/>
                <w:kern w:val="0"/>
                <w:sz w:val="22"/>
              </w:rPr>
              <w:t>将达</w:t>
            </w:r>
            <w:r>
              <w:rPr>
                <w:rFonts w:ascii="宋体" w:hAnsi="宋体" w:cs="宋体"/>
                <w:bCs/>
                <w:kern w:val="0"/>
                <w:sz w:val="22"/>
              </w:rPr>
              <w:t>约</w:t>
            </w:r>
            <w:r>
              <w:rPr>
                <w:rFonts w:hint="eastAsia" w:ascii="宋体" w:hAnsi="宋体" w:cs="宋体"/>
                <w:bCs/>
                <w:kern w:val="0"/>
                <w:sz w:val="22"/>
              </w:rPr>
              <w:t>5</w:t>
            </w:r>
            <w:r>
              <w:rPr>
                <w:rFonts w:ascii="宋体" w:hAnsi="宋体" w:cs="宋体"/>
                <w:bCs/>
                <w:kern w:val="0"/>
                <w:sz w:val="22"/>
              </w:rPr>
              <w:t>万平方米</w:t>
            </w:r>
            <w:r>
              <w:rPr>
                <w:rFonts w:hint="eastAsia" w:ascii="宋体" w:hAnsi="宋体" w:cs="宋体"/>
                <w:bCs/>
                <w:kern w:val="0"/>
                <w:sz w:val="22"/>
              </w:rPr>
              <w:t>，包含主体育场、副体育馆、游泳馆、射击馆、击剑馆、攀岩馆、电子竞技馆等14处设施。地下停车场规划面积约14000平米（约400个停车位），室外停车场约200个停车位。（正在市场招商）</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ascii="宋体" w:hAnsi="宋体" w:cs="宋体"/>
                <w:bCs/>
                <w:kern w:val="0"/>
                <w:sz w:val="22"/>
              </w:rPr>
            </w:pPr>
            <w:r>
              <w:rPr>
                <w:rFonts w:hint="eastAsia" w:ascii="宋体" w:hAnsi="宋体" w:cs="宋体"/>
                <w:bCs/>
                <w:kern w:val="0"/>
                <w:sz w:val="22"/>
              </w:rPr>
              <w:t>5-6</w:t>
            </w:r>
          </w:p>
        </w:tc>
        <w:tc>
          <w:tcPr>
            <w:tcW w:w="58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ascii="宋体" w:hAnsi="宋体" w:cs="宋体"/>
                <w:bCs/>
                <w:kern w:val="0"/>
                <w:sz w:val="22"/>
              </w:rPr>
            </w:pPr>
            <w:r>
              <w:rPr>
                <w:rFonts w:hint="eastAsia" w:ascii="宋体" w:hAnsi="宋体" w:cs="宋体"/>
                <w:bCs/>
                <w:kern w:val="0"/>
                <w:sz w:val="22"/>
              </w:rPr>
              <w:t>市体育局</w:t>
            </w:r>
          </w:p>
        </w:tc>
      </w:tr>
      <w:tr>
        <w:tblPrEx>
          <w:tblCellMar>
            <w:top w:w="0" w:type="dxa"/>
            <w:left w:w="0" w:type="dxa"/>
            <w:bottom w:w="0" w:type="dxa"/>
            <w:right w:w="0" w:type="dxa"/>
          </w:tblCellMar>
        </w:tblPrEx>
        <w:trPr>
          <w:trHeight w:val="859" w:hRule="atLeast"/>
        </w:trPr>
        <w:tc>
          <w:tcPr>
            <w:tcW w:w="20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ascii="宋体" w:hAnsi="宋体" w:cs="宋体"/>
                <w:bCs/>
                <w:sz w:val="22"/>
              </w:rPr>
            </w:pPr>
            <w:r>
              <w:rPr>
                <w:rFonts w:hint="eastAsia" w:ascii="宋体" w:hAnsi="宋体" w:cs="宋体"/>
                <w:bCs/>
                <w:sz w:val="22"/>
              </w:rPr>
              <w:t>8</w:t>
            </w:r>
          </w:p>
        </w:tc>
        <w:tc>
          <w:tcPr>
            <w:tcW w:w="90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ind w:firstLine="0" w:firstLineChars="0"/>
              <w:jc w:val="left"/>
              <w:textAlignment w:val="center"/>
              <w:rPr>
                <w:rFonts w:ascii="宋体" w:hAnsi="宋体" w:cs="宋体"/>
                <w:bCs/>
                <w:kern w:val="0"/>
                <w:sz w:val="22"/>
              </w:rPr>
            </w:pPr>
            <w:r>
              <w:rPr>
                <w:rFonts w:hint="eastAsia" w:ascii="宋体" w:hAnsi="宋体" w:cs="宋体"/>
                <w:bCs/>
                <w:kern w:val="0"/>
                <w:sz w:val="22"/>
              </w:rPr>
              <w:t>市体校二期建设</w:t>
            </w:r>
          </w:p>
        </w:tc>
        <w:tc>
          <w:tcPr>
            <w:tcW w:w="298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ind w:firstLine="0" w:firstLineChars="0"/>
              <w:jc w:val="left"/>
              <w:textAlignment w:val="center"/>
              <w:rPr>
                <w:rFonts w:ascii="宋体" w:hAnsi="宋体" w:cs="宋体"/>
                <w:bCs/>
                <w:kern w:val="0"/>
                <w:sz w:val="22"/>
              </w:rPr>
            </w:pPr>
            <w:r>
              <w:rPr>
                <w:rFonts w:hint="eastAsia" w:ascii="宋体" w:hAnsi="宋体" w:cs="宋体"/>
                <w:bCs/>
                <w:kern w:val="0"/>
                <w:sz w:val="22"/>
              </w:rPr>
              <w:t>项目位于青岛市体育运动学校内，总建筑面积63310平方米，建设包括：科研图书实验楼、综合服务楼、训练馆、综合比赛训练馆、职工公寓5处功能用房，总投资约5.36亿元。目前已完成建设指标核算和规划论证。</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ascii="宋体" w:hAnsi="宋体" w:cs="宋体"/>
                <w:bCs/>
                <w:kern w:val="0"/>
                <w:sz w:val="22"/>
              </w:rPr>
            </w:pPr>
            <w:r>
              <w:rPr>
                <w:rFonts w:hint="eastAsia" w:ascii="宋体" w:hAnsi="宋体" w:cs="宋体"/>
                <w:bCs/>
                <w:kern w:val="0"/>
                <w:sz w:val="22"/>
              </w:rPr>
              <w:t>5.36</w:t>
            </w:r>
          </w:p>
        </w:tc>
        <w:tc>
          <w:tcPr>
            <w:tcW w:w="58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ascii="宋体" w:hAnsi="宋体" w:cs="宋体"/>
                <w:bCs/>
                <w:kern w:val="0"/>
                <w:sz w:val="22"/>
              </w:rPr>
            </w:pPr>
            <w:r>
              <w:rPr>
                <w:rFonts w:hint="eastAsia" w:ascii="宋体" w:hAnsi="宋体" w:cs="宋体"/>
                <w:bCs/>
                <w:kern w:val="0"/>
                <w:sz w:val="22"/>
              </w:rPr>
              <w:t>市体育局</w:t>
            </w:r>
          </w:p>
        </w:tc>
      </w:tr>
      <w:tr>
        <w:tblPrEx>
          <w:tblCellMar>
            <w:top w:w="0" w:type="dxa"/>
            <w:left w:w="0" w:type="dxa"/>
            <w:bottom w:w="0" w:type="dxa"/>
            <w:right w:w="0" w:type="dxa"/>
          </w:tblCellMar>
        </w:tblPrEx>
        <w:trPr>
          <w:trHeight w:val="859" w:hRule="atLeast"/>
        </w:trPr>
        <w:tc>
          <w:tcPr>
            <w:tcW w:w="20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ascii="宋体" w:hAnsi="宋体" w:cs="宋体"/>
                <w:bCs/>
                <w:sz w:val="22"/>
              </w:rPr>
            </w:pPr>
            <w:r>
              <w:rPr>
                <w:rFonts w:hint="eastAsia" w:ascii="宋体" w:hAnsi="宋体" w:cs="宋体"/>
                <w:bCs/>
                <w:sz w:val="22"/>
              </w:rPr>
              <w:t>9</w:t>
            </w:r>
          </w:p>
        </w:tc>
        <w:tc>
          <w:tcPr>
            <w:tcW w:w="90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ind w:firstLine="0" w:firstLineChars="0"/>
              <w:jc w:val="left"/>
              <w:textAlignment w:val="center"/>
              <w:rPr>
                <w:rFonts w:ascii="宋体" w:hAnsi="宋体" w:cs="宋体"/>
                <w:bCs/>
                <w:kern w:val="0"/>
                <w:sz w:val="22"/>
              </w:rPr>
            </w:pPr>
            <w:r>
              <w:rPr>
                <w:rFonts w:hint="eastAsia" w:ascii="宋体" w:hAnsi="宋体" w:cs="宋体"/>
                <w:bCs/>
                <w:kern w:val="0"/>
                <w:sz w:val="22"/>
              </w:rPr>
              <w:t>世界羽联青岛国际交流中心</w:t>
            </w:r>
          </w:p>
        </w:tc>
        <w:tc>
          <w:tcPr>
            <w:tcW w:w="298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ind w:firstLine="0" w:firstLineChars="0"/>
              <w:jc w:val="left"/>
              <w:textAlignment w:val="center"/>
              <w:rPr>
                <w:rFonts w:ascii="宋体" w:hAnsi="宋体" w:cs="宋体"/>
                <w:bCs/>
                <w:kern w:val="0"/>
                <w:sz w:val="22"/>
              </w:rPr>
            </w:pPr>
            <w:r>
              <w:rPr>
                <w:rFonts w:hint="eastAsia" w:ascii="宋体" w:hAnsi="宋体" w:cs="宋体"/>
                <w:bCs/>
                <w:kern w:val="0"/>
                <w:sz w:val="22"/>
              </w:rPr>
              <w:t>项目占地面积60亩，拟对原世界羽联青岛国际交流中心进行改造扩建，建设世界羽联总部办公区、酒店及会议中心、科研及康复中心、体育馆、博物馆、星光广场等，进一步完善</w:t>
            </w:r>
            <w:r>
              <w:rPr>
                <w:rFonts w:ascii="宋体" w:hAnsi="宋体" w:cs="宋体"/>
                <w:bCs/>
                <w:kern w:val="0"/>
                <w:sz w:val="22"/>
              </w:rPr>
              <w:t>水、电、暖、燃气、排污、道路等市政配套设施</w:t>
            </w:r>
            <w:r>
              <w:rPr>
                <w:rFonts w:hint="eastAsia" w:ascii="宋体" w:hAnsi="宋体" w:cs="宋体"/>
                <w:bCs/>
                <w:kern w:val="0"/>
                <w:sz w:val="22"/>
              </w:rPr>
              <w:t>，满足世界羽联主席办公室、文化发展委员会、推广发展委员会、运动康复中心等相关机构落户青岛交流中心落户青岛需求。建设地点：西海岸新区。</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ascii="宋体" w:hAnsi="宋体" w:cs="宋体"/>
                <w:bCs/>
                <w:kern w:val="0"/>
                <w:sz w:val="22"/>
              </w:rPr>
            </w:pPr>
            <w:r>
              <w:rPr>
                <w:rFonts w:hint="eastAsia" w:ascii="宋体" w:hAnsi="宋体" w:cs="宋体"/>
                <w:bCs/>
                <w:kern w:val="0"/>
                <w:sz w:val="22"/>
              </w:rPr>
              <w:t>8</w:t>
            </w:r>
          </w:p>
        </w:tc>
        <w:tc>
          <w:tcPr>
            <w:tcW w:w="58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ascii="宋体" w:hAnsi="宋体" w:cs="宋体"/>
                <w:bCs/>
                <w:kern w:val="0"/>
                <w:sz w:val="22"/>
              </w:rPr>
            </w:pPr>
            <w:r>
              <w:rPr>
                <w:rFonts w:hint="eastAsia" w:ascii="宋体" w:hAnsi="宋体" w:cs="宋体"/>
                <w:bCs/>
                <w:kern w:val="0"/>
                <w:sz w:val="22"/>
              </w:rPr>
              <w:t>市体育局</w:t>
            </w:r>
          </w:p>
          <w:p>
            <w:pPr>
              <w:widowControl/>
              <w:spacing w:line="240" w:lineRule="auto"/>
              <w:ind w:firstLine="0" w:firstLineChars="0"/>
              <w:jc w:val="center"/>
              <w:textAlignment w:val="center"/>
              <w:rPr>
                <w:rFonts w:ascii="宋体" w:hAnsi="宋体" w:cs="宋体"/>
                <w:bCs/>
                <w:kern w:val="0"/>
                <w:sz w:val="22"/>
              </w:rPr>
            </w:pPr>
            <w:r>
              <w:rPr>
                <w:rFonts w:hint="eastAsia" w:ascii="宋体" w:hAnsi="宋体" w:cs="宋体"/>
                <w:bCs/>
                <w:kern w:val="0"/>
                <w:sz w:val="22"/>
              </w:rPr>
              <w:t>西海岸新区</w:t>
            </w:r>
          </w:p>
        </w:tc>
      </w:tr>
      <w:tr>
        <w:tblPrEx>
          <w:tblCellMar>
            <w:top w:w="0" w:type="dxa"/>
            <w:left w:w="0" w:type="dxa"/>
            <w:bottom w:w="0" w:type="dxa"/>
            <w:right w:w="0" w:type="dxa"/>
          </w:tblCellMar>
        </w:tblPrEx>
        <w:trPr>
          <w:trHeight w:val="859" w:hRule="atLeast"/>
        </w:trPr>
        <w:tc>
          <w:tcPr>
            <w:tcW w:w="20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ascii="宋体" w:hAnsi="宋体" w:cs="宋体"/>
                <w:bCs/>
                <w:sz w:val="22"/>
              </w:rPr>
            </w:pPr>
            <w:r>
              <w:rPr>
                <w:rFonts w:hint="eastAsia" w:ascii="宋体" w:hAnsi="宋体" w:cs="宋体"/>
                <w:bCs/>
                <w:sz w:val="22"/>
              </w:rPr>
              <w:t>10</w:t>
            </w:r>
          </w:p>
        </w:tc>
        <w:tc>
          <w:tcPr>
            <w:tcW w:w="90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ind w:firstLine="0" w:firstLineChars="0"/>
              <w:jc w:val="left"/>
              <w:textAlignment w:val="center"/>
              <w:rPr>
                <w:rFonts w:ascii="宋体" w:hAnsi="宋体" w:cs="宋体"/>
                <w:bCs/>
                <w:kern w:val="0"/>
                <w:sz w:val="22"/>
              </w:rPr>
            </w:pPr>
            <w:r>
              <w:rPr>
                <w:rFonts w:hint="eastAsia" w:ascii="宋体" w:hAnsi="宋体" w:cs="宋体"/>
                <w:bCs/>
                <w:kern w:val="0"/>
                <w:sz w:val="22"/>
              </w:rPr>
              <w:t>中国羽协及中国羽毛球训练基地</w:t>
            </w:r>
          </w:p>
        </w:tc>
        <w:tc>
          <w:tcPr>
            <w:tcW w:w="298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ind w:firstLine="0" w:firstLineChars="0"/>
              <w:jc w:val="left"/>
              <w:textAlignment w:val="center"/>
              <w:rPr>
                <w:rFonts w:ascii="宋体" w:hAnsi="宋体" w:cs="宋体"/>
                <w:bCs/>
                <w:kern w:val="0"/>
                <w:sz w:val="22"/>
              </w:rPr>
            </w:pPr>
            <w:r>
              <w:rPr>
                <w:rFonts w:hint="eastAsia" w:ascii="宋体" w:hAnsi="宋体" w:cs="宋体"/>
                <w:bCs/>
                <w:kern w:val="0"/>
                <w:sz w:val="22"/>
              </w:rPr>
              <w:t>用地面积约60亩，依托</w:t>
            </w:r>
            <w:r>
              <w:rPr>
                <w:rFonts w:ascii="宋体" w:hAnsi="宋体" w:cs="宋体"/>
                <w:bCs/>
                <w:kern w:val="0"/>
                <w:sz w:val="22"/>
              </w:rPr>
              <w:t>古镇口大学城体育中心现有体育场馆，同步规划</w:t>
            </w:r>
            <w:r>
              <w:rPr>
                <w:rFonts w:hint="eastAsia" w:ascii="宋体" w:hAnsi="宋体" w:cs="宋体"/>
                <w:bCs/>
                <w:kern w:val="0"/>
                <w:sz w:val="22"/>
              </w:rPr>
              <w:t>建设中国羽协及中国羽毛球训练基地，主要包括办公、训练和生活三大区域。办公区域需满足中国羽协日常办公、会议、培训、科研等工作条件。</w:t>
            </w:r>
            <w:r>
              <w:rPr>
                <w:rFonts w:ascii="宋体" w:hAnsi="宋体" w:cs="宋体"/>
                <w:bCs/>
                <w:kern w:val="0"/>
                <w:sz w:val="22"/>
              </w:rPr>
              <w:t>训练区域需</w:t>
            </w:r>
            <w:r>
              <w:rPr>
                <w:rFonts w:hint="eastAsia" w:ascii="宋体" w:hAnsi="宋体" w:cs="宋体"/>
                <w:bCs/>
                <w:kern w:val="0"/>
                <w:sz w:val="22"/>
              </w:rPr>
              <w:t>满足中国羽毛球队、中国青年羽毛球队和中国少年羽毛球队，同时训练所需技术、体能、医疗康复等条件。生活区域需提供不低于三星级酒店标准的运动员公寓、教练员公寓，满足所有运动员、教练员和工作人员生活、学习以及娱乐的配套设施。建设地点：西海岸新区。</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ascii="宋体" w:hAnsi="宋体" w:cs="宋体"/>
                <w:bCs/>
                <w:kern w:val="0"/>
                <w:sz w:val="22"/>
              </w:rPr>
            </w:pPr>
            <w:r>
              <w:rPr>
                <w:rFonts w:hint="eastAsia" w:ascii="宋体" w:hAnsi="宋体" w:cs="宋体"/>
                <w:bCs/>
                <w:kern w:val="0"/>
                <w:sz w:val="22"/>
              </w:rPr>
              <w:t>4</w:t>
            </w:r>
          </w:p>
        </w:tc>
        <w:tc>
          <w:tcPr>
            <w:tcW w:w="58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ind w:firstLine="0" w:firstLineChars="0"/>
              <w:jc w:val="center"/>
              <w:textAlignment w:val="center"/>
              <w:rPr>
                <w:rFonts w:ascii="宋体" w:hAnsi="宋体" w:cs="宋体"/>
                <w:bCs/>
                <w:kern w:val="0"/>
                <w:sz w:val="22"/>
              </w:rPr>
            </w:pPr>
            <w:r>
              <w:rPr>
                <w:rFonts w:hint="eastAsia" w:ascii="宋体" w:hAnsi="宋体" w:cs="宋体"/>
                <w:bCs/>
                <w:kern w:val="0"/>
                <w:sz w:val="22"/>
              </w:rPr>
              <w:t>市体育局</w:t>
            </w:r>
          </w:p>
          <w:p>
            <w:pPr>
              <w:widowControl/>
              <w:spacing w:line="240" w:lineRule="auto"/>
              <w:ind w:firstLine="0" w:firstLineChars="0"/>
              <w:jc w:val="center"/>
              <w:textAlignment w:val="center"/>
              <w:rPr>
                <w:rFonts w:ascii="宋体" w:hAnsi="宋体" w:cs="宋体"/>
                <w:bCs/>
                <w:kern w:val="0"/>
                <w:sz w:val="22"/>
              </w:rPr>
            </w:pPr>
            <w:r>
              <w:rPr>
                <w:rFonts w:hint="eastAsia" w:ascii="宋体" w:hAnsi="宋体" w:cs="宋体"/>
                <w:bCs/>
                <w:kern w:val="0"/>
                <w:sz w:val="22"/>
              </w:rPr>
              <w:t>西海岸新区</w:t>
            </w:r>
          </w:p>
        </w:tc>
      </w:tr>
    </w:tbl>
    <w:p>
      <w:pPr>
        <w:ind w:firstLine="640"/>
        <w:rPr>
          <w:rFonts w:ascii="楷体" w:hAnsi="楷体" w:eastAsia="楷体"/>
          <w:bCs/>
          <w:szCs w:val="32"/>
        </w:rPr>
      </w:pPr>
    </w:p>
    <w:sectPr>
      <w:pgSz w:w="16838" w:h="11906" w:orient="landscape"/>
      <w:pgMar w:top="1588" w:right="1588" w:bottom="1588" w:left="1588" w:header="851" w:footer="992"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jc w:val="center"/>
    </w:pPr>
  </w:p>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1889060"/>
      <w:docPartObj>
        <w:docPartGallery w:val="autotext"/>
      </w:docPartObj>
    </w:sdtPr>
    <w:sdtContent>
      <w:p>
        <w:pPr>
          <w:pStyle w:val="4"/>
          <w:ind w:firstLine="360"/>
          <w:jc w:val="center"/>
        </w:pPr>
        <w:r>
          <w:fldChar w:fldCharType="begin"/>
        </w:r>
        <w:r>
          <w:instrText xml:space="preserve">PAGE   \* MERGEFORMAT</w:instrText>
        </w:r>
        <w:r>
          <w:fldChar w:fldCharType="separate"/>
        </w:r>
        <w:r>
          <w:rPr>
            <w:lang w:val="zh-CN"/>
          </w:rPr>
          <w:t>I</w:t>
        </w:r>
        <w:r>
          <w:rPr>
            <w:lang w:val="zh-CN"/>
          </w:rPr>
          <w:fldChar w:fldCharType="end"/>
        </w:r>
      </w:p>
    </w:sdtContent>
  </w:sdt>
  <w:p>
    <w:pPr>
      <w:pStyle w:val="4"/>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12311238"/>
      <w:docPartObj>
        <w:docPartGallery w:val="autotext"/>
      </w:docPartObj>
    </w:sdtPr>
    <w:sdtContent>
      <w:p>
        <w:pPr>
          <w:pStyle w:val="4"/>
          <w:ind w:firstLine="360"/>
          <w:jc w:val="center"/>
        </w:pPr>
        <w:r>
          <w:fldChar w:fldCharType="begin"/>
        </w:r>
        <w:r>
          <w:instrText xml:space="preserve">PAGE   \* MERGEFORMAT</w:instrText>
        </w:r>
        <w:r>
          <w:fldChar w:fldCharType="separate"/>
        </w:r>
        <w:r>
          <w:rPr>
            <w:lang w:val="zh-CN"/>
          </w:rPr>
          <w:t>40</w:t>
        </w:r>
        <w:r>
          <w:rPr>
            <w:lang w:val="zh-CN"/>
          </w:rPr>
          <w:fldChar w:fldCharType="end"/>
        </w:r>
      </w:p>
    </w:sdtContent>
  </w:sdt>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C8722A"/>
    <w:multiLevelType w:val="multilevel"/>
    <w:tmpl w:val="09C8722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2E8A17A2"/>
    <w:multiLevelType w:val="multilevel"/>
    <w:tmpl w:val="2E8A17A2"/>
    <w:lvl w:ilvl="0" w:tentative="0">
      <w:start w:val="1"/>
      <w:numFmt w:val="bullet"/>
      <w:lvlText w:val=""/>
      <w:lvlJc w:val="left"/>
      <w:pPr>
        <w:ind w:left="1300" w:hanging="420"/>
      </w:pPr>
      <w:rPr>
        <w:rFonts w:hint="default" w:ascii="Wingdings" w:hAnsi="Wingdings"/>
      </w:rPr>
    </w:lvl>
    <w:lvl w:ilvl="1" w:tentative="0">
      <w:start w:val="1"/>
      <w:numFmt w:val="bullet"/>
      <w:lvlText w:val=""/>
      <w:lvlJc w:val="left"/>
      <w:pPr>
        <w:ind w:left="1720" w:hanging="420"/>
      </w:pPr>
      <w:rPr>
        <w:rFonts w:hint="default" w:ascii="Wingdings" w:hAnsi="Wingdings"/>
      </w:rPr>
    </w:lvl>
    <w:lvl w:ilvl="2" w:tentative="0">
      <w:start w:val="1"/>
      <w:numFmt w:val="bullet"/>
      <w:lvlText w:val=""/>
      <w:lvlJc w:val="left"/>
      <w:pPr>
        <w:ind w:left="2140" w:hanging="420"/>
      </w:pPr>
      <w:rPr>
        <w:rFonts w:hint="default" w:ascii="Wingdings" w:hAnsi="Wingdings"/>
      </w:rPr>
    </w:lvl>
    <w:lvl w:ilvl="3" w:tentative="0">
      <w:start w:val="1"/>
      <w:numFmt w:val="bullet"/>
      <w:lvlText w:val=""/>
      <w:lvlJc w:val="left"/>
      <w:pPr>
        <w:ind w:left="2560" w:hanging="420"/>
      </w:pPr>
      <w:rPr>
        <w:rFonts w:hint="default" w:ascii="Wingdings" w:hAnsi="Wingdings"/>
      </w:rPr>
    </w:lvl>
    <w:lvl w:ilvl="4" w:tentative="0">
      <w:start w:val="1"/>
      <w:numFmt w:val="bullet"/>
      <w:lvlText w:val=""/>
      <w:lvlJc w:val="left"/>
      <w:pPr>
        <w:ind w:left="2980" w:hanging="420"/>
      </w:pPr>
      <w:rPr>
        <w:rFonts w:hint="default" w:ascii="Wingdings" w:hAnsi="Wingdings"/>
      </w:rPr>
    </w:lvl>
    <w:lvl w:ilvl="5" w:tentative="0">
      <w:start w:val="1"/>
      <w:numFmt w:val="bullet"/>
      <w:lvlText w:val=""/>
      <w:lvlJc w:val="left"/>
      <w:pPr>
        <w:ind w:left="3400" w:hanging="420"/>
      </w:pPr>
      <w:rPr>
        <w:rFonts w:hint="default" w:ascii="Wingdings" w:hAnsi="Wingdings"/>
      </w:rPr>
    </w:lvl>
    <w:lvl w:ilvl="6" w:tentative="0">
      <w:start w:val="1"/>
      <w:numFmt w:val="bullet"/>
      <w:lvlText w:val=""/>
      <w:lvlJc w:val="left"/>
      <w:pPr>
        <w:ind w:left="3820" w:hanging="420"/>
      </w:pPr>
      <w:rPr>
        <w:rFonts w:hint="default" w:ascii="Wingdings" w:hAnsi="Wingdings"/>
      </w:rPr>
    </w:lvl>
    <w:lvl w:ilvl="7" w:tentative="0">
      <w:start w:val="1"/>
      <w:numFmt w:val="bullet"/>
      <w:lvlText w:val=""/>
      <w:lvlJc w:val="left"/>
      <w:pPr>
        <w:ind w:left="4240" w:hanging="420"/>
      </w:pPr>
      <w:rPr>
        <w:rFonts w:hint="default" w:ascii="Wingdings" w:hAnsi="Wingdings"/>
      </w:rPr>
    </w:lvl>
    <w:lvl w:ilvl="8" w:tentative="0">
      <w:start w:val="1"/>
      <w:numFmt w:val="bullet"/>
      <w:lvlText w:val=""/>
      <w:lvlJc w:val="left"/>
      <w:pPr>
        <w:ind w:left="466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60"/>
  <w:drawingGridVerticalSpacing w:val="435"/>
  <w:displayHorizont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202"/>
    <w:rsid w:val="00000BF9"/>
    <w:rsid w:val="0000671F"/>
    <w:rsid w:val="000104BB"/>
    <w:rsid w:val="00011E87"/>
    <w:rsid w:val="00017B36"/>
    <w:rsid w:val="0004020E"/>
    <w:rsid w:val="00046C0B"/>
    <w:rsid w:val="0005313D"/>
    <w:rsid w:val="000546B6"/>
    <w:rsid w:val="00060D03"/>
    <w:rsid w:val="00067D1A"/>
    <w:rsid w:val="00076E4A"/>
    <w:rsid w:val="00090359"/>
    <w:rsid w:val="000917A2"/>
    <w:rsid w:val="000A1193"/>
    <w:rsid w:val="000A6D90"/>
    <w:rsid w:val="000B1C3A"/>
    <w:rsid w:val="000B3798"/>
    <w:rsid w:val="000B477F"/>
    <w:rsid w:val="000B6FE9"/>
    <w:rsid w:val="000C7C0D"/>
    <w:rsid w:val="000D362F"/>
    <w:rsid w:val="000D4272"/>
    <w:rsid w:val="000D6BC1"/>
    <w:rsid w:val="000E1838"/>
    <w:rsid w:val="000E47D2"/>
    <w:rsid w:val="000F2DAD"/>
    <w:rsid w:val="00107CDD"/>
    <w:rsid w:val="00114656"/>
    <w:rsid w:val="00115628"/>
    <w:rsid w:val="001173B1"/>
    <w:rsid w:val="00117863"/>
    <w:rsid w:val="001226D1"/>
    <w:rsid w:val="00123C6E"/>
    <w:rsid w:val="00126BAA"/>
    <w:rsid w:val="00133913"/>
    <w:rsid w:val="00137A35"/>
    <w:rsid w:val="001421D7"/>
    <w:rsid w:val="001437CE"/>
    <w:rsid w:val="001457CF"/>
    <w:rsid w:val="00155D2F"/>
    <w:rsid w:val="001678E9"/>
    <w:rsid w:val="001721BD"/>
    <w:rsid w:val="00176C47"/>
    <w:rsid w:val="00176E2F"/>
    <w:rsid w:val="00181745"/>
    <w:rsid w:val="00183B66"/>
    <w:rsid w:val="00184EA6"/>
    <w:rsid w:val="001874E7"/>
    <w:rsid w:val="00191783"/>
    <w:rsid w:val="00194B2F"/>
    <w:rsid w:val="00194F74"/>
    <w:rsid w:val="00196585"/>
    <w:rsid w:val="001A11D9"/>
    <w:rsid w:val="001A4F7A"/>
    <w:rsid w:val="001A605C"/>
    <w:rsid w:val="001B10AD"/>
    <w:rsid w:val="001B2634"/>
    <w:rsid w:val="001B560D"/>
    <w:rsid w:val="001B772D"/>
    <w:rsid w:val="001C194D"/>
    <w:rsid w:val="001C28CC"/>
    <w:rsid w:val="001C295C"/>
    <w:rsid w:val="001C4016"/>
    <w:rsid w:val="001D1386"/>
    <w:rsid w:val="001F3A94"/>
    <w:rsid w:val="001F6607"/>
    <w:rsid w:val="001F72C5"/>
    <w:rsid w:val="00207EB6"/>
    <w:rsid w:val="00212AA8"/>
    <w:rsid w:val="002231D0"/>
    <w:rsid w:val="00225530"/>
    <w:rsid w:val="00235D1E"/>
    <w:rsid w:val="0023629B"/>
    <w:rsid w:val="00237C8E"/>
    <w:rsid w:val="0024140B"/>
    <w:rsid w:val="002502C5"/>
    <w:rsid w:val="00254AE8"/>
    <w:rsid w:val="00254BC2"/>
    <w:rsid w:val="00295C44"/>
    <w:rsid w:val="002B3DA8"/>
    <w:rsid w:val="002C3ABF"/>
    <w:rsid w:val="002D2CE8"/>
    <w:rsid w:val="002D708F"/>
    <w:rsid w:val="002E17EA"/>
    <w:rsid w:val="002F552E"/>
    <w:rsid w:val="00303C86"/>
    <w:rsid w:val="00305BFB"/>
    <w:rsid w:val="00307480"/>
    <w:rsid w:val="003138EB"/>
    <w:rsid w:val="00316639"/>
    <w:rsid w:val="00316D8D"/>
    <w:rsid w:val="003217A7"/>
    <w:rsid w:val="00321B28"/>
    <w:rsid w:val="00326E80"/>
    <w:rsid w:val="00336B1B"/>
    <w:rsid w:val="0035290D"/>
    <w:rsid w:val="00354495"/>
    <w:rsid w:val="0035463D"/>
    <w:rsid w:val="00355022"/>
    <w:rsid w:val="00356C86"/>
    <w:rsid w:val="0037215F"/>
    <w:rsid w:val="00377476"/>
    <w:rsid w:val="00380890"/>
    <w:rsid w:val="00383409"/>
    <w:rsid w:val="00386D3B"/>
    <w:rsid w:val="00391707"/>
    <w:rsid w:val="003A1817"/>
    <w:rsid w:val="003A4589"/>
    <w:rsid w:val="003A51D7"/>
    <w:rsid w:val="003A5C95"/>
    <w:rsid w:val="003A70D1"/>
    <w:rsid w:val="003B004B"/>
    <w:rsid w:val="003B090F"/>
    <w:rsid w:val="003C495E"/>
    <w:rsid w:val="003D6DC1"/>
    <w:rsid w:val="003E1BAB"/>
    <w:rsid w:val="003E628A"/>
    <w:rsid w:val="003F0B97"/>
    <w:rsid w:val="003F325C"/>
    <w:rsid w:val="003F485A"/>
    <w:rsid w:val="00400ADB"/>
    <w:rsid w:val="004063C3"/>
    <w:rsid w:val="0041043A"/>
    <w:rsid w:val="00410E95"/>
    <w:rsid w:val="0041188A"/>
    <w:rsid w:val="004133EB"/>
    <w:rsid w:val="00413BE0"/>
    <w:rsid w:val="00417185"/>
    <w:rsid w:val="0042022C"/>
    <w:rsid w:val="00422C6E"/>
    <w:rsid w:val="004278C1"/>
    <w:rsid w:val="004309B4"/>
    <w:rsid w:val="004413E3"/>
    <w:rsid w:val="004579B5"/>
    <w:rsid w:val="004724FA"/>
    <w:rsid w:val="00475580"/>
    <w:rsid w:val="004757F6"/>
    <w:rsid w:val="00475C6C"/>
    <w:rsid w:val="00482EBB"/>
    <w:rsid w:val="0048360C"/>
    <w:rsid w:val="00483A9E"/>
    <w:rsid w:val="00485143"/>
    <w:rsid w:val="00492A1C"/>
    <w:rsid w:val="004945A9"/>
    <w:rsid w:val="004A0039"/>
    <w:rsid w:val="004B62F1"/>
    <w:rsid w:val="004C3254"/>
    <w:rsid w:val="004C55D6"/>
    <w:rsid w:val="004C5692"/>
    <w:rsid w:val="004D0091"/>
    <w:rsid w:val="004D00F5"/>
    <w:rsid w:val="004D1393"/>
    <w:rsid w:val="004D3889"/>
    <w:rsid w:val="004E05FF"/>
    <w:rsid w:val="004E249F"/>
    <w:rsid w:val="004E4CA2"/>
    <w:rsid w:val="004F0CD5"/>
    <w:rsid w:val="004F2714"/>
    <w:rsid w:val="00500C16"/>
    <w:rsid w:val="00516071"/>
    <w:rsid w:val="00523087"/>
    <w:rsid w:val="005241FD"/>
    <w:rsid w:val="00531EA2"/>
    <w:rsid w:val="005328A7"/>
    <w:rsid w:val="00533342"/>
    <w:rsid w:val="00533B74"/>
    <w:rsid w:val="005461AC"/>
    <w:rsid w:val="00553C45"/>
    <w:rsid w:val="0055547D"/>
    <w:rsid w:val="00556005"/>
    <w:rsid w:val="00556B95"/>
    <w:rsid w:val="0056505D"/>
    <w:rsid w:val="00577684"/>
    <w:rsid w:val="00590DDA"/>
    <w:rsid w:val="00591F16"/>
    <w:rsid w:val="005954C2"/>
    <w:rsid w:val="005A134A"/>
    <w:rsid w:val="005A3314"/>
    <w:rsid w:val="005A46E7"/>
    <w:rsid w:val="005A5115"/>
    <w:rsid w:val="005B5AB6"/>
    <w:rsid w:val="005C0C8A"/>
    <w:rsid w:val="005C0CA1"/>
    <w:rsid w:val="005C690E"/>
    <w:rsid w:val="005D2C48"/>
    <w:rsid w:val="005E0738"/>
    <w:rsid w:val="005E07C8"/>
    <w:rsid w:val="005E35BA"/>
    <w:rsid w:val="005E65DA"/>
    <w:rsid w:val="005F4CD9"/>
    <w:rsid w:val="006007B8"/>
    <w:rsid w:val="00603087"/>
    <w:rsid w:val="006049A1"/>
    <w:rsid w:val="00612562"/>
    <w:rsid w:val="00620205"/>
    <w:rsid w:val="0062059E"/>
    <w:rsid w:val="00621075"/>
    <w:rsid w:val="006220A7"/>
    <w:rsid w:val="00636584"/>
    <w:rsid w:val="00646D07"/>
    <w:rsid w:val="00647EFF"/>
    <w:rsid w:val="00655F88"/>
    <w:rsid w:val="006578C3"/>
    <w:rsid w:val="00660B5C"/>
    <w:rsid w:val="00666A08"/>
    <w:rsid w:val="006672F8"/>
    <w:rsid w:val="00674500"/>
    <w:rsid w:val="00681542"/>
    <w:rsid w:val="006A26F2"/>
    <w:rsid w:val="006B36E1"/>
    <w:rsid w:val="006C260F"/>
    <w:rsid w:val="006C3D52"/>
    <w:rsid w:val="006D2D9E"/>
    <w:rsid w:val="006D58CA"/>
    <w:rsid w:val="006E262D"/>
    <w:rsid w:val="006E6D7D"/>
    <w:rsid w:val="006F2D61"/>
    <w:rsid w:val="006F5FC2"/>
    <w:rsid w:val="006F60B8"/>
    <w:rsid w:val="006F675E"/>
    <w:rsid w:val="00702C1E"/>
    <w:rsid w:val="0071050D"/>
    <w:rsid w:val="0071577A"/>
    <w:rsid w:val="00722A96"/>
    <w:rsid w:val="00731C4A"/>
    <w:rsid w:val="007339B4"/>
    <w:rsid w:val="00740E06"/>
    <w:rsid w:val="00745CAA"/>
    <w:rsid w:val="00751A66"/>
    <w:rsid w:val="0075359A"/>
    <w:rsid w:val="00753B33"/>
    <w:rsid w:val="0076285F"/>
    <w:rsid w:val="00765DA2"/>
    <w:rsid w:val="00770582"/>
    <w:rsid w:val="00775D2C"/>
    <w:rsid w:val="00776DE1"/>
    <w:rsid w:val="0077728D"/>
    <w:rsid w:val="00784E79"/>
    <w:rsid w:val="00797577"/>
    <w:rsid w:val="007A170A"/>
    <w:rsid w:val="007B5D66"/>
    <w:rsid w:val="007B75FE"/>
    <w:rsid w:val="007C68D6"/>
    <w:rsid w:val="007D7580"/>
    <w:rsid w:val="007E24ED"/>
    <w:rsid w:val="007E35A2"/>
    <w:rsid w:val="007F74D6"/>
    <w:rsid w:val="00800691"/>
    <w:rsid w:val="00810BB2"/>
    <w:rsid w:val="00814C85"/>
    <w:rsid w:val="00817206"/>
    <w:rsid w:val="008223C1"/>
    <w:rsid w:val="00823A69"/>
    <w:rsid w:val="00824130"/>
    <w:rsid w:val="00831910"/>
    <w:rsid w:val="00837610"/>
    <w:rsid w:val="008458CF"/>
    <w:rsid w:val="00860F3A"/>
    <w:rsid w:val="00862C18"/>
    <w:rsid w:val="008659B0"/>
    <w:rsid w:val="00874336"/>
    <w:rsid w:val="00875A30"/>
    <w:rsid w:val="00876CB7"/>
    <w:rsid w:val="008A2AFF"/>
    <w:rsid w:val="008C496B"/>
    <w:rsid w:val="008D1EB3"/>
    <w:rsid w:val="008E6D0C"/>
    <w:rsid w:val="008E75B1"/>
    <w:rsid w:val="008F1139"/>
    <w:rsid w:val="008F4BE3"/>
    <w:rsid w:val="008F6771"/>
    <w:rsid w:val="008F6DB3"/>
    <w:rsid w:val="00902401"/>
    <w:rsid w:val="0090346A"/>
    <w:rsid w:val="009045CA"/>
    <w:rsid w:val="00907CFA"/>
    <w:rsid w:val="0092583B"/>
    <w:rsid w:val="009440E2"/>
    <w:rsid w:val="00950BDB"/>
    <w:rsid w:val="0095456E"/>
    <w:rsid w:val="00962DAD"/>
    <w:rsid w:val="0097106D"/>
    <w:rsid w:val="0098342B"/>
    <w:rsid w:val="009918BD"/>
    <w:rsid w:val="00994680"/>
    <w:rsid w:val="00994DCD"/>
    <w:rsid w:val="009975F3"/>
    <w:rsid w:val="009A3354"/>
    <w:rsid w:val="009A3F1B"/>
    <w:rsid w:val="009A5E7E"/>
    <w:rsid w:val="009B0328"/>
    <w:rsid w:val="009C2418"/>
    <w:rsid w:val="009C40DF"/>
    <w:rsid w:val="009E1122"/>
    <w:rsid w:val="009E483B"/>
    <w:rsid w:val="009E4CB5"/>
    <w:rsid w:val="009F21D6"/>
    <w:rsid w:val="009F551B"/>
    <w:rsid w:val="009F6D32"/>
    <w:rsid w:val="00A01864"/>
    <w:rsid w:val="00A04166"/>
    <w:rsid w:val="00A04202"/>
    <w:rsid w:val="00A04B40"/>
    <w:rsid w:val="00A06853"/>
    <w:rsid w:val="00A07665"/>
    <w:rsid w:val="00A115D8"/>
    <w:rsid w:val="00A21562"/>
    <w:rsid w:val="00A24E2B"/>
    <w:rsid w:val="00A33B68"/>
    <w:rsid w:val="00A340D3"/>
    <w:rsid w:val="00A37207"/>
    <w:rsid w:val="00A44866"/>
    <w:rsid w:val="00A46AE7"/>
    <w:rsid w:val="00A51371"/>
    <w:rsid w:val="00A54EC0"/>
    <w:rsid w:val="00A70FA9"/>
    <w:rsid w:val="00A749EF"/>
    <w:rsid w:val="00A83F1D"/>
    <w:rsid w:val="00A87C7A"/>
    <w:rsid w:val="00A927D8"/>
    <w:rsid w:val="00A96E60"/>
    <w:rsid w:val="00AC0F5D"/>
    <w:rsid w:val="00AD67DF"/>
    <w:rsid w:val="00AE29E2"/>
    <w:rsid w:val="00AE47E7"/>
    <w:rsid w:val="00AE6BAB"/>
    <w:rsid w:val="00AF1B73"/>
    <w:rsid w:val="00AF2063"/>
    <w:rsid w:val="00B02BE6"/>
    <w:rsid w:val="00B07A53"/>
    <w:rsid w:val="00B10A48"/>
    <w:rsid w:val="00B129E2"/>
    <w:rsid w:val="00B17A94"/>
    <w:rsid w:val="00B32754"/>
    <w:rsid w:val="00B34857"/>
    <w:rsid w:val="00B42D99"/>
    <w:rsid w:val="00B4542B"/>
    <w:rsid w:val="00B52972"/>
    <w:rsid w:val="00B53684"/>
    <w:rsid w:val="00B57BE9"/>
    <w:rsid w:val="00B57D09"/>
    <w:rsid w:val="00B60F7B"/>
    <w:rsid w:val="00B82C45"/>
    <w:rsid w:val="00B87CCC"/>
    <w:rsid w:val="00B97223"/>
    <w:rsid w:val="00BA0183"/>
    <w:rsid w:val="00BA2C35"/>
    <w:rsid w:val="00BA51CB"/>
    <w:rsid w:val="00BA6196"/>
    <w:rsid w:val="00BA63F0"/>
    <w:rsid w:val="00BB2868"/>
    <w:rsid w:val="00BC4BC8"/>
    <w:rsid w:val="00BD3ED2"/>
    <w:rsid w:val="00BF2B64"/>
    <w:rsid w:val="00BF354F"/>
    <w:rsid w:val="00C05DD5"/>
    <w:rsid w:val="00C14FBC"/>
    <w:rsid w:val="00C17854"/>
    <w:rsid w:val="00C27627"/>
    <w:rsid w:val="00C34997"/>
    <w:rsid w:val="00C4261C"/>
    <w:rsid w:val="00C61BCE"/>
    <w:rsid w:val="00C72AE6"/>
    <w:rsid w:val="00C75250"/>
    <w:rsid w:val="00C7545E"/>
    <w:rsid w:val="00C81DFA"/>
    <w:rsid w:val="00C90374"/>
    <w:rsid w:val="00CA09CC"/>
    <w:rsid w:val="00CB6FC7"/>
    <w:rsid w:val="00CC06C9"/>
    <w:rsid w:val="00CC3039"/>
    <w:rsid w:val="00CC48FB"/>
    <w:rsid w:val="00CC7E0E"/>
    <w:rsid w:val="00CD0A29"/>
    <w:rsid w:val="00CD1455"/>
    <w:rsid w:val="00CD5AFE"/>
    <w:rsid w:val="00CD6405"/>
    <w:rsid w:val="00CE4DB7"/>
    <w:rsid w:val="00CF2D81"/>
    <w:rsid w:val="00CF42C9"/>
    <w:rsid w:val="00D02328"/>
    <w:rsid w:val="00D0570F"/>
    <w:rsid w:val="00D05AD4"/>
    <w:rsid w:val="00D20598"/>
    <w:rsid w:val="00D27212"/>
    <w:rsid w:val="00D652B4"/>
    <w:rsid w:val="00D73C00"/>
    <w:rsid w:val="00D84CBF"/>
    <w:rsid w:val="00DA0D0C"/>
    <w:rsid w:val="00DA36CC"/>
    <w:rsid w:val="00DB0399"/>
    <w:rsid w:val="00DB1D24"/>
    <w:rsid w:val="00DB1D6A"/>
    <w:rsid w:val="00DB2602"/>
    <w:rsid w:val="00DB6174"/>
    <w:rsid w:val="00DC1874"/>
    <w:rsid w:val="00DC3E1F"/>
    <w:rsid w:val="00DC49E9"/>
    <w:rsid w:val="00DC5E08"/>
    <w:rsid w:val="00DF10E5"/>
    <w:rsid w:val="00E02171"/>
    <w:rsid w:val="00E158BA"/>
    <w:rsid w:val="00E26E55"/>
    <w:rsid w:val="00E270C4"/>
    <w:rsid w:val="00E2710E"/>
    <w:rsid w:val="00E32A35"/>
    <w:rsid w:val="00E40FC9"/>
    <w:rsid w:val="00E42DB1"/>
    <w:rsid w:val="00E459EE"/>
    <w:rsid w:val="00E5360F"/>
    <w:rsid w:val="00E62EAA"/>
    <w:rsid w:val="00E81C6A"/>
    <w:rsid w:val="00E8666F"/>
    <w:rsid w:val="00E86FB2"/>
    <w:rsid w:val="00E9062A"/>
    <w:rsid w:val="00E91C2B"/>
    <w:rsid w:val="00EA053A"/>
    <w:rsid w:val="00EA53D6"/>
    <w:rsid w:val="00EA6DD7"/>
    <w:rsid w:val="00EB078C"/>
    <w:rsid w:val="00EB347B"/>
    <w:rsid w:val="00EB4480"/>
    <w:rsid w:val="00ED5E97"/>
    <w:rsid w:val="00EE635F"/>
    <w:rsid w:val="00EE6ECF"/>
    <w:rsid w:val="00EF0D86"/>
    <w:rsid w:val="00EF31BA"/>
    <w:rsid w:val="00EF5CF1"/>
    <w:rsid w:val="00F05CE9"/>
    <w:rsid w:val="00F07D18"/>
    <w:rsid w:val="00F07E5C"/>
    <w:rsid w:val="00F10B04"/>
    <w:rsid w:val="00F15FF8"/>
    <w:rsid w:val="00F33AD1"/>
    <w:rsid w:val="00F371C1"/>
    <w:rsid w:val="00F5157B"/>
    <w:rsid w:val="00F530A0"/>
    <w:rsid w:val="00F537E9"/>
    <w:rsid w:val="00F546BA"/>
    <w:rsid w:val="00F549E5"/>
    <w:rsid w:val="00F57EB8"/>
    <w:rsid w:val="00F60FEB"/>
    <w:rsid w:val="00F72A80"/>
    <w:rsid w:val="00F83572"/>
    <w:rsid w:val="00F83944"/>
    <w:rsid w:val="00F83F42"/>
    <w:rsid w:val="00F84FEE"/>
    <w:rsid w:val="00F85B3F"/>
    <w:rsid w:val="00F90BBF"/>
    <w:rsid w:val="00FA4F6A"/>
    <w:rsid w:val="00FA5239"/>
    <w:rsid w:val="00FA69E3"/>
    <w:rsid w:val="00FB36CB"/>
    <w:rsid w:val="00FB6051"/>
    <w:rsid w:val="00FC265D"/>
    <w:rsid w:val="00FD2243"/>
    <w:rsid w:val="00FE2476"/>
    <w:rsid w:val="00FE542D"/>
    <w:rsid w:val="00FF49D6"/>
    <w:rsid w:val="14E75731"/>
    <w:rsid w:val="16CC4474"/>
    <w:rsid w:val="4C9F0DD4"/>
    <w:rsid w:val="4F347D66"/>
    <w:rsid w:val="5645515C"/>
    <w:rsid w:val="6A315174"/>
    <w:rsid w:val="6D722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Times New Roman" w:hAnsi="Times New Roman" w:eastAsia="仿宋_GB2312" w:cstheme="minorBidi"/>
      <w:kern w:val="2"/>
      <w:sz w:val="32"/>
      <w:szCs w:val="22"/>
      <w:lang w:val="en-US" w:eastAsia="zh-CN" w:bidi="ar-SA"/>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semiHidden/>
    <w:unhideWhenUsed/>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qFormat/>
    <w:uiPriority w:val="39"/>
    <w:pPr>
      <w:tabs>
        <w:tab w:val="right" w:leader="dot" w:pos="8720"/>
      </w:tabs>
      <w:ind w:firstLine="0" w:firstLineChars="0"/>
    </w:pPr>
  </w:style>
  <w:style w:type="paragraph" w:styleId="7">
    <w:name w:val="toc 2"/>
    <w:basedOn w:val="1"/>
    <w:next w:val="1"/>
    <w:unhideWhenUsed/>
    <w:qFormat/>
    <w:uiPriority w:val="39"/>
    <w:pPr>
      <w:ind w:left="420" w:leftChars="200"/>
    </w:p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annotation subject"/>
    <w:basedOn w:val="2"/>
    <w:next w:val="2"/>
    <w:link w:val="20"/>
    <w:semiHidden/>
    <w:unhideWhenUsed/>
    <w:qFormat/>
    <w:uiPriority w:val="99"/>
    <w:rPr>
      <w:b/>
      <w:bCs/>
    </w:rPr>
  </w:style>
  <w:style w:type="character" w:styleId="12">
    <w:name w:val="Hyperlink"/>
    <w:basedOn w:val="11"/>
    <w:unhideWhenUsed/>
    <w:qFormat/>
    <w:uiPriority w:val="99"/>
    <w:rPr>
      <w:color w:val="0000FF" w:themeColor="hyperlink"/>
      <w:u w:val="single"/>
      <w14:textFill>
        <w14:solidFill>
          <w14:schemeClr w14:val="hlink"/>
        </w14:solidFill>
      </w14:textFill>
    </w:rPr>
  </w:style>
  <w:style w:type="character" w:styleId="13">
    <w:name w:val="annotation reference"/>
    <w:basedOn w:val="11"/>
    <w:semiHidden/>
    <w:unhideWhenUsed/>
    <w:qFormat/>
    <w:uiPriority w:val="99"/>
    <w:rPr>
      <w:sz w:val="21"/>
      <w:szCs w:val="21"/>
    </w:rPr>
  </w:style>
  <w:style w:type="character" w:customStyle="1" w:styleId="14">
    <w:name w:val="页眉 Char"/>
    <w:basedOn w:val="11"/>
    <w:link w:val="5"/>
    <w:qFormat/>
    <w:uiPriority w:val="99"/>
    <w:rPr>
      <w:sz w:val="18"/>
      <w:szCs w:val="18"/>
    </w:rPr>
  </w:style>
  <w:style w:type="character" w:customStyle="1" w:styleId="15">
    <w:name w:val="页脚 Char"/>
    <w:basedOn w:val="11"/>
    <w:link w:val="4"/>
    <w:qFormat/>
    <w:uiPriority w:val="99"/>
    <w:rPr>
      <w:sz w:val="18"/>
      <w:szCs w:val="18"/>
    </w:rPr>
  </w:style>
  <w:style w:type="character" w:customStyle="1" w:styleId="16">
    <w:name w:val="批注框文本 Char"/>
    <w:basedOn w:val="11"/>
    <w:link w:val="3"/>
    <w:semiHidden/>
    <w:qFormat/>
    <w:uiPriority w:val="99"/>
    <w:rPr>
      <w:kern w:val="2"/>
      <w:sz w:val="18"/>
      <w:szCs w:val="18"/>
    </w:rPr>
  </w:style>
  <w:style w:type="paragraph" w:styleId="17">
    <w:name w:val="List Paragraph"/>
    <w:basedOn w:val="1"/>
    <w:unhideWhenUsed/>
    <w:qFormat/>
    <w:uiPriority w:val="99"/>
    <w:pPr>
      <w:ind w:firstLine="420"/>
    </w:pPr>
  </w:style>
  <w:style w:type="paragraph" w:customStyle="1" w:styleId="18">
    <w:name w:val="_Style 14"/>
    <w:basedOn w:val="1"/>
    <w:next w:val="1"/>
    <w:unhideWhenUsed/>
    <w:qFormat/>
    <w:uiPriority w:val="39"/>
    <w:rPr>
      <w:rFonts w:cs="黑体"/>
    </w:rPr>
  </w:style>
  <w:style w:type="character" w:customStyle="1" w:styleId="19">
    <w:name w:val="批注文字 Char"/>
    <w:basedOn w:val="11"/>
    <w:link w:val="2"/>
    <w:semiHidden/>
    <w:qFormat/>
    <w:uiPriority w:val="99"/>
    <w:rPr>
      <w:rFonts w:ascii="Times New Roman" w:hAnsi="Times New Roman" w:eastAsia="仿宋_GB2312"/>
      <w:kern w:val="2"/>
      <w:sz w:val="32"/>
      <w:szCs w:val="22"/>
    </w:rPr>
  </w:style>
  <w:style w:type="character" w:customStyle="1" w:styleId="20">
    <w:name w:val="批注主题 Char"/>
    <w:basedOn w:val="19"/>
    <w:link w:val="9"/>
    <w:semiHidden/>
    <w:qFormat/>
    <w:uiPriority w:val="99"/>
    <w:rPr>
      <w:rFonts w:ascii="Times New Roman" w:hAnsi="Times New Roman" w:eastAsia="仿宋_GB2312"/>
      <w:b/>
      <w:bCs/>
      <w:kern w:val="2"/>
      <w:sz w:val="32"/>
      <w:szCs w:val="22"/>
    </w:rPr>
  </w:style>
  <w:style w:type="character" w:styleId="21">
    <w:name w:val="Placeholder Text"/>
    <w:basedOn w:val="11"/>
    <w:unhideWhenUsed/>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0BC3A0-7968-4B1D-A67D-7C54C0564B5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44</Pages>
  <Words>22671</Words>
  <Characters>4117</Characters>
  <Lines>34</Lines>
  <Paragraphs>53</Paragraphs>
  <TotalTime>5</TotalTime>
  <ScaleCrop>false</ScaleCrop>
  <LinksUpToDate>false</LinksUpToDate>
  <CharactersWithSpaces>26735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2021-03-09T01:33:00Z</dcterms:created>
  <dc:creator>Bruce Chang</dc:creator>
  <cp:lastModifiedBy>张雪</cp:lastModifiedBy>
  <cp:lastPrinted>2021-02-20T02:57:00Z</cp:lastPrinted>
  <dcterms:modified xsi:type="dcterms:W3CDTF">2021-03-09T02:10:05Z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3BB21DCAEA9141588B9B06F53F92119C</vt:lpwstr>
  </property>
</Properties>
</file>