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600" w:lineRule="exact"/>
        <w:ind w:left="0" w:right="0" w:firstLine="0"/>
        <w:jc w:val="center"/>
        <w:textAlignment w:val="auto"/>
        <w:outlineLvl w:val="9"/>
        <w:rPr>
          <w:rFonts w:hint="eastAsia" w:ascii="方正小标宋简体" w:hAnsi="方正小标宋简体" w:eastAsia="方正小标宋简体" w:cs="方正小标宋简体"/>
          <w:b/>
          <w:color w:val="auto"/>
          <w:spacing w:val="0"/>
          <w:position w:val="0"/>
          <w:sz w:val="44"/>
          <w:szCs w:val="44"/>
          <w:shd w:val="clear" w:color="070000" w:fill="auto"/>
        </w:rPr>
      </w:pPr>
      <w:r>
        <w:rPr>
          <w:rFonts w:hint="eastAsia" w:ascii="方正小标宋简体" w:hAnsi="方正小标宋简体" w:eastAsia="方正小标宋简体" w:cs="方正小标宋简体"/>
          <w:b/>
          <w:color w:val="auto"/>
          <w:spacing w:val="0"/>
          <w:position w:val="0"/>
          <w:sz w:val="44"/>
          <w:szCs w:val="44"/>
          <w:shd w:val="clear" w:color="070000" w:fill="auto"/>
        </w:rPr>
        <w:t>商务部等1</w:t>
      </w:r>
      <w:r>
        <w:rPr>
          <w:rFonts w:hint="eastAsia" w:ascii="方正小标宋简体" w:hAnsi="方正小标宋简体" w:eastAsia="方正小标宋简体" w:cs="方正小标宋简体"/>
          <w:b/>
          <w:color w:val="auto"/>
          <w:spacing w:val="0"/>
          <w:position w:val="0"/>
          <w:sz w:val="44"/>
          <w:szCs w:val="44"/>
          <w:shd w:val="clear" w:color="070000" w:fill="auto"/>
          <w:lang w:val="en-US" w:eastAsia="zh-CN"/>
        </w:rPr>
        <w:t>9</w:t>
      </w:r>
      <w:r>
        <w:rPr>
          <w:rFonts w:hint="eastAsia" w:ascii="方正小标宋简体" w:hAnsi="方正小标宋简体" w:eastAsia="方正小标宋简体" w:cs="方正小标宋简体"/>
          <w:b/>
          <w:color w:val="auto"/>
          <w:spacing w:val="0"/>
          <w:position w:val="0"/>
          <w:sz w:val="44"/>
          <w:szCs w:val="44"/>
          <w:shd w:val="clear" w:color="070000" w:fill="auto"/>
        </w:rPr>
        <w:t>部门关于开展20</w:t>
      </w:r>
      <w:r>
        <w:rPr>
          <w:rFonts w:hint="eastAsia" w:ascii="方正小标宋简体" w:hAnsi="方正小标宋简体" w:eastAsia="方正小标宋简体" w:cs="方正小标宋简体"/>
          <w:b/>
          <w:color w:val="auto"/>
          <w:spacing w:val="0"/>
          <w:position w:val="0"/>
          <w:sz w:val="44"/>
          <w:szCs w:val="44"/>
          <w:shd w:val="clear" w:color="070000" w:fill="auto"/>
          <w:lang w:val="en-US" w:eastAsia="zh-CN"/>
        </w:rPr>
        <w:t>20</w:t>
      </w:r>
      <w:r>
        <w:rPr>
          <w:rFonts w:hint="eastAsia" w:ascii="方正小标宋简体" w:hAnsi="方正小标宋简体" w:eastAsia="方正小标宋简体" w:cs="方正小标宋简体"/>
          <w:b/>
          <w:color w:val="auto"/>
          <w:spacing w:val="0"/>
          <w:position w:val="0"/>
          <w:sz w:val="44"/>
          <w:szCs w:val="44"/>
          <w:shd w:val="clear" w:color="070000" w:fill="auto"/>
        </w:rPr>
        <w:t>年</w:t>
      </w:r>
    </w:p>
    <w:p>
      <w:pPr>
        <w:widowControl w:val="0"/>
        <w:wordWrap/>
        <w:adjustRightInd/>
        <w:snapToGrid/>
        <w:spacing w:before="0" w:after="0" w:line="600" w:lineRule="exact"/>
        <w:ind w:left="0" w:right="0" w:firstLine="0"/>
        <w:jc w:val="center"/>
        <w:textAlignment w:val="auto"/>
        <w:outlineLvl w:val="9"/>
        <w:rPr>
          <w:rFonts w:hint="eastAsia" w:ascii="方正小标宋简体" w:hAnsi="方正小标宋简体" w:eastAsia="方正小标宋简体" w:cs="方正小标宋简体"/>
          <w:b/>
          <w:color w:val="auto"/>
          <w:spacing w:val="0"/>
          <w:position w:val="0"/>
          <w:sz w:val="44"/>
          <w:szCs w:val="44"/>
          <w:shd w:val="clear" w:color="070000" w:fill="auto"/>
        </w:rPr>
      </w:pPr>
      <w:r>
        <w:rPr>
          <w:rFonts w:hint="eastAsia" w:ascii="方正小标宋简体" w:hAnsi="方正小标宋简体" w:eastAsia="方正小标宋简体" w:cs="方正小标宋简体"/>
          <w:b/>
          <w:color w:val="auto"/>
          <w:spacing w:val="0"/>
          <w:position w:val="0"/>
          <w:sz w:val="44"/>
          <w:szCs w:val="44"/>
          <w:shd w:val="clear" w:color="070000" w:fill="auto"/>
        </w:rPr>
        <w:t>“诚信兴商宣传月”活动的通知</w:t>
      </w:r>
    </w:p>
    <w:p>
      <w:pPr>
        <w:spacing w:before="0" w:after="0" w:line="240" w:lineRule="auto"/>
        <w:ind w:left="0" w:right="0" w:firstLine="0"/>
        <w:jc w:val="center"/>
        <w:rPr>
          <w:rFonts w:hint="eastAsia" w:ascii="方正小标宋简体" w:hAnsi="方正小标宋简体" w:eastAsia="方正小标宋简体" w:cs="方正小标宋简体"/>
          <w:b/>
          <w:color w:val="auto"/>
          <w:spacing w:val="0"/>
          <w:position w:val="0"/>
          <w:sz w:val="44"/>
          <w:szCs w:val="44"/>
          <w:shd w:val="clear" w:color="070000" w:fill="auto"/>
        </w:rPr>
      </w:pPr>
    </w:p>
    <w:p>
      <w:pPr>
        <w:spacing w:before="0" w:after="0" w:line="240" w:lineRule="auto"/>
        <w:ind w:left="0" w:right="0" w:firstLine="0"/>
        <w:jc w:val="both"/>
        <w:rPr>
          <w:rFonts w:ascii="仿宋" w:hAnsi="仿宋" w:eastAsia="仿宋" w:cs="仿宋"/>
          <w:color w:val="auto"/>
          <w:spacing w:val="0"/>
          <w:position w:val="0"/>
          <w:sz w:val="32"/>
          <w:shd w:val="clear" w:color="050000" w:fill="auto"/>
        </w:rPr>
      </w:pPr>
      <w:r>
        <w:rPr>
          <w:rFonts w:ascii="仿宋" w:hAnsi="仿宋" w:eastAsia="仿宋" w:cs="仿宋"/>
          <w:color w:val="auto"/>
          <w:spacing w:val="0"/>
          <w:position w:val="0"/>
          <w:sz w:val="32"/>
          <w:shd w:val="clear" w:color="050000" w:fill="auto"/>
        </w:rPr>
        <w:t>各省、自治区、直辖市、计划单列市及新疆生产建设兵团商务主管部门、党委宣传部、网信办、高级人民法院、发展改革委、工业和信息化主管部门、交通运输主管部门、文化和旅游主管部门、市场监督管理部门、广播电视局、外汇局，海关总署广东分署、各直属海关，</w:t>
      </w:r>
      <w:r>
        <w:rPr>
          <w:rFonts w:hint="eastAsia" w:ascii="仿宋" w:hAnsi="仿宋" w:eastAsia="仿宋" w:cs="仿宋"/>
          <w:color w:val="auto"/>
          <w:spacing w:val="0"/>
          <w:position w:val="0"/>
          <w:sz w:val="32"/>
          <w:shd w:val="clear" w:color="050000" w:fill="auto"/>
          <w:lang w:eastAsia="zh-CN"/>
        </w:rPr>
        <w:t>国家税务总局各省、自治区、直辖市和计划单列市税务局，国家税务总局驻各地特派员办事处，</w:t>
      </w:r>
      <w:r>
        <w:rPr>
          <w:rFonts w:ascii="仿宋" w:hAnsi="仿宋" w:eastAsia="仿宋" w:cs="仿宋"/>
          <w:color w:val="auto"/>
          <w:spacing w:val="0"/>
          <w:position w:val="0"/>
          <w:sz w:val="32"/>
          <w:shd w:val="clear" w:color="050000" w:fill="auto"/>
        </w:rPr>
        <w:t>有关地方贸促会、企业联合会、商业联合会、物流与采购联合会、消费者协会</w:t>
      </w:r>
      <w:r>
        <w:rPr>
          <w:rFonts w:hint="eastAsia" w:ascii="仿宋" w:hAnsi="仿宋" w:eastAsia="仿宋" w:cs="仿宋"/>
          <w:color w:val="auto"/>
          <w:spacing w:val="0"/>
          <w:position w:val="0"/>
          <w:sz w:val="32"/>
          <w:shd w:val="clear" w:color="050000" w:fill="auto"/>
          <w:lang w:eastAsia="zh-CN"/>
        </w:rPr>
        <w:t>、连锁经营协会</w:t>
      </w:r>
      <w:r>
        <w:rPr>
          <w:rFonts w:ascii="仿宋" w:hAnsi="仿宋" w:eastAsia="仿宋" w:cs="仿宋"/>
          <w:color w:val="auto"/>
          <w:spacing w:val="0"/>
          <w:position w:val="0"/>
          <w:sz w:val="32"/>
          <w:shd w:val="clear" w:color="050000" w:fill="auto"/>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为深入学习贯彻习近平新时代中国特色社会主义思想，落实党的十九届四中全会关于完善诚信建设长效机制要求，进一步加强诚信宣传教育，提升全社会诚实守信意识，营造放心消费环境和诚信营商环境，2020年</w:t>
      </w:r>
      <w:r>
        <w:rPr>
          <w:rFonts w:hint="eastAsia" w:ascii="仿宋" w:hAnsi="仿宋" w:eastAsia="仿宋"/>
          <w:sz w:val="32"/>
          <w:szCs w:val="32"/>
          <w:lang w:val="en-US" w:eastAsia="zh-CN"/>
        </w:rPr>
        <w:t>10</w:t>
      </w:r>
      <w:r>
        <w:rPr>
          <w:rFonts w:hint="eastAsia" w:ascii="仿宋" w:hAnsi="仿宋" w:eastAsia="仿宋"/>
          <w:sz w:val="32"/>
          <w:szCs w:val="32"/>
        </w:rPr>
        <w:t>月，商务部、中央宣传部等19部门和单位继续开展“诚信兴商宣传月”活动。现将有关事项通知如下：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一、活动主题</w:t>
      </w:r>
    </w:p>
    <w:p>
      <w:pPr>
        <w:pStyle w:val="8"/>
        <w:spacing w:line="560" w:lineRule="exact"/>
        <w:ind w:firstLine="640"/>
        <w:rPr>
          <w:rFonts w:ascii="仿宋" w:hAnsi="仿宋" w:eastAsia="仿宋"/>
          <w:sz w:val="32"/>
          <w:szCs w:val="32"/>
        </w:rPr>
      </w:pPr>
      <w:r>
        <w:rPr>
          <w:rFonts w:hint="eastAsia" w:ascii="仿宋" w:hAnsi="仿宋" w:eastAsia="仿宋"/>
          <w:sz w:val="32"/>
          <w:szCs w:val="32"/>
        </w:rPr>
        <w:t>2020年全国诚信兴商宣传月的活动主题是：</w:t>
      </w:r>
      <w:r>
        <w:rPr>
          <w:rFonts w:hint="eastAsia" w:ascii="仿宋" w:hAnsi="仿宋" w:eastAsia="仿宋"/>
          <w:b/>
          <w:sz w:val="32"/>
          <w:szCs w:val="32"/>
        </w:rPr>
        <w:t>“诚实经营、守信服务”</w:t>
      </w:r>
      <w:r>
        <w:rPr>
          <w:rFonts w:hint="eastAsia" w:ascii="仿宋" w:hAnsi="仿宋" w:eastAsia="仿宋"/>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二、宣传重点</w:t>
      </w:r>
    </w:p>
    <w:p>
      <w:pPr>
        <w:spacing w:line="560" w:lineRule="exact"/>
        <w:ind w:firstLine="482" w:firstLineChars="150"/>
        <w:rPr>
          <w:rFonts w:ascii="仿宋" w:hAnsi="仿宋" w:eastAsia="仿宋"/>
          <w:sz w:val="32"/>
          <w:szCs w:val="32"/>
        </w:rPr>
      </w:pPr>
      <w:r>
        <w:rPr>
          <w:rFonts w:hint="eastAsia" w:ascii="楷体" w:hAnsi="楷体" w:eastAsia="楷体"/>
          <w:b/>
          <w:sz w:val="32"/>
          <w:szCs w:val="32"/>
        </w:rPr>
        <w:t>（一）宣传贯彻党中央、国务院重大决策部署。</w:t>
      </w:r>
      <w:r>
        <w:rPr>
          <w:rFonts w:hint="eastAsia" w:ascii="仿宋" w:hAnsi="仿宋" w:eastAsia="仿宋"/>
          <w:sz w:val="32"/>
          <w:szCs w:val="32"/>
        </w:rPr>
        <w:t>宣传贯彻习近平总书记关于社会信用体系建设的重要指示精神；宣传贯彻国务院常务会议、国务院推进政府职能转变和“放管服”改革协调小组全体会议关于加强信用体系建设的决策部署。宣传贯彻《优化营商环境条例》、《国务院办公厅关于加快推进社会信用体系建设</w:t>
      </w:r>
      <w:r>
        <w:rPr>
          <w:rFonts w:hint="eastAsia" w:ascii="仿宋" w:hAnsi="仿宋" w:eastAsia="仿宋"/>
          <w:sz w:val="32"/>
          <w:szCs w:val="32"/>
          <w:lang w:val="en-US" w:eastAsia="zh-CN"/>
        </w:rPr>
        <w:t xml:space="preserve"> </w:t>
      </w:r>
      <w:r>
        <w:rPr>
          <w:rFonts w:hint="eastAsia" w:ascii="仿宋" w:hAnsi="仿宋" w:eastAsia="仿宋"/>
          <w:sz w:val="32"/>
          <w:szCs w:val="32"/>
        </w:rPr>
        <w:t>构建以信用为基础的新型监管机制的指导意见》等法规制度文件。</w:t>
      </w:r>
      <w:r>
        <w:rPr>
          <w:rFonts w:ascii="仿宋" w:hAnsi="仿宋" w:eastAsia="仿宋"/>
          <w:sz w:val="32"/>
          <w:szCs w:val="32"/>
        </w:rPr>
        <w:t xml:space="preserve"> </w:t>
      </w:r>
    </w:p>
    <w:p>
      <w:pPr>
        <w:spacing w:line="560" w:lineRule="exact"/>
        <w:ind w:firstLine="482" w:firstLineChars="150"/>
        <w:rPr>
          <w:rFonts w:ascii="仿宋" w:hAnsi="仿宋" w:eastAsia="仿宋"/>
          <w:sz w:val="32"/>
          <w:szCs w:val="32"/>
        </w:rPr>
      </w:pPr>
      <w:r>
        <w:rPr>
          <w:rFonts w:hint="eastAsia" w:ascii="楷体" w:hAnsi="楷体" w:eastAsia="楷体"/>
          <w:b/>
          <w:sz w:val="32"/>
          <w:szCs w:val="32"/>
        </w:rPr>
        <w:t>（二）宣传各地各部门信用体系建设的主要做法和成效。</w:t>
      </w:r>
      <w:r>
        <w:rPr>
          <w:rFonts w:hint="eastAsia" w:ascii="仿宋" w:hAnsi="仿宋" w:eastAsia="仿宋"/>
          <w:sz w:val="32"/>
          <w:szCs w:val="32"/>
        </w:rPr>
        <w:t>宣传地方和部门实施信用承诺、信用公示、信用分类分级监管、信用修复的经验及做法。推广“信用中国”、国家企业信用信息公示系统以及行业主管部门建立的各类信用信息系统，鼓励企业和个人维护自身信用。宣传家政服务行业信用体系建设，推广“家政信用查”手机应用。</w:t>
      </w:r>
    </w:p>
    <w:p>
      <w:pPr>
        <w:spacing w:line="560" w:lineRule="exact"/>
        <w:ind w:firstLine="482" w:firstLineChars="150"/>
        <w:rPr>
          <w:rFonts w:ascii="仿宋" w:hAnsi="仿宋" w:eastAsia="仿宋"/>
          <w:b/>
          <w:sz w:val="32"/>
          <w:szCs w:val="32"/>
        </w:rPr>
      </w:pPr>
      <w:r>
        <w:rPr>
          <w:rFonts w:hint="eastAsia" w:ascii="楷体" w:hAnsi="楷体" w:eastAsia="楷体"/>
          <w:b/>
          <w:sz w:val="32"/>
          <w:szCs w:val="32"/>
        </w:rPr>
        <w:t>（三）培育“重信守诺”的诚信文化。</w:t>
      </w:r>
      <w:r>
        <w:rPr>
          <w:rFonts w:hint="eastAsia" w:ascii="仿宋" w:hAnsi="仿宋" w:eastAsia="仿宋"/>
          <w:sz w:val="32"/>
          <w:szCs w:val="32"/>
        </w:rPr>
        <w:t>继承发扬重信守诺的传统美德，弘扬与社会主义市场经济相适应的诚信理念、诚信文化、契约精神，推动各行业各领域制定诚信公约。以面向民生的服务领域为重点，大力发掘市场主体通过诚信经营扩大销售、提高效益、赢得竞争优势的经验做法。宣传商务、交通运输、文化旅游、海关、税务、外汇等行业领域的诚信典型企业及个人，褒扬守信精神。</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三、主要活动安排</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（一）“诚信兴商宣传月”启动仪式。</w:t>
      </w:r>
      <w:r>
        <w:rPr>
          <w:rFonts w:hint="eastAsia" w:ascii="仿宋" w:hAnsi="仿宋" w:eastAsia="仿宋"/>
          <w:sz w:val="32"/>
          <w:szCs w:val="32"/>
        </w:rPr>
        <w:t>商务部联合上海市商务主管部门组织举办宣传月启动仪式，邀请18个部门和单位参加，向全社会推介2020年“诚信兴商宣传月”活动方案、家政服务信用信息平台，组织典型企业进行诚信经营承诺，发布上海购物诚信指数。上海市举办诚信兴商研讨活动。开展“诚信大家谈”系列宣传，邀请相关部委、知名信用专家、大型电商平台负责人、商协会负责人围绕“诚实经营、守信服务”，向社会传递诚信正能量，提振消费信心。集中报道一批商务领域的“匠心老店”；讲好商贸流通企业诚信故事，重塑“诚实经营、守信服务”的商贸流通新精神。</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（二）“推进诚信建设制度化”活动。</w:t>
      </w:r>
      <w:r>
        <w:rPr>
          <w:rFonts w:hint="eastAsia" w:ascii="仿宋" w:hAnsi="仿宋" w:eastAsia="仿宋"/>
          <w:sz w:val="32"/>
          <w:szCs w:val="32"/>
        </w:rPr>
        <w:t>中央宣传部会同相关部门共同推进诚信建设制度化，</w:t>
      </w:r>
      <w:r>
        <w:rPr>
          <w:rFonts w:hint="eastAsia" w:ascii="仿宋" w:hAnsi="仿宋" w:eastAsia="仿宋"/>
          <w:sz w:val="32"/>
          <w:szCs w:val="32"/>
          <w:lang w:eastAsia="zh-CN"/>
        </w:rPr>
        <w:t>为增强社会诚信意识，保障诚信建设的推进发挥积极作用。</w:t>
      </w:r>
      <w:r>
        <w:rPr>
          <w:rFonts w:hint="eastAsia" w:ascii="仿宋" w:hAnsi="仿宋" w:eastAsia="仿宋"/>
          <w:sz w:val="32"/>
          <w:szCs w:val="32"/>
        </w:rPr>
        <w:t>发布宣传“诚信之星”的先进事迹，以先进典型发挥示范带动作用，激励人们诚实守信，营造信用为本、履约践诺的社会风尚。指导各地各部门推进诚信建设，贯彻落实《新时代公民道德建设实施纲要》的要求，加快建设个人诚信、政务诚信、商务诚信、社会诚信和司法公信。组织中央主要新闻媒体，通过理论阐释解读、典型经验推介、公益广告发布等，宣传推广各地各部门的好经验好做法，深入推广诚信的价值理念，推进全社会诚信自觉。</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（三）“诚信兴商宣传月”线上宣传活动。</w:t>
      </w:r>
      <w:r>
        <w:rPr>
          <w:rFonts w:hint="eastAsia" w:ascii="仿宋" w:hAnsi="仿宋" w:eastAsia="仿宋"/>
          <w:sz w:val="32"/>
          <w:szCs w:val="32"/>
        </w:rPr>
        <w:t>中央网信办结合工作职责，配合做好“诚信兴商宣传月”活动的线上宣传工作，协调中央新闻媒体开展线上宣传，发挥新媒体渠道作用，加大融合传播力度，在主要新闻客户端、手机浏览器等移动端平台及时推送宣传月活动动态。</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（四）“弘扬诚实守信的社会风尚”宣传活动。</w:t>
      </w:r>
      <w:r>
        <w:rPr>
          <w:rFonts w:hint="eastAsia" w:ascii="仿宋" w:hAnsi="仿宋" w:eastAsia="仿宋"/>
          <w:sz w:val="32"/>
          <w:szCs w:val="32"/>
        </w:rPr>
        <w:t>最高人民法院组织全国法院收集整理消费领域的典型审判执行案例，通过“中国裁判文书网”、“中国执行信息公开网”等渠道向社会公开。在“智慧执行”手机应用、“中国执行”公众号等自有媒体平台，发表评论文章、编发典型案例，宣传诚实守信商家，普及诚信相关的政策法规，报道由多部委参与完善的失信惩戒系统的进展，弘扬诚实守信的社会风尚。</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（五）“共建质量诚信体系，共享满意消费环境”主题活动。</w:t>
      </w:r>
      <w:r>
        <w:rPr>
          <w:rFonts w:hint="eastAsia" w:ascii="仿宋" w:hAnsi="仿宋" w:eastAsia="仿宋"/>
          <w:sz w:val="32"/>
          <w:szCs w:val="32"/>
        </w:rPr>
        <w:t>工业和信息化部鼓励行业协会开展质量信用承诺、质量信用评价、用户满意度测评等工作，展示质量信用建设中的最佳实践。引导企业履行质量主体责任，树立“质量诚信、用户满意”的经营理念，从产品质量和市场需求出发，积极参与质量信用建设，营造诚信兴商的良好氛围。</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（六）“信用交通”主题活动。</w:t>
      </w:r>
      <w:r>
        <w:rPr>
          <w:rFonts w:hint="eastAsia" w:ascii="仿宋" w:hAnsi="仿宋" w:eastAsia="仿宋"/>
          <w:sz w:val="32"/>
          <w:szCs w:val="32"/>
        </w:rPr>
        <w:t>交通运输部指导各级交通运输主管部门、行业协会、有关社会信用服务机构和市场主体，开展“信用交通”系列宣传活动。在交通运输部门户网站、“信用交通”网站、中国交通报、政务微信微博等媒体平台，开设专栏、发表评论、播发视频、走进车船路港站场面对面交流，报道诚信典型案例，曝光失信案例，宣传“信用交通”惠民便企兴市，提升行业的法治意识、契约精神和守约观念。</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（七）“诚信经营、促进文旅消费”主题宣传活动。</w:t>
      </w:r>
      <w:r>
        <w:rPr>
          <w:rFonts w:hint="eastAsia" w:ascii="仿宋" w:hAnsi="仿宋" w:eastAsia="仿宋"/>
          <w:sz w:val="32"/>
          <w:szCs w:val="32"/>
        </w:rPr>
        <w:t>文化和旅游部通过宣传教育，推动各地文化和旅游领域信用体系建设，引导文化和旅游企业诚信经营，进一步提升服务质量，促进文旅消费提质增效。</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（八）“着力构建安全、诚信的进出口营商环境”主题宣传活动。</w:t>
      </w:r>
      <w:r>
        <w:rPr>
          <w:rFonts w:hint="eastAsia" w:ascii="仿宋" w:hAnsi="仿宋" w:eastAsia="仿宋"/>
          <w:sz w:val="32"/>
          <w:szCs w:val="32"/>
        </w:rPr>
        <w:t>海关总署以《海关企业信用管理办法》《海关认证企业标准》等信用管理制度为重点，举办政策宣讲会、印发宣传手册、召开重点企业座谈会，加大政策宣传，解答企业疑问。宣传介绍海关国际AEO互认情况和相关便利措施，指导全国海关开展对进出口企业的信用培育，提升进出口企业的信用状况；宣传介绍海关参与国家社会信用体系守信激励与失信惩戒情况；宣传介绍在疫情防控常态化背景下，海关助力企业复工复产的相关政策安排；宣传介绍其他有助于企业规范守法经营的相关内容。利用海关门户网站以及中国海关信用管理、海关12360热线、微信等新媒体平台，加大宣传力度，确保活动实效。</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（九）“依法诚信纳税”主题宣传活动。</w:t>
      </w:r>
      <w:r>
        <w:rPr>
          <w:rFonts w:hint="eastAsia" w:ascii="仿宋" w:hAnsi="仿宋" w:eastAsia="仿宋"/>
          <w:sz w:val="32"/>
          <w:szCs w:val="32"/>
        </w:rPr>
        <w:t>税务部门通过税务网站、报刊、办税服务场所、纳税人学堂、微信、微博等渠道，宣传纳税信用管理的内容、评价标准、激励惩戒措施和典型案例；宣传打击没有实际经营业务只为虚开发票的“假企业”、没有实际出口只为骗取退税的“假出口”和骗取疫情防控税费优惠的“假申报”等典型案例。提升纳税人守信、增信意识，促进依法纳税、诚信经营。</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（十）开展“认证在身边”宣传活动。</w:t>
      </w:r>
      <w:r>
        <w:rPr>
          <w:rFonts w:hint="eastAsia" w:ascii="仿宋" w:hAnsi="仿宋" w:eastAsia="仿宋"/>
          <w:sz w:val="32"/>
          <w:szCs w:val="32"/>
        </w:rPr>
        <w:t>市场监管总局通过开展“认证在身边”宣传活动，以“质量认证：传递信息、服务发展”为主题，组织质量认证科普短视频征集展示活动、制作质量认证系列科普短视频，并在网站、新媒体平台推送播放，邀请质量认证专家面向消费者开展质量认证指导消费的宣讲咨询服务，向消费者免费发放认证与放心消费读物。组织新闻媒体进行质量认证专题宣传报道，聚焦民生关切，创新认证科普形式，扩大传播效益，让消费者认知质量认证制度及认证作用。加强政府部门、行业协会、认证机构与消费者之间的交流和互信，推进质量认证体系建设，强化全面质量管理，推动国家经济的高质量发展。加强质量安全相关法律法规政策的宣传普法活动，提升消费者质量安全意识，引导经营者增强主体意识，诚信守法经营。</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（十一）“诚信兴商宣传月”的宣传活动。</w:t>
      </w:r>
      <w:r>
        <w:rPr>
          <w:rFonts w:hint="eastAsia" w:ascii="仿宋" w:hAnsi="仿宋" w:eastAsia="仿宋"/>
          <w:sz w:val="32"/>
          <w:szCs w:val="32"/>
        </w:rPr>
        <w:t>广电总局通过全国广播电视系统宣传工作例会传达“诚信兴商宣传月”活动的要求，配合部署，指导协调各级广播电视播出机构配合宣传，营造舆论氛围。鼓励广播电视媒体通过纪录片、动画片、文艺节目等形式，传播诚信价值理念，推动诚信文化建设，引导公众树立诚信意识，营造诚信和谐的社会氛围。</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（十二）“诚信经营保稳定，合规用汇促发展”的主题宣传活动。</w:t>
      </w:r>
      <w:r>
        <w:rPr>
          <w:rFonts w:hint="eastAsia" w:ascii="仿宋" w:hAnsi="仿宋" w:eastAsia="仿宋"/>
          <w:sz w:val="32"/>
          <w:szCs w:val="32"/>
        </w:rPr>
        <w:t>国家外汇管理局结合现场宣讲、典型案例通报、宣传页（册）印发、易拉宝摆放、外汇局官网、微信、微博等多种方式，宣传收支、经常、资本等外汇管理项下相关政策法规，普及个人用汇常识，提醒公众选择正规渠道投资理财，引导个人通过合规途径使用外汇，提升外汇市场主体合法合规用汇意识，营造外汇市场诚信营商氛围，提升诚信经营水平。主动走进银行、企业等用汇主体开展调研，了解企业需求，宣传疫情防控期间开辟的绿色通道业务流程，引导用汇主体合理运用避险工具，支持外汇市场主体复工复产，鼓励企业有效参与外汇市场。走近普通民众，宣传近年来打击地下钱庄、非法网络炒汇、非法跨境赌博的工作成果，宣传与警示相结合，增强外汇管理威慑力，提示违法违规行为的风险和危害，鼓励诚信办理外汇业务，增强合法合规意识。</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（十三）“诚信赢未来”主题宣传活动。</w:t>
      </w:r>
      <w:r>
        <w:rPr>
          <w:rFonts w:hint="eastAsia" w:ascii="仿宋" w:hAnsi="仿宋" w:eastAsia="仿宋"/>
          <w:sz w:val="32"/>
          <w:szCs w:val="32"/>
        </w:rPr>
        <w:t>中国国际贸易促进委员会总结企业诚信经营案例，提炼经验汇编成册，通过中国贸促会官网、中国贸易报和有关平台网站传播和推广。组织企业诚信品牌故事交流活动，宣传诚信理念对于品牌培育以及实现品牌全球化的重要价值。通过培训，宣传共享经济、人力资本服务、电子商务、数字贸易、会议展览、文化创意等服务贸易新兴领域的服务标准，倡导诚信服务，加强诚信自律。</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（十四）“全国企业诚信建设大会”主题活动。</w:t>
      </w:r>
      <w:r>
        <w:rPr>
          <w:rFonts w:hint="eastAsia" w:ascii="仿宋" w:hAnsi="仿宋" w:eastAsia="仿宋"/>
          <w:sz w:val="32"/>
          <w:szCs w:val="32"/>
        </w:rPr>
        <w:t>中国企业联合会发布企业信用指数，加强企业信用动态监测，为有关部门提供决策参考，推进企业诚信约束和激励机制建设。完善信息化系统，开展企业信用评价工作，引导企业完善诚信和信用制度体系建设，加强风险防范能力，提升企业综合竞争力，增强我国企业的国际竞争力和影响力，实现企业健康可持续发展。</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（十五）“凝聚你我力量 让消费更温暖”公益活动。</w:t>
      </w:r>
      <w:r>
        <w:rPr>
          <w:rFonts w:hint="eastAsia" w:ascii="仿宋" w:hAnsi="仿宋" w:eastAsia="仿宋"/>
          <w:sz w:val="32"/>
          <w:szCs w:val="32"/>
        </w:rPr>
        <w:t>中国消费者协会携手各地消协组织和主要媒体单位，发起“凝聚你我力量 让消费更温暖”公益活动，动员经营者和消费者践行社会责任，在特殊时期引领形成换位思考、互相尊重、互谅互让、温暖和谐的消费氛围，提振消费信心，以消费增长促经济向好发展。</w:t>
      </w:r>
    </w:p>
    <w:p>
      <w:pPr>
        <w:spacing w:line="560" w:lineRule="exact"/>
        <w:ind w:firstLine="800" w:firstLineChars="250"/>
        <w:rPr>
          <w:rFonts w:ascii="黑体" w:hAnsi="黑体" w:eastAsia="黑体"/>
          <w:sz w:val="32"/>
          <w:szCs w:val="32"/>
        </w:rPr>
      </w:pPr>
      <w:r>
        <w:rPr>
          <w:rFonts w:hint="eastAsia" w:ascii="黑体" w:hAnsi="黑体" w:eastAsia="黑体"/>
          <w:sz w:val="32"/>
          <w:szCs w:val="32"/>
        </w:rPr>
        <w:t>四、有关要求</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（一）加强统筹协调。</w:t>
      </w:r>
      <w:r>
        <w:rPr>
          <w:rFonts w:hint="eastAsia" w:ascii="仿宋" w:hAnsi="仿宋" w:eastAsia="仿宋"/>
          <w:sz w:val="32"/>
          <w:szCs w:val="32"/>
        </w:rPr>
        <w:t>各地商务主管部门要加强活动的统筹协调，明确部门任务分工，为宣传月活动的顺利开展提供组织保障。按照“方案统一、标识统一、主题统一”要求，结合本地区、本部门实际，有效整合宣传资源，创造性地开展各种形式的宣传活动。</w:t>
      </w:r>
    </w:p>
    <w:p>
      <w:pPr>
        <w:spacing w:line="560" w:lineRule="exact"/>
        <w:ind w:firstLine="643" w:firstLineChars="200"/>
        <w:rPr>
          <w:rFonts w:ascii="仿宋" w:hAnsi="仿宋" w:eastAsia="仿宋"/>
          <w:sz w:val="32"/>
          <w:szCs w:val="32"/>
          <w:highlight w:val="lightGray"/>
        </w:rPr>
      </w:pPr>
      <w:r>
        <w:rPr>
          <w:rFonts w:hint="eastAsia" w:ascii="楷体" w:hAnsi="楷体" w:eastAsia="楷体"/>
          <w:b/>
          <w:sz w:val="32"/>
          <w:szCs w:val="32"/>
        </w:rPr>
        <w:t>（二）广泛动员参与。</w:t>
      </w:r>
      <w:r>
        <w:rPr>
          <w:rFonts w:hint="eastAsia" w:ascii="仿宋" w:hAnsi="仿宋" w:eastAsia="仿宋"/>
          <w:sz w:val="32"/>
          <w:szCs w:val="32"/>
        </w:rPr>
        <w:t>各地各部门要广泛动员线上线下媒体、行业商协会、市场主体、消费者等社会各界力量，积极参与宣传月相关活动，形成协同效应，共同营造诚信经营的浓厚氛围。</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（三）落实防疫要求。</w:t>
      </w:r>
      <w:r>
        <w:rPr>
          <w:rFonts w:hint="eastAsia" w:ascii="仿宋" w:hAnsi="仿宋" w:eastAsia="仿宋"/>
          <w:sz w:val="32"/>
          <w:szCs w:val="32"/>
        </w:rPr>
        <w:t>各地各部门要认真贯彻落实党中央国务院关于疫情防控有关要求，举办线下活动时，应科学制定防疫方案，抓细抓实防疫措施，做到防疫和宣传“两不误”。</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（四）及时总结工作。</w:t>
      </w:r>
      <w:r>
        <w:rPr>
          <w:rFonts w:hint="eastAsia" w:ascii="仿宋" w:hAnsi="仿宋" w:eastAsia="仿宋"/>
          <w:sz w:val="32"/>
          <w:szCs w:val="32"/>
        </w:rPr>
        <w:t>各部门、各省级商务主管部门要及时总结宣传月活动的成效和经验，总结报告及电子版请于11月25日前反馈商务部（市场建设司）。地方商务主管部门请一并报送《2020年“诚信兴商宣传月”活动统计表》。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宣传月期间开展的各项活动，统一使用“诚信兴商宣传月”活动标识，可在scjss.mofcom.gov.cn下载。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联系人：商务部（市场建设司） 郑文渊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电话：010-85093311</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传真：010-85093681</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附件：2020年“诚信兴商宣传月”活动统计表 </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商务部         中央宣传部        中央网信办</w:t>
      </w:r>
    </w:p>
    <w:p>
      <w:pPr>
        <w:spacing w:line="560" w:lineRule="exact"/>
        <w:ind w:firstLine="640" w:firstLineChars="200"/>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最高</w:t>
      </w:r>
      <w:r>
        <w:rPr>
          <w:rFonts w:hint="eastAsia" w:ascii="仿宋" w:hAnsi="仿宋" w:eastAsia="仿宋"/>
          <w:sz w:val="32"/>
          <w:szCs w:val="32"/>
          <w:lang w:eastAsia="zh-CN"/>
        </w:rPr>
        <w:t>人民</w:t>
      </w:r>
      <w:r>
        <w:rPr>
          <w:rFonts w:hint="eastAsia" w:ascii="仿宋" w:hAnsi="仿宋" w:eastAsia="仿宋"/>
          <w:sz w:val="32"/>
          <w:szCs w:val="32"/>
        </w:rPr>
        <w:t>法</w:t>
      </w:r>
      <w:r>
        <w:rPr>
          <w:rFonts w:hint="eastAsia" w:ascii="仿宋" w:hAnsi="仿宋" w:eastAsia="仿宋"/>
          <w:sz w:val="32"/>
          <w:szCs w:val="32"/>
          <w:lang w:eastAsia="zh-CN"/>
        </w:rPr>
        <w:t>院</w:t>
      </w:r>
      <w:r>
        <w:rPr>
          <w:rFonts w:hint="eastAsia" w:ascii="仿宋" w:hAnsi="仿宋" w:eastAsia="仿宋"/>
          <w:sz w:val="32"/>
          <w:szCs w:val="32"/>
        </w:rPr>
        <w:t xml:space="preserve">       发展改革委       工业和信息化部</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交通运输部     文化和旅游部      海关总署</w:t>
      </w:r>
    </w:p>
    <w:p>
      <w:pPr>
        <w:spacing w:line="560" w:lineRule="exact"/>
        <w:ind w:firstLine="640" w:firstLineChars="200"/>
        <w:rPr>
          <w:rFonts w:ascii="仿宋" w:hAnsi="仿宋" w:eastAsia="仿宋"/>
          <w:sz w:val="32"/>
          <w:szCs w:val="32"/>
        </w:rPr>
      </w:pPr>
    </w:p>
    <w:p>
      <w:pPr>
        <w:tabs>
          <w:tab w:val="left" w:pos="5954"/>
        </w:tabs>
        <w:spacing w:line="560" w:lineRule="exact"/>
        <w:ind w:firstLine="640" w:firstLineChars="200"/>
        <w:rPr>
          <w:rFonts w:ascii="仿宋" w:hAnsi="仿宋" w:eastAsia="仿宋"/>
          <w:sz w:val="32"/>
          <w:szCs w:val="32"/>
        </w:rPr>
      </w:pPr>
      <w:r>
        <w:rPr>
          <w:rFonts w:hint="eastAsia" w:ascii="仿宋" w:hAnsi="仿宋" w:eastAsia="仿宋"/>
          <w:sz w:val="32"/>
          <w:szCs w:val="32"/>
        </w:rPr>
        <w:t>税务总局       市场监管总局      广电总局</w:t>
      </w:r>
    </w:p>
    <w:p>
      <w:pPr>
        <w:tabs>
          <w:tab w:val="left" w:pos="5954"/>
        </w:tabs>
        <w:spacing w:line="560" w:lineRule="exact"/>
        <w:ind w:firstLine="640" w:firstLineChars="200"/>
        <w:rPr>
          <w:rFonts w:ascii="仿宋" w:hAnsi="仿宋" w:eastAsia="仿宋"/>
          <w:sz w:val="32"/>
          <w:szCs w:val="32"/>
        </w:rPr>
      </w:pPr>
    </w:p>
    <w:p>
      <w:pPr>
        <w:tabs>
          <w:tab w:val="left" w:pos="5954"/>
        </w:tabs>
        <w:spacing w:line="560" w:lineRule="exact"/>
        <w:ind w:firstLine="640" w:firstLineChars="200"/>
        <w:rPr>
          <w:rFonts w:ascii="仿宋" w:hAnsi="仿宋" w:eastAsia="仿宋"/>
          <w:sz w:val="32"/>
          <w:szCs w:val="32"/>
        </w:rPr>
      </w:pPr>
      <w:r>
        <w:rPr>
          <w:rFonts w:hint="eastAsia" w:ascii="仿宋" w:hAnsi="仿宋" w:eastAsia="仿宋"/>
          <w:sz w:val="32"/>
          <w:szCs w:val="32"/>
        </w:rPr>
        <w:t>外汇局         贸促会            企业联合会</w:t>
      </w:r>
    </w:p>
    <w:p>
      <w:pPr>
        <w:tabs>
          <w:tab w:val="left" w:pos="5954"/>
        </w:tabs>
        <w:spacing w:line="560" w:lineRule="exact"/>
        <w:ind w:firstLine="640" w:firstLineChars="200"/>
        <w:rPr>
          <w:rFonts w:ascii="仿宋" w:hAnsi="仿宋" w:eastAsia="仿宋"/>
          <w:sz w:val="32"/>
          <w:szCs w:val="32"/>
        </w:rPr>
      </w:pPr>
    </w:p>
    <w:p>
      <w:pPr>
        <w:tabs>
          <w:tab w:val="left" w:pos="5954"/>
        </w:tabs>
        <w:spacing w:line="560" w:lineRule="exact"/>
        <w:ind w:firstLine="640" w:firstLineChars="200"/>
        <w:rPr>
          <w:rFonts w:ascii="仿宋" w:hAnsi="仿宋" w:eastAsia="仿宋"/>
          <w:sz w:val="32"/>
          <w:szCs w:val="32"/>
        </w:rPr>
      </w:pPr>
      <w:r>
        <w:rPr>
          <w:rFonts w:hint="eastAsia" w:ascii="仿宋" w:hAnsi="仿宋" w:eastAsia="仿宋"/>
          <w:sz w:val="32"/>
          <w:szCs w:val="32"/>
        </w:rPr>
        <w:t>商业联合会     物流与采购联合会  消费者协会</w:t>
      </w:r>
    </w:p>
    <w:p>
      <w:pPr>
        <w:tabs>
          <w:tab w:val="left" w:pos="5954"/>
        </w:tabs>
        <w:spacing w:line="560" w:lineRule="exact"/>
        <w:ind w:firstLine="640" w:firstLineChars="200"/>
        <w:rPr>
          <w:rFonts w:ascii="仿宋" w:hAnsi="仿宋" w:eastAsia="仿宋"/>
          <w:sz w:val="32"/>
          <w:szCs w:val="32"/>
        </w:rPr>
      </w:pPr>
    </w:p>
    <w:p>
      <w:pPr>
        <w:tabs>
          <w:tab w:val="left" w:pos="5954"/>
        </w:tabs>
        <w:spacing w:line="560" w:lineRule="exact"/>
        <w:ind w:firstLine="640" w:firstLineChars="200"/>
        <w:jc w:val="both"/>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连锁经营协会</w:t>
      </w:r>
    </w:p>
    <w:p>
      <w:pPr>
        <w:tabs>
          <w:tab w:val="left" w:pos="5954"/>
        </w:tabs>
        <w:spacing w:line="560" w:lineRule="exact"/>
        <w:ind w:firstLine="640" w:firstLineChars="200"/>
        <w:rPr>
          <w:rFonts w:ascii="仿宋" w:hAnsi="仿宋" w:eastAsia="仿宋"/>
          <w:sz w:val="32"/>
          <w:szCs w:val="32"/>
        </w:rPr>
      </w:pPr>
    </w:p>
    <w:p>
      <w:pPr>
        <w:tabs>
          <w:tab w:val="left" w:pos="5954"/>
        </w:tabs>
        <w:wordWrap w:val="0"/>
        <w:spacing w:line="560" w:lineRule="exact"/>
        <w:ind w:firstLine="640" w:firstLineChars="200"/>
        <w:jc w:val="both"/>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2020年</w:t>
      </w:r>
      <w:r>
        <w:rPr>
          <w:rFonts w:hint="eastAsia" w:ascii="仿宋" w:hAnsi="仿宋" w:eastAsia="仿宋"/>
          <w:sz w:val="32"/>
          <w:szCs w:val="32"/>
          <w:lang w:val="en-US" w:eastAsia="zh-CN"/>
        </w:rPr>
        <w:t>9</w:t>
      </w:r>
      <w:r>
        <w:rPr>
          <w:rFonts w:hint="eastAsia" w:ascii="仿宋" w:hAnsi="仿宋" w:eastAsia="仿宋"/>
          <w:sz w:val="32"/>
          <w:szCs w:val="32"/>
        </w:rPr>
        <w:t>月</w:t>
      </w:r>
      <w:r>
        <w:rPr>
          <w:rFonts w:hint="eastAsia" w:ascii="仿宋" w:hAnsi="仿宋" w:eastAsia="仿宋"/>
          <w:sz w:val="32"/>
          <w:szCs w:val="32"/>
          <w:lang w:val="en-US" w:eastAsia="zh-CN"/>
        </w:rPr>
        <w:t>17</w:t>
      </w:r>
      <w:r>
        <w:rPr>
          <w:rFonts w:hint="eastAsia" w:ascii="仿宋" w:hAnsi="仿宋" w:eastAsia="仿宋"/>
          <w:sz w:val="32"/>
          <w:szCs w:val="32"/>
        </w:rPr>
        <w:t>日</w:t>
      </w:r>
    </w:p>
    <w:p>
      <w:pPr>
        <w:tabs>
          <w:tab w:val="left" w:pos="5954"/>
        </w:tabs>
        <w:wordWrap w:val="0"/>
        <w:spacing w:line="560" w:lineRule="exact"/>
        <w:ind w:firstLine="640" w:firstLineChars="200"/>
        <w:jc w:val="both"/>
        <w:rPr>
          <w:rFonts w:hint="eastAsia" w:ascii="仿宋" w:hAnsi="仿宋" w:eastAsia="仿宋"/>
          <w:sz w:val="32"/>
          <w:szCs w:val="32"/>
        </w:rPr>
      </w:pPr>
    </w:p>
    <w:p>
      <w:pPr>
        <w:tabs>
          <w:tab w:val="left" w:pos="5954"/>
        </w:tabs>
        <w:wordWrap w:val="0"/>
        <w:spacing w:line="560" w:lineRule="exact"/>
        <w:ind w:firstLine="640" w:firstLineChars="200"/>
        <w:jc w:val="both"/>
        <w:rPr>
          <w:rFonts w:hint="eastAsia" w:ascii="仿宋" w:hAnsi="仿宋" w:eastAsia="仿宋"/>
          <w:sz w:val="32"/>
          <w:szCs w:val="32"/>
        </w:rPr>
      </w:pPr>
    </w:p>
    <w:p>
      <w:pPr>
        <w:tabs>
          <w:tab w:val="left" w:pos="5954"/>
        </w:tabs>
        <w:wordWrap w:val="0"/>
        <w:spacing w:line="560" w:lineRule="exact"/>
        <w:ind w:firstLine="640" w:firstLineChars="200"/>
        <w:jc w:val="both"/>
        <w:rPr>
          <w:rFonts w:hint="eastAsia" w:ascii="仿宋" w:hAnsi="仿宋" w:eastAsia="仿宋"/>
          <w:sz w:val="32"/>
          <w:szCs w:val="32"/>
        </w:rPr>
      </w:pPr>
    </w:p>
    <w:p>
      <w:pPr>
        <w:tabs>
          <w:tab w:val="left" w:pos="5954"/>
        </w:tabs>
        <w:wordWrap w:val="0"/>
        <w:spacing w:line="560" w:lineRule="exact"/>
        <w:ind w:firstLine="640" w:firstLineChars="200"/>
        <w:jc w:val="both"/>
        <w:rPr>
          <w:rFonts w:hint="eastAsia" w:ascii="仿宋" w:hAnsi="仿宋" w:eastAsia="仿宋"/>
          <w:sz w:val="32"/>
          <w:szCs w:val="32"/>
        </w:rPr>
      </w:pPr>
    </w:p>
    <w:p>
      <w:pPr>
        <w:tabs>
          <w:tab w:val="left" w:pos="5954"/>
        </w:tabs>
        <w:wordWrap w:val="0"/>
        <w:spacing w:line="560" w:lineRule="exact"/>
        <w:ind w:firstLine="640" w:firstLineChars="200"/>
        <w:jc w:val="both"/>
        <w:rPr>
          <w:rFonts w:hint="eastAsia" w:ascii="仿宋" w:hAnsi="仿宋" w:eastAsia="仿宋"/>
          <w:sz w:val="32"/>
          <w:szCs w:val="32"/>
        </w:rPr>
      </w:pPr>
    </w:p>
    <w:p>
      <w:pPr>
        <w:tabs>
          <w:tab w:val="left" w:pos="5954"/>
        </w:tabs>
        <w:wordWrap w:val="0"/>
        <w:spacing w:line="560" w:lineRule="exact"/>
        <w:ind w:firstLine="640" w:firstLineChars="200"/>
        <w:jc w:val="both"/>
        <w:rPr>
          <w:rFonts w:hint="eastAsia" w:ascii="仿宋" w:hAnsi="仿宋" w:eastAsia="仿宋"/>
          <w:sz w:val="32"/>
          <w:szCs w:val="32"/>
        </w:rPr>
      </w:pPr>
    </w:p>
    <w:p>
      <w:pPr>
        <w:tabs>
          <w:tab w:val="left" w:pos="5954"/>
        </w:tabs>
        <w:wordWrap w:val="0"/>
        <w:spacing w:line="560" w:lineRule="exact"/>
        <w:ind w:firstLine="640" w:firstLineChars="200"/>
        <w:jc w:val="both"/>
        <w:rPr>
          <w:rFonts w:hint="eastAsia" w:ascii="仿宋" w:hAnsi="仿宋" w:eastAsia="仿宋"/>
          <w:sz w:val="32"/>
          <w:szCs w:val="32"/>
        </w:rPr>
      </w:pPr>
    </w:p>
    <w:p>
      <w:pPr>
        <w:tabs>
          <w:tab w:val="left" w:pos="5954"/>
        </w:tabs>
        <w:wordWrap w:val="0"/>
        <w:spacing w:line="56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w:t>
      </w:r>
      <w:r>
        <w:rPr>
          <w:rFonts w:hint="eastAsia" w:ascii="黑体" w:hAnsi="黑体" w:eastAsia="黑体" w:cs="黑体"/>
          <w:sz w:val="32"/>
          <w:szCs w:val="32"/>
          <w:lang w:val="en-US" w:eastAsia="zh-CN"/>
        </w:rPr>
        <w:t xml:space="preserve">  </w:t>
      </w:r>
      <w:bookmarkStart w:id="0" w:name="_GoBack"/>
      <w:bookmarkEnd w:id="0"/>
      <w:r>
        <w:rPr>
          <w:rFonts w:hint="eastAsia" w:ascii="黑体" w:hAnsi="黑体" w:eastAsia="黑体" w:cs="黑体"/>
          <w:sz w:val="32"/>
          <w:szCs w:val="32"/>
          <w:lang w:eastAsia="zh-CN"/>
        </w:rPr>
        <w:t>件</w:t>
      </w:r>
    </w:p>
    <w:p>
      <w:pPr>
        <w:spacing w:before="0" w:after="0" w:line="240" w:lineRule="auto"/>
        <w:ind w:right="0"/>
        <w:jc w:val="center"/>
        <w:rPr>
          <w:rFonts w:hint="eastAsia" w:ascii="方正小标宋简体" w:hAnsi="方正小标宋简体" w:eastAsia="方正小标宋简体" w:cs="方正小标宋简体"/>
          <w:b/>
          <w:color w:val="auto"/>
          <w:spacing w:val="0"/>
          <w:position w:val="0"/>
          <w:sz w:val="36"/>
          <w:szCs w:val="36"/>
          <w:shd w:val="clear" w:color="070000" w:fill="auto"/>
        </w:rPr>
      </w:pPr>
    </w:p>
    <w:p>
      <w:pPr>
        <w:spacing w:before="0" w:after="0" w:line="240" w:lineRule="auto"/>
        <w:ind w:right="0"/>
        <w:jc w:val="center"/>
        <w:rPr>
          <w:rFonts w:ascii="华文中宋" w:hAnsi="华文中宋" w:eastAsia="华文中宋" w:cs="华文中宋"/>
          <w:b/>
          <w:color w:val="000000"/>
          <w:spacing w:val="0"/>
          <w:position w:val="0"/>
          <w:sz w:val="36"/>
          <w:shd w:val="clear" w:color="060000" w:fill="auto"/>
        </w:rPr>
      </w:pPr>
      <w:r>
        <w:rPr>
          <w:rFonts w:hint="eastAsia" w:ascii="方正小标宋简体" w:hAnsi="方正小标宋简体" w:eastAsia="方正小标宋简体" w:cs="方正小标宋简体"/>
          <w:b/>
          <w:color w:val="auto"/>
          <w:spacing w:val="0"/>
          <w:position w:val="0"/>
          <w:sz w:val="36"/>
          <w:szCs w:val="36"/>
          <w:shd w:val="clear" w:color="070000" w:fill="auto"/>
        </w:rPr>
        <w:t>20</w:t>
      </w:r>
      <w:r>
        <w:rPr>
          <w:rFonts w:hint="eastAsia" w:ascii="方正小标宋简体" w:hAnsi="方正小标宋简体" w:eastAsia="方正小标宋简体" w:cs="方正小标宋简体"/>
          <w:b/>
          <w:color w:val="auto"/>
          <w:spacing w:val="0"/>
          <w:position w:val="0"/>
          <w:sz w:val="36"/>
          <w:szCs w:val="36"/>
          <w:shd w:val="clear" w:color="070000" w:fill="auto"/>
          <w:lang w:val="en-US" w:eastAsia="zh-CN"/>
        </w:rPr>
        <w:t>20</w:t>
      </w:r>
      <w:r>
        <w:rPr>
          <w:rFonts w:hint="eastAsia" w:ascii="方正小标宋简体" w:hAnsi="方正小标宋简体" w:eastAsia="方正小标宋简体" w:cs="方正小标宋简体"/>
          <w:b/>
          <w:color w:val="auto"/>
          <w:spacing w:val="0"/>
          <w:position w:val="0"/>
          <w:sz w:val="36"/>
          <w:szCs w:val="36"/>
          <w:shd w:val="clear" w:color="070000" w:fill="auto"/>
        </w:rPr>
        <w:t>年“诚信兴商宣传月”活动统计表</w:t>
      </w:r>
    </w:p>
    <w:p>
      <w:pPr>
        <w:widowControl w:val="0"/>
        <w:wordWrap/>
        <w:adjustRightInd/>
        <w:snapToGrid/>
        <w:spacing w:before="0" w:after="0" w:line="200" w:lineRule="exact"/>
        <w:ind w:right="0"/>
        <w:jc w:val="center"/>
        <w:textAlignment w:val="auto"/>
        <w:outlineLvl w:val="9"/>
        <w:rPr>
          <w:rFonts w:ascii="华文中宋" w:hAnsi="华文中宋" w:eastAsia="华文中宋" w:cs="华文中宋"/>
          <w:b/>
          <w:color w:val="000000"/>
          <w:spacing w:val="0"/>
          <w:position w:val="0"/>
          <w:sz w:val="24"/>
          <w:szCs w:val="24"/>
          <w:shd w:val="clear" w:color="070000" w:fill="auto"/>
        </w:rPr>
      </w:pPr>
    </w:p>
    <w:tbl>
      <w:tblPr>
        <w:tblStyle w:val="6"/>
        <w:tblW w:w="8598"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1197"/>
        <w:gridCol w:w="1659"/>
        <w:gridCol w:w="3367"/>
        <w:gridCol w:w="2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31" w:hRule="atLeast"/>
          <w:jc w:val="center"/>
        </w:trPr>
        <w:tc>
          <w:tcPr>
            <w:tcW w:w="1197" w:type="dxa"/>
            <w:vMerge w:val="restart"/>
            <w:tcBorders>
              <w:top w:val="single" w:color="000000" w:sz="0" w:space="0"/>
              <w:left w:val="single" w:color="000000" w:sz="4" w:space="0"/>
              <w:bottom w:val="single" w:color="000000" w:sz="4" w:space="0"/>
              <w:right w:val="single" w:color="000000" w:sz="4" w:space="0"/>
            </w:tcBorders>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color="030000" w:fill="auto"/>
              </w:rPr>
            </w:pPr>
            <w:r>
              <w:rPr>
                <w:rFonts w:ascii="宋体" w:hAnsi="宋体" w:eastAsia="宋体" w:cs="宋体"/>
                <w:b/>
                <w:color w:val="000000"/>
                <w:spacing w:val="0"/>
                <w:position w:val="0"/>
                <w:sz w:val="24"/>
                <w:shd w:val="clear" w:color="060000" w:fill="auto"/>
              </w:rPr>
              <w:t>宣传形式</w:t>
            </w:r>
          </w:p>
        </w:tc>
        <w:tc>
          <w:tcPr>
            <w:tcW w:w="1659" w:type="dxa"/>
            <w:vMerge w:val="restart"/>
            <w:tcBorders>
              <w:top w:val="single" w:color="000000" w:sz="0" w:space="0"/>
              <w:left w:val="single" w:color="000000" w:sz="4" w:space="0"/>
              <w:bottom w:val="single" w:color="000000" w:sz="4" w:space="0"/>
              <w:right w:val="single" w:color="000000" w:sz="4" w:space="0"/>
            </w:tcBorders>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color="030000" w:fill="auto"/>
              </w:rPr>
            </w:pPr>
            <w:r>
              <w:rPr>
                <w:rFonts w:ascii="宋体" w:hAnsi="宋体" w:eastAsia="宋体" w:cs="宋体"/>
                <w:color w:val="000000"/>
                <w:spacing w:val="0"/>
                <w:position w:val="0"/>
                <w:sz w:val="24"/>
                <w:shd w:val="clear" w:color="050000" w:fill="auto"/>
              </w:rPr>
              <w:t>户外活动</w:t>
            </w:r>
          </w:p>
        </w:tc>
        <w:tc>
          <w:tcPr>
            <w:tcW w:w="3367" w:type="dxa"/>
            <w:tcBorders>
              <w:top w:val="single" w:color="000000" w:sz="0" w:space="0"/>
              <w:left w:val="single" w:color="000000" w:sz="0" w:space="0"/>
              <w:bottom w:val="single" w:color="000000" w:sz="4" w:space="0"/>
              <w:right w:val="single" w:color="000000" w:sz="4" w:space="0"/>
            </w:tcBorders>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color="030000" w:fill="auto"/>
              </w:rPr>
            </w:pPr>
            <w:r>
              <w:rPr>
                <w:rFonts w:hint="eastAsia" w:ascii="宋体" w:hAnsi="宋体" w:cs="宋体"/>
                <w:color w:val="000000"/>
                <w:spacing w:val="0"/>
                <w:position w:val="0"/>
                <w:sz w:val="24"/>
                <w:shd w:val="clear" w:color="050000" w:fill="auto"/>
                <w:lang w:eastAsia="zh-CN"/>
              </w:rPr>
              <w:t>会议</w:t>
            </w:r>
            <w:r>
              <w:rPr>
                <w:rFonts w:ascii="宋体" w:hAnsi="宋体" w:eastAsia="宋体" w:cs="宋体"/>
                <w:color w:val="000000"/>
                <w:spacing w:val="0"/>
                <w:position w:val="0"/>
                <w:sz w:val="24"/>
                <w:shd w:val="clear" w:color="050000" w:fill="auto"/>
              </w:rPr>
              <w:t>（</w:t>
            </w:r>
            <w:r>
              <w:rPr>
                <w:rFonts w:hint="eastAsia" w:ascii="宋体" w:hAnsi="宋体" w:cs="宋体"/>
                <w:color w:val="000000"/>
                <w:spacing w:val="0"/>
                <w:position w:val="0"/>
                <w:sz w:val="24"/>
                <w:shd w:val="clear" w:color="050000" w:fill="auto"/>
                <w:lang w:eastAsia="zh-CN"/>
              </w:rPr>
              <w:t>场</w:t>
            </w:r>
            <w:r>
              <w:rPr>
                <w:rFonts w:ascii="宋体" w:hAnsi="宋体" w:eastAsia="宋体" w:cs="宋体"/>
                <w:color w:val="000000"/>
                <w:spacing w:val="0"/>
                <w:position w:val="0"/>
                <w:sz w:val="24"/>
                <w:shd w:val="clear" w:color="050000" w:fill="auto"/>
              </w:rPr>
              <w:t>次</w:t>
            </w:r>
            <w:r>
              <w:rPr>
                <w:rFonts w:hint="eastAsia" w:ascii="宋体" w:hAnsi="宋体" w:cs="宋体"/>
                <w:color w:val="000000"/>
                <w:spacing w:val="0"/>
                <w:position w:val="0"/>
                <w:sz w:val="24"/>
                <w:shd w:val="clear" w:color="050000" w:fill="auto"/>
                <w:lang w:eastAsia="zh-CN"/>
              </w:rPr>
              <w:t>、人次</w:t>
            </w:r>
            <w:r>
              <w:rPr>
                <w:rFonts w:ascii="宋体" w:hAnsi="宋体" w:eastAsia="宋体" w:cs="宋体"/>
                <w:color w:val="000000"/>
                <w:spacing w:val="0"/>
                <w:position w:val="0"/>
                <w:sz w:val="24"/>
                <w:shd w:val="clear" w:color="050000" w:fill="auto"/>
              </w:rPr>
              <w:t>）</w:t>
            </w:r>
          </w:p>
        </w:tc>
        <w:tc>
          <w:tcPr>
            <w:tcW w:w="2375" w:type="dxa"/>
            <w:tcBorders>
              <w:top w:val="single" w:color="000000" w:sz="0" w:space="0"/>
              <w:left w:val="single" w:color="000000" w:sz="0" w:space="0"/>
              <w:bottom w:val="single" w:color="000000" w:sz="4" w:space="0"/>
              <w:right w:val="single" w:color="000000" w:sz="4" w:space="0"/>
            </w:tcBorders>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2"/>
                <w:shd w:val="clear" w:color="050000"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34" w:hRule="atLeast"/>
          <w:jc w:val="center"/>
        </w:trPr>
        <w:tc>
          <w:tcPr>
            <w:tcW w:w="1197"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color="050000" w:fill="auto"/>
              </w:rPr>
            </w:pPr>
          </w:p>
        </w:tc>
        <w:tc>
          <w:tcPr>
            <w:tcW w:w="1659"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color="050000" w:fill="auto"/>
              </w:rPr>
            </w:pPr>
          </w:p>
        </w:tc>
        <w:tc>
          <w:tcPr>
            <w:tcW w:w="3367" w:type="dxa"/>
            <w:tcBorders>
              <w:top w:val="single" w:color="000000" w:sz="0" w:space="0"/>
              <w:left w:val="single" w:color="000000" w:sz="0" w:space="0"/>
              <w:bottom w:val="single" w:color="000000" w:sz="4" w:space="0"/>
              <w:right w:val="single" w:color="000000" w:sz="4" w:space="0"/>
            </w:tcBorders>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color="030000" w:fill="auto"/>
              </w:rPr>
            </w:pPr>
            <w:r>
              <w:rPr>
                <w:rFonts w:ascii="宋体" w:hAnsi="宋体" w:eastAsia="宋体" w:cs="宋体"/>
                <w:color w:val="000000"/>
                <w:spacing w:val="0"/>
                <w:position w:val="0"/>
                <w:sz w:val="24"/>
                <w:shd w:val="clear" w:color="050000" w:fill="auto"/>
              </w:rPr>
              <w:t>宣传资料</w:t>
            </w:r>
            <w:r>
              <w:rPr>
                <w:rFonts w:hint="eastAsia" w:ascii="宋体" w:hAnsi="宋体" w:cs="宋体"/>
                <w:color w:val="000000"/>
                <w:spacing w:val="0"/>
                <w:position w:val="0"/>
                <w:sz w:val="24"/>
                <w:shd w:val="clear" w:color="050000" w:fill="auto"/>
                <w:lang w:eastAsia="zh-CN"/>
              </w:rPr>
              <w:t>展示</w:t>
            </w:r>
            <w:r>
              <w:rPr>
                <w:rFonts w:ascii="宋体" w:hAnsi="宋体" w:eastAsia="宋体" w:cs="宋体"/>
                <w:color w:val="000000"/>
                <w:spacing w:val="0"/>
                <w:position w:val="0"/>
                <w:sz w:val="24"/>
                <w:shd w:val="clear" w:color="050000" w:fill="auto"/>
              </w:rPr>
              <w:t>（</w:t>
            </w:r>
            <w:r>
              <w:rPr>
                <w:rFonts w:hint="eastAsia" w:ascii="宋体" w:hAnsi="宋体" w:cs="宋体"/>
                <w:color w:val="000000"/>
                <w:spacing w:val="0"/>
                <w:position w:val="0"/>
                <w:sz w:val="24"/>
                <w:shd w:val="clear" w:color="050000" w:fill="auto"/>
                <w:lang w:eastAsia="zh-CN"/>
              </w:rPr>
              <w:t>方式，</w:t>
            </w:r>
            <w:r>
              <w:rPr>
                <w:rFonts w:ascii="宋体" w:hAnsi="宋体" w:eastAsia="宋体" w:cs="宋体"/>
                <w:color w:val="000000"/>
                <w:spacing w:val="0"/>
                <w:position w:val="0"/>
                <w:sz w:val="24"/>
                <w:shd w:val="clear" w:color="050000" w:fill="auto"/>
              </w:rPr>
              <w:t>份</w:t>
            </w:r>
            <w:r>
              <w:rPr>
                <w:rFonts w:hint="eastAsia" w:ascii="宋体" w:hAnsi="宋体" w:cs="宋体"/>
                <w:color w:val="000000"/>
                <w:spacing w:val="0"/>
                <w:position w:val="0"/>
                <w:sz w:val="24"/>
                <w:shd w:val="clear" w:color="050000" w:fill="auto"/>
                <w:lang w:eastAsia="zh-CN"/>
              </w:rPr>
              <w:t>数</w:t>
            </w:r>
            <w:r>
              <w:rPr>
                <w:rFonts w:ascii="宋体" w:hAnsi="宋体" w:eastAsia="宋体" w:cs="宋体"/>
                <w:color w:val="000000"/>
                <w:spacing w:val="0"/>
                <w:position w:val="0"/>
                <w:sz w:val="24"/>
                <w:shd w:val="clear" w:color="050000" w:fill="auto"/>
              </w:rPr>
              <w:t>）</w:t>
            </w:r>
          </w:p>
        </w:tc>
        <w:tc>
          <w:tcPr>
            <w:tcW w:w="2375" w:type="dxa"/>
            <w:tcBorders>
              <w:top w:val="single" w:color="000000" w:sz="0" w:space="0"/>
              <w:left w:val="single" w:color="000000" w:sz="0" w:space="0"/>
              <w:bottom w:val="single" w:color="000000" w:sz="4" w:space="0"/>
              <w:right w:val="single" w:color="000000" w:sz="4" w:space="0"/>
            </w:tcBorders>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2"/>
                <w:shd w:val="clear" w:color="050000"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34" w:hRule="atLeast"/>
          <w:jc w:val="center"/>
        </w:trPr>
        <w:tc>
          <w:tcPr>
            <w:tcW w:w="1197"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color="050000" w:fill="auto"/>
              </w:rPr>
            </w:pPr>
          </w:p>
        </w:tc>
        <w:tc>
          <w:tcPr>
            <w:tcW w:w="1659" w:type="dxa"/>
            <w:vMerge w:val="restart"/>
            <w:tcBorders>
              <w:top w:val="single" w:color="000000" w:sz="0" w:space="0"/>
              <w:left w:val="single" w:color="000000" w:sz="4" w:space="0"/>
              <w:bottom w:val="single" w:color="000000" w:sz="4" w:space="0"/>
              <w:right w:val="single" w:color="000000" w:sz="4" w:space="0"/>
            </w:tcBorders>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spacing w:val="0"/>
                <w:position w:val="0"/>
                <w:shd w:val="clear" w:color="030000" w:fill="auto"/>
                <w:lang w:eastAsia="zh-CN"/>
              </w:rPr>
            </w:pPr>
            <w:r>
              <w:rPr>
                <w:rFonts w:hint="eastAsia" w:ascii="宋体" w:hAnsi="宋体" w:cs="宋体"/>
                <w:color w:val="000000"/>
                <w:spacing w:val="0"/>
                <w:position w:val="0"/>
                <w:sz w:val="24"/>
                <w:shd w:val="clear" w:color="050000" w:fill="auto"/>
                <w:lang w:eastAsia="zh-CN"/>
              </w:rPr>
              <w:t>传统媒介</w:t>
            </w:r>
          </w:p>
        </w:tc>
        <w:tc>
          <w:tcPr>
            <w:tcW w:w="3367" w:type="dxa"/>
            <w:tcBorders>
              <w:top w:val="single" w:color="000000" w:sz="0" w:space="0"/>
              <w:left w:val="single" w:color="000000" w:sz="0" w:space="0"/>
              <w:bottom w:val="single" w:color="000000" w:sz="4" w:space="0"/>
              <w:right w:val="single" w:color="000000" w:sz="4" w:space="0"/>
            </w:tcBorders>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color="030000" w:fill="auto"/>
              </w:rPr>
            </w:pPr>
            <w:r>
              <w:rPr>
                <w:rFonts w:hint="eastAsia" w:ascii="宋体" w:hAnsi="宋体" w:cs="宋体"/>
                <w:color w:val="000000"/>
                <w:spacing w:val="0"/>
                <w:position w:val="0"/>
                <w:sz w:val="24"/>
                <w:shd w:val="clear" w:color="050000" w:fill="auto"/>
                <w:lang w:eastAsia="zh-CN"/>
              </w:rPr>
              <w:t>纸媒</w:t>
            </w:r>
            <w:r>
              <w:rPr>
                <w:rFonts w:ascii="宋体" w:hAnsi="宋体" w:eastAsia="宋体" w:cs="宋体"/>
                <w:color w:val="000000"/>
                <w:spacing w:val="0"/>
                <w:position w:val="0"/>
                <w:sz w:val="24"/>
                <w:shd w:val="clear" w:color="050000" w:fill="auto"/>
              </w:rPr>
              <w:t>新闻（</w:t>
            </w:r>
            <w:r>
              <w:rPr>
                <w:rFonts w:hint="eastAsia" w:ascii="宋体" w:hAnsi="宋体" w:cs="宋体"/>
                <w:color w:val="000000"/>
                <w:spacing w:val="0"/>
                <w:position w:val="0"/>
                <w:sz w:val="24"/>
                <w:shd w:val="clear" w:color="050000" w:fill="auto"/>
                <w:lang w:eastAsia="zh-CN"/>
              </w:rPr>
              <w:t>篇</w:t>
            </w:r>
            <w:r>
              <w:rPr>
                <w:rFonts w:ascii="宋体" w:hAnsi="宋体" w:eastAsia="宋体" w:cs="宋体"/>
                <w:color w:val="000000"/>
                <w:spacing w:val="0"/>
                <w:position w:val="0"/>
                <w:sz w:val="24"/>
                <w:shd w:val="clear" w:color="050000" w:fill="auto"/>
              </w:rPr>
              <w:t>）</w:t>
            </w:r>
          </w:p>
        </w:tc>
        <w:tc>
          <w:tcPr>
            <w:tcW w:w="2375" w:type="dxa"/>
            <w:tcBorders>
              <w:top w:val="single" w:color="000000" w:sz="0" w:space="0"/>
              <w:left w:val="single" w:color="000000" w:sz="0" w:space="0"/>
              <w:bottom w:val="single" w:color="000000" w:sz="4" w:space="0"/>
              <w:right w:val="single" w:color="000000" w:sz="4" w:space="0"/>
            </w:tcBorders>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2"/>
                <w:shd w:val="clear" w:color="050000"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51" w:hRule="atLeast"/>
          <w:jc w:val="center"/>
        </w:trPr>
        <w:tc>
          <w:tcPr>
            <w:tcW w:w="1197"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color="050000" w:fill="auto"/>
              </w:rPr>
            </w:pPr>
          </w:p>
        </w:tc>
        <w:tc>
          <w:tcPr>
            <w:tcW w:w="1659"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color="050000" w:fill="auto"/>
              </w:rPr>
            </w:pPr>
          </w:p>
        </w:tc>
        <w:tc>
          <w:tcPr>
            <w:tcW w:w="3367" w:type="dxa"/>
            <w:tcBorders>
              <w:top w:val="single" w:color="000000" w:sz="0" w:space="0"/>
              <w:left w:val="single" w:color="000000" w:sz="0" w:space="0"/>
              <w:bottom w:val="single" w:color="000000" w:sz="4" w:space="0"/>
              <w:right w:val="single" w:color="000000" w:sz="4" w:space="0"/>
            </w:tcBorders>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color="030000" w:fill="auto"/>
              </w:rPr>
            </w:pPr>
            <w:r>
              <w:rPr>
                <w:rFonts w:hint="eastAsia" w:ascii="宋体" w:hAnsi="宋体" w:cs="宋体"/>
                <w:color w:val="000000"/>
                <w:spacing w:val="0"/>
                <w:position w:val="0"/>
                <w:sz w:val="24"/>
                <w:shd w:val="clear" w:color="050000" w:fill="auto"/>
                <w:lang w:eastAsia="zh-CN"/>
              </w:rPr>
              <w:t>电视新闻</w:t>
            </w:r>
            <w:r>
              <w:rPr>
                <w:rFonts w:ascii="宋体" w:hAnsi="宋体" w:eastAsia="宋体" w:cs="宋体"/>
                <w:color w:val="000000"/>
                <w:spacing w:val="0"/>
                <w:position w:val="0"/>
                <w:sz w:val="24"/>
                <w:shd w:val="clear" w:color="050000" w:fill="auto"/>
              </w:rPr>
              <w:t>（</w:t>
            </w:r>
            <w:r>
              <w:rPr>
                <w:rFonts w:hint="eastAsia" w:ascii="宋体" w:hAnsi="宋体" w:cs="宋体"/>
                <w:color w:val="000000"/>
                <w:spacing w:val="0"/>
                <w:position w:val="0"/>
                <w:sz w:val="24"/>
                <w:shd w:val="clear" w:color="050000" w:fill="auto"/>
                <w:lang w:eastAsia="zh-CN"/>
              </w:rPr>
              <w:t>条</w:t>
            </w:r>
            <w:r>
              <w:rPr>
                <w:rFonts w:ascii="宋体" w:hAnsi="宋体" w:eastAsia="宋体" w:cs="宋体"/>
                <w:color w:val="000000"/>
                <w:spacing w:val="0"/>
                <w:position w:val="0"/>
                <w:sz w:val="24"/>
                <w:shd w:val="clear" w:color="050000" w:fill="auto"/>
              </w:rPr>
              <w:t>）</w:t>
            </w:r>
          </w:p>
        </w:tc>
        <w:tc>
          <w:tcPr>
            <w:tcW w:w="2375" w:type="dxa"/>
            <w:tcBorders>
              <w:top w:val="single" w:color="000000" w:sz="0" w:space="0"/>
              <w:left w:val="single" w:color="000000" w:sz="0" w:space="0"/>
              <w:bottom w:val="single" w:color="000000" w:sz="4" w:space="0"/>
              <w:right w:val="single" w:color="000000" w:sz="4" w:space="0"/>
            </w:tcBorders>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2"/>
                <w:shd w:val="clear" w:color="050000"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56" w:hRule="atLeast"/>
          <w:jc w:val="center"/>
        </w:trPr>
        <w:tc>
          <w:tcPr>
            <w:tcW w:w="1197"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color="050000" w:fill="auto"/>
              </w:rPr>
            </w:pPr>
          </w:p>
        </w:tc>
        <w:tc>
          <w:tcPr>
            <w:tcW w:w="1659"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color="050000" w:fill="auto"/>
              </w:rPr>
            </w:pPr>
          </w:p>
        </w:tc>
        <w:tc>
          <w:tcPr>
            <w:tcW w:w="3367" w:type="dxa"/>
            <w:tcBorders>
              <w:top w:val="single" w:color="000000" w:sz="0" w:space="0"/>
              <w:left w:val="single" w:color="000000" w:sz="0" w:space="0"/>
              <w:bottom w:val="single" w:color="000000" w:sz="4" w:space="0"/>
              <w:right w:val="single" w:color="000000" w:sz="4" w:space="0"/>
            </w:tcBorders>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color="030000" w:fill="auto"/>
              </w:rPr>
            </w:pPr>
            <w:r>
              <w:rPr>
                <w:rFonts w:ascii="宋体" w:hAnsi="宋体" w:eastAsia="宋体" w:cs="宋体"/>
                <w:color w:val="000000"/>
                <w:spacing w:val="0"/>
                <w:position w:val="0"/>
                <w:sz w:val="24"/>
                <w:shd w:val="clear" w:color="050000" w:fill="auto"/>
              </w:rPr>
              <w:t>电台广播（次）</w:t>
            </w:r>
          </w:p>
        </w:tc>
        <w:tc>
          <w:tcPr>
            <w:tcW w:w="2375" w:type="dxa"/>
            <w:tcBorders>
              <w:top w:val="single" w:color="000000" w:sz="0" w:space="0"/>
              <w:left w:val="single" w:color="000000" w:sz="0" w:space="0"/>
              <w:bottom w:val="single" w:color="000000" w:sz="4" w:space="0"/>
              <w:right w:val="single" w:color="000000" w:sz="4" w:space="0"/>
            </w:tcBorders>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2"/>
                <w:shd w:val="clear" w:color="050000"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62" w:hRule="atLeast"/>
          <w:jc w:val="center"/>
        </w:trPr>
        <w:tc>
          <w:tcPr>
            <w:tcW w:w="1197"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color="050000" w:fill="auto"/>
              </w:rPr>
            </w:pPr>
          </w:p>
        </w:tc>
        <w:tc>
          <w:tcPr>
            <w:tcW w:w="1659" w:type="dxa"/>
            <w:vMerge w:val="restart"/>
            <w:tcBorders>
              <w:top w:val="single" w:color="000000" w:sz="0" w:space="0"/>
              <w:left w:val="single" w:color="000000" w:sz="4" w:space="0"/>
              <w:bottom w:val="single" w:color="000000" w:sz="4" w:space="0"/>
              <w:right w:val="single" w:color="000000" w:sz="4" w:space="0"/>
            </w:tcBorders>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color="030000" w:fill="auto"/>
              </w:rPr>
            </w:pPr>
            <w:r>
              <w:rPr>
                <w:rFonts w:ascii="宋体" w:hAnsi="宋体" w:eastAsia="宋体" w:cs="宋体"/>
                <w:color w:val="000000"/>
                <w:spacing w:val="0"/>
                <w:position w:val="0"/>
                <w:sz w:val="24"/>
                <w:shd w:val="clear" w:color="050000" w:fill="auto"/>
              </w:rPr>
              <w:t>新</w:t>
            </w:r>
            <w:r>
              <w:rPr>
                <w:rFonts w:hint="eastAsia" w:ascii="宋体" w:hAnsi="宋体" w:cs="宋体"/>
                <w:color w:val="000000"/>
                <w:spacing w:val="0"/>
                <w:position w:val="0"/>
                <w:sz w:val="24"/>
                <w:shd w:val="clear" w:color="050000" w:fill="auto"/>
                <w:lang w:eastAsia="zh-CN"/>
              </w:rPr>
              <w:t>媒介</w:t>
            </w:r>
          </w:p>
        </w:tc>
        <w:tc>
          <w:tcPr>
            <w:tcW w:w="3367" w:type="dxa"/>
            <w:tcBorders>
              <w:top w:val="single" w:color="000000" w:sz="0" w:space="0"/>
              <w:left w:val="single" w:color="000000" w:sz="0" w:space="0"/>
              <w:bottom w:val="single" w:color="000000" w:sz="4" w:space="0"/>
              <w:right w:val="single" w:color="000000" w:sz="4" w:space="0"/>
            </w:tcBorders>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color="030000" w:fill="auto"/>
              </w:rPr>
            </w:pPr>
            <w:r>
              <w:rPr>
                <w:rFonts w:ascii="宋体" w:hAnsi="宋体" w:eastAsia="宋体" w:cs="宋体"/>
                <w:color w:val="000000"/>
                <w:spacing w:val="0"/>
                <w:position w:val="0"/>
                <w:sz w:val="24"/>
                <w:shd w:val="clear" w:color="050000" w:fill="auto"/>
              </w:rPr>
              <w:t>网站</w:t>
            </w:r>
            <w:r>
              <w:rPr>
                <w:rFonts w:hint="eastAsia" w:ascii="宋体" w:hAnsi="宋体" w:cs="宋体"/>
                <w:color w:val="000000"/>
                <w:spacing w:val="0"/>
                <w:position w:val="0"/>
                <w:sz w:val="24"/>
                <w:shd w:val="clear" w:color="050000" w:fill="auto"/>
                <w:lang w:eastAsia="zh-CN"/>
              </w:rPr>
              <w:t>新闻</w:t>
            </w:r>
            <w:r>
              <w:rPr>
                <w:rFonts w:ascii="宋体" w:hAnsi="宋体" w:eastAsia="宋体" w:cs="宋体"/>
                <w:color w:val="000000"/>
                <w:spacing w:val="0"/>
                <w:position w:val="0"/>
                <w:sz w:val="24"/>
                <w:shd w:val="clear" w:color="050000" w:fill="auto"/>
              </w:rPr>
              <w:t>（</w:t>
            </w:r>
            <w:r>
              <w:rPr>
                <w:rFonts w:hint="eastAsia" w:ascii="宋体" w:hAnsi="宋体" w:cs="宋体"/>
                <w:color w:val="000000"/>
                <w:spacing w:val="0"/>
                <w:position w:val="0"/>
                <w:sz w:val="24"/>
                <w:shd w:val="clear" w:color="050000" w:fill="auto"/>
                <w:lang w:eastAsia="zh-CN"/>
              </w:rPr>
              <w:t>条</w:t>
            </w:r>
            <w:r>
              <w:rPr>
                <w:rFonts w:ascii="宋体" w:hAnsi="宋体" w:eastAsia="宋体" w:cs="宋体"/>
                <w:color w:val="000000"/>
                <w:spacing w:val="0"/>
                <w:position w:val="0"/>
                <w:sz w:val="24"/>
                <w:shd w:val="clear" w:color="050000" w:fill="auto"/>
              </w:rPr>
              <w:t>）</w:t>
            </w:r>
          </w:p>
        </w:tc>
        <w:tc>
          <w:tcPr>
            <w:tcW w:w="2375" w:type="dxa"/>
            <w:tcBorders>
              <w:top w:val="single" w:color="000000" w:sz="0" w:space="0"/>
              <w:left w:val="single" w:color="000000" w:sz="0" w:space="0"/>
              <w:bottom w:val="single" w:color="000000" w:sz="4" w:space="0"/>
              <w:right w:val="single" w:color="000000" w:sz="4" w:space="0"/>
            </w:tcBorders>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2"/>
                <w:shd w:val="clear" w:color="050000"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07" w:hRule="atLeast"/>
          <w:jc w:val="center"/>
        </w:trPr>
        <w:tc>
          <w:tcPr>
            <w:tcW w:w="1197"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color="050000" w:fill="auto"/>
              </w:rPr>
            </w:pPr>
          </w:p>
        </w:tc>
        <w:tc>
          <w:tcPr>
            <w:tcW w:w="1659"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color="050000" w:fill="auto"/>
              </w:rPr>
            </w:pPr>
          </w:p>
        </w:tc>
        <w:tc>
          <w:tcPr>
            <w:tcW w:w="3367" w:type="dxa"/>
            <w:tcBorders>
              <w:top w:val="single" w:color="000000" w:sz="0" w:space="0"/>
              <w:left w:val="single" w:color="000000" w:sz="0" w:space="0"/>
              <w:bottom w:val="single" w:color="000000" w:sz="4" w:space="0"/>
              <w:right w:val="single" w:color="000000" w:sz="4" w:space="0"/>
            </w:tcBorders>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color="030000" w:fill="auto"/>
              </w:rPr>
            </w:pPr>
            <w:r>
              <w:rPr>
                <w:rFonts w:hint="eastAsia" w:ascii="宋体" w:hAnsi="宋体" w:cs="宋体"/>
                <w:color w:val="000000"/>
                <w:spacing w:val="0"/>
                <w:position w:val="0"/>
                <w:sz w:val="24"/>
                <w:shd w:val="clear" w:color="050000" w:fill="auto"/>
                <w:lang w:eastAsia="zh-CN"/>
              </w:rPr>
              <w:t>视频</w:t>
            </w:r>
            <w:r>
              <w:rPr>
                <w:rFonts w:ascii="宋体" w:hAnsi="宋体" w:eastAsia="宋体" w:cs="宋体"/>
                <w:color w:val="000000"/>
                <w:spacing w:val="0"/>
                <w:position w:val="0"/>
                <w:sz w:val="24"/>
                <w:shd w:val="clear" w:color="050000" w:fill="auto"/>
              </w:rPr>
              <w:t>（条）</w:t>
            </w:r>
          </w:p>
        </w:tc>
        <w:tc>
          <w:tcPr>
            <w:tcW w:w="2375" w:type="dxa"/>
            <w:tcBorders>
              <w:top w:val="single" w:color="000000" w:sz="0" w:space="0"/>
              <w:left w:val="single" w:color="000000" w:sz="0" w:space="0"/>
              <w:bottom w:val="single" w:color="000000" w:sz="4" w:space="0"/>
              <w:right w:val="single" w:color="000000" w:sz="4" w:space="0"/>
            </w:tcBorders>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2"/>
                <w:shd w:val="clear" w:color="050000"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20" w:hRule="atLeast"/>
          <w:jc w:val="center"/>
        </w:trPr>
        <w:tc>
          <w:tcPr>
            <w:tcW w:w="1197"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color="050000" w:fill="auto"/>
              </w:rPr>
            </w:pPr>
          </w:p>
        </w:tc>
        <w:tc>
          <w:tcPr>
            <w:tcW w:w="1659"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color="050000" w:fill="auto"/>
              </w:rPr>
            </w:pPr>
          </w:p>
        </w:tc>
        <w:tc>
          <w:tcPr>
            <w:tcW w:w="3367" w:type="dxa"/>
            <w:tcBorders>
              <w:top w:val="single" w:color="000000" w:sz="0" w:space="0"/>
              <w:left w:val="single" w:color="000000" w:sz="0" w:space="0"/>
              <w:bottom w:val="single" w:color="000000" w:sz="4" w:space="0"/>
              <w:right w:val="single" w:color="000000" w:sz="4" w:space="0"/>
            </w:tcBorders>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color="030000" w:fill="auto"/>
              </w:rPr>
            </w:pPr>
            <w:r>
              <w:rPr>
                <w:rFonts w:hint="eastAsia" w:ascii="宋体" w:hAnsi="宋体" w:cs="宋体"/>
                <w:color w:val="000000"/>
                <w:spacing w:val="0"/>
                <w:position w:val="0"/>
                <w:sz w:val="24"/>
                <w:shd w:val="clear" w:color="050000" w:fill="auto"/>
                <w:lang w:eastAsia="zh-CN"/>
              </w:rPr>
              <w:t>直播</w:t>
            </w:r>
            <w:r>
              <w:rPr>
                <w:rFonts w:ascii="宋体" w:hAnsi="宋体" w:eastAsia="宋体" w:cs="宋体"/>
                <w:color w:val="000000"/>
                <w:spacing w:val="0"/>
                <w:position w:val="0"/>
                <w:sz w:val="24"/>
                <w:shd w:val="clear" w:color="050000" w:fill="auto"/>
              </w:rPr>
              <w:t>（</w:t>
            </w:r>
            <w:r>
              <w:rPr>
                <w:rFonts w:hint="eastAsia" w:ascii="宋体" w:hAnsi="宋体" w:cs="宋体"/>
                <w:color w:val="000000"/>
                <w:spacing w:val="0"/>
                <w:position w:val="0"/>
                <w:sz w:val="24"/>
                <w:shd w:val="clear" w:color="050000" w:fill="auto"/>
                <w:lang w:eastAsia="zh-CN"/>
              </w:rPr>
              <w:t>场次，观看人次</w:t>
            </w:r>
            <w:r>
              <w:rPr>
                <w:rFonts w:ascii="宋体" w:hAnsi="宋体" w:eastAsia="宋体" w:cs="宋体"/>
                <w:color w:val="000000"/>
                <w:spacing w:val="0"/>
                <w:position w:val="0"/>
                <w:sz w:val="24"/>
                <w:shd w:val="clear" w:color="050000" w:fill="auto"/>
              </w:rPr>
              <w:t>）</w:t>
            </w:r>
          </w:p>
        </w:tc>
        <w:tc>
          <w:tcPr>
            <w:tcW w:w="2375" w:type="dxa"/>
            <w:tcBorders>
              <w:top w:val="single" w:color="000000" w:sz="0" w:space="0"/>
              <w:left w:val="single" w:color="000000" w:sz="0" w:space="0"/>
              <w:bottom w:val="single" w:color="000000" w:sz="4" w:space="0"/>
              <w:right w:val="single" w:color="000000" w:sz="4" w:space="0"/>
            </w:tcBorders>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2"/>
                <w:shd w:val="clear" w:color="050000"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815" w:hRule="atLeast"/>
          <w:jc w:val="center"/>
        </w:trPr>
        <w:tc>
          <w:tcPr>
            <w:tcW w:w="1197" w:type="dxa"/>
            <w:vMerge w:val="restart"/>
            <w:tcBorders>
              <w:top w:val="single" w:color="000000" w:sz="0" w:space="0"/>
              <w:left w:val="single" w:color="000000" w:sz="4" w:space="0"/>
              <w:bottom w:val="single" w:color="000000" w:sz="4" w:space="0"/>
              <w:right w:val="single" w:color="000000" w:sz="4" w:space="0"/>
            </w:tcBorders>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color="030000" w:fill="auto"/>
              </w:rPr>
            </w:pPr>
            <w:r>
              <w:rPr>
                <w:rFonts w:ascii="宋体" w:hAnsi="宋体" w:eastAsia="宋体" w:cs="宋体"/>
                <w:b/>
                <w:color w:val="000000"/>
                <w:spacing w:val="0"/>
                <w:position w:val="0"/>
                <w:sz w:val="24"/>
                <w:shd w:val="clear" w:color="060000" w:fill="auto"/>
              </w:rPr>
              <w:t>宣传效果</w:t>
            </w:r>
          </w:p>
        </w:tc>
        <w:tc>
          <w:tcPr>
            <w:tcW w:w="5026" w:type="dxa"/>
            <w:gridSpan w:val="2"/>
            <w:tcBorders>
              <w:top w:val="single" w:color="000000" w:sz="4" w:space="0"/>
              <w:left w:val="single" w:color="000000" w:sz="0" w:space="0"/>
              <w:bottom w:val="single" w:color="000000" w:sz="4" w:space="0"/>
              <w:right w:val="single" w:color="000000" w:sz="4" w:space="0"/>
            </w:tcBorders>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color="030000" w:fill="auto"/>
              </w:rPr>
            </w:pPr>
            <w:r>
              <w:rPr>
                <w:rFonts w:ascii="宋体" w:hAnsi="宋体" w:eastAsia="宋体" w:cs="宋体"/>
                <w:color w:val="000000"/>
                <w:spacing w:val="0"/>
                <w:position w:val="0"/>
                <w:sz w:val="24"/>
                <w:shd w:val="clear" w:color="050000" w:fill="auto"/>
              </w:rPr>
              <w:t>宣传覆盖总人数（人次）</w:t>
            </w:r>
          </w:p>
        </w:tc>
        <w:tc>
          <w:tcPr>
            <w:tcW w:w="2375" w:type="dxa"/>
            <w:tcBorders>
              <w:top w:val="single" w:color="000000" w:sz="0" w:space="0"/>
              <w:left w:val="single" w:color="000000" w:sz="0" w:space="0"/>
              <w:bottom w:val="single" w:color="000000" w:sz="4" w:space="0"/>
              <w:right w:val="single" w:color="000000" w:sz="4" w:space="0"/>
            </w:tcBorders>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2"/>
                <w:shd w:val="clear" w:color="050000"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814" w:hRule="atLeast"/>
          <w:jc w:val="center"/>
        </w:trPr>
        <w:tc>
          <w:tcPr>
            <w:tcW w:w="1197"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color="050000" w:fill="auto"/>
              </w:rPr>
            </w:pPr>
          </w:p>
        </w:tc>
        <w:tc>
          <w:tcPr>
            <w:tcW w:w="5026" w:type="dxa"/>
            <w:gridSpan w:val="2"/>
            <w:tcBorders>
              <w:top w:val="single" w:color="000000" w:sz="4" w:space="0"/>
              <w:left w:val="single" w:color="000000" w:sz="0" w:space="0"/>
              <w:bottom w:val="single" w:color="000000" w:sz="4" w:space="0"/>
              <w:right w:val="single" w:color="000000" w:sz="4" w:space="0"/>
            </w:tcBorders>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color="030000" w:fill="auto"/>
              </w:rPr>
            </w:pPr>
            <w:r>
              <w:rPr>
                <w:rFonts w:ascii="宋体" w:hAnsi="宋体" w:eastAsia="宋体" w:cs="宋体"/>
                <w:color w:val="000000"/>
                <w:spacing w:val="0"/>
                <w:position w:val="0"/>
                <w:sz w:val="24"/>
                <w:shd w:val="clear" w:color="050000" w:fill="auto"/>
              </w:rPr>
              <w:t>接受咨询服务总量（人次）</w:t>
            </w:r>
          </w:p>
        </w:tc>
        <w:tc>
          <w:tcPr>
            <w:tcW w:w="2375" w:type="dxa"/>
            <w:tcBorders>
              <w:top w:val="single" w:color="000000" w:sz="0" w:space="0"/>
              <w:left w:val="single" w:color="000000" w:sz="0" w:space="0"/>
              <w:bottom w:val="single" w:color="000000" w:sz="4" w:space="0"/>
              <w:right w:val="single" w:color="000000" w:sz="4" w:space="0"/>
            </w:tcBorders>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2"/>
                <w:shd w:val="clear" w:color="050000" w:fill="auto"/>
              </w:rPr>
            </w:pPr>
          </w:p>
        </w:tc>
      </w:tr>
    </w:tbl>
    <w:p>
      <w:pPr>
        <w:tabs>
          <w:tab w:val="left" w:pos="5954"/>
        </w:tabs>
        <w:wordWrap w:val="0"/>
        <w:spacing w:line="560" w:lineRule="exact"/>
        <w:ind w:firstLine="640" w:firstLineChars="200"/>
        <w:jc w:val="both"/>
        <w:rPr>
          <w:rFonts w:hint="eastAsia" w:ascii="仿宋" w:hAnsi="仿宋" w:eastAsia="仿宋"/>
          <w:sz w:val="32"/>
          <w:szCs w:val="32"/>
          <w:lang w:eastAsia="zh-CN"/>
        </w:rPr>
      </w:pPr>
    </w:p>
    <w:p>
      <w:pPr>
        <w:tabs>
          <w:tab w:val="left" w:pos="5954"/>
        </w:tabs>
        <w:wordWrap w:val="0"/>
        <w:spacing w:line="560" w:lineRule="exact"/>
        <w:ind w:firstLine="640" w:firstLineChars="200"/>
        <w:jc w:val="both"/>
        <w:rPr>
          <w:rFonts w:hint="eastAsia" w:ascii="仿宋" w:hAnsi="仿宋" w:eastAsia="仿宋"/>
          <w:sz w:val="32"/>
          <w:szCs w:val="32"/>
          <w:lang w:eastAsia="zh-CN"/>
        </w:rPr>
      </w:pPr>
    </w:p>
    <w:p>
      <w:pPr>
        <w:tabs>
          <w:tab w:val="left" w:pos="5954"/>
        </w:tabs>
        <w:spacing w:line="560" w:lineRule="exact"/>
        <w:ind w:firstLine="640" w:firstLineChars="200"/>
        <w:jc w:val="right"/>
        <w:rPr>
          <w:rFonts w:ascii="仿宋" w:hAnsi="仿宋" w:eastAsia="仿宋"/>
          <w:sz w:val="32"/>
          <w:szCs w:val="32"/>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仿宋">
    <w:altName w:val="仿宋_GB2312"/>
    <w:panose1 w:val="02010609060101010101"/>
    <w:charset w:val="86"/>
    <w:family w:val="auto"/>
    <w:pitch w:val="default"/>
    <w:sig w:usb0="800002BF" w:usb1="38CF7CFA" w:usb2="00000016" w:usb3="00000000" w:csb0="00040001" w:csb1="00000000"/>
  </w:font>
  <w:font w:name="楷体">
    <w:altName w:val="楷体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B34C7"/>
    <w:rsid w:val="000021BB"/>
    <w:rsid w:val="00010D1B"/>
    <w:rsid w:val="00011FA5"/>
    <w:rsid w:val="00012AE9"/>
    <w:rsid w:val="000773FC"/>
    <w:rsid w:val="00081F9C"/>
    <w:rsid w:val="00087CB3"/>
    <w:rsid w:val="000916BD"/>
    <w:rsid w:val="000B1450"/>
    <w:rsid w:val="000C558C"/>
    <w:rsid w:val="000D211A"/>
    <w:rsid w:val="000F23B3"/>
    <w:rsid w:val="000F3BB6"/>
    <w:rsid w:val="00102424"/>
    <w:rsid w:val="00111A71"/>
    <w:rsid w:val="00113CA4"/>
    <w:rsid w:val="00114560"/>
    <w:rsid w:val="00175B73"/>
    <w:rsid w:val="00181EAF"/>
    <w:rsid w:val="001858AE"/>
    <w:rsid w:val="00186EDF"/>
    <w:rsid w:val="001A0402"/>
    <w:rsid w:val="001A15E1"/>
    <w:rsid w:val="001B0271"/>
    <w:rsid w:val="001E350A"/>
    <w:rsid w:val="001E3D10"/>
    <w:rsid w:val="001F11EA"/>
    <w:rsid w:val="00202A43"/>
    <w:rsid w:val="0022603F"/>
    <w:rsid w:val="00226658"/>
    <w:rsid w:val="00246EFA"/>
    <w:rsid w:val="00264ACD"/>
    <w:rsid w:val="002B0EFA"/>
    <w:rsid w:val="002D4790"/>
    <w:rsid w:val="002E3C58"/>
    <w:rsid w:val="0032294F"/>
    <w:rsid w:val="00322E50"/>
    <w:rsid w:val="00344D5C"/>
    <w:rsid w:val="00383F2A"/>
    <w:rsid w:val="00395533"/>
    <w:rsid w:val="003B583A"/>
    <w:rsid w:val="003C053C"/>
    <w:rsid w:val="003C39EF"/>
    <w:rsid w:val="003D35BB"/>
    <w:rsid w:val="003D7715"/>
    <w:rsid w:val="003F6843"/>
    <w:rsid w:val="00407229"/>
    <w:rsid w:val="00421539"/>
    <w:rsid w:val="00446401"/>
    <w:rsid w:val="00471C90"/>
    <w:rsid w:val="0047593A"/>
    <w:rsid w:val="00485000"/>
    <w:rsid w:val="004B162C"/>
    <w:rsid w:val="004B7605"/>
    <w:rsid w:val="004C2322"/>
    <w:rsid w:val="004D6C98"/>
    <w:rsid w:val="004E563D"/>
    <w:rsid w:val="004F550D"/>
    <w:rsid w:val="00500DD9"/>
    <w:rsid w:val="00511468"/>
    <w:rsid w:val="00512938"/>
    <w:rsid w:val="00520210"/>
    <w:rsid w:val="00520950"/>
    <w:rsid w:val="005357A2"/>
    <w:rsid w:val="00543B0B"/>
    <w:rsid w:val="00544419"/>
    <w:rsid w:val="00553C48"/>
    <w:rsid w:val="00563DEE"/>
    <w:rsid w:val="0056559F"/>
    <w:rsid w:val="00582DA9"/>
    <w:rsid w:val="005854A4"/>
    <w:rsid w:val="00592E6C"/>
    <w:rsid w:val="005A1A6A"/>
    <w:rsid w:val="005A4A09"/>
    <w:rsid w:val="005B00D8"/>
    <w:rsid w:val="005B34C7"/>
    <w:rsid w:val="005B3C50"/>
    <w:rsid w:val="005C1C3E"/>
    <w:rsid w:val="005C24DD"/>
    <w:rsid w:val="005E4019"/>
    <w:rsid w:val="005E606C"/>
    <w:rsid w:val="005F3486"/>
    <w:rsid w:val="005F35BA"/>
    <w:rsid w:val="005F7E27"/>
    <w:rsid w:val="00615AA3"/>
    <w:rsid w:val="0062057B"/>
    <w:rsid w:val="0063389B"/>
    <w:rsid w:val="006471C4"/>
    <w:rsid w:val="006667F1"/>
    <w:rsid w:val="00670512"/>
    <w:rsid w:val="006861A2"/>
    <w:rsid w:val="0069449E"/>
    <w:rsid w:val="00694741"/>
    <w:rsid w:val="006B4300"/>
    <w:rsid w:val="006D3602"/>
    <w:rsid w:val="006D490D"/>
    <w:rsid w:val="006E0496"/>
    <w:rsid w:val="006F0A25"/>
    <w:rsid w:val="00707936"/>
    <w:rsid w:val="00710D72"/>
    <w:rsid w:val="007264EC"/>
    <w:rsid w:val="00735C7A"/>
    <w:rsid w:val="00755754"/>
    <w:rsid w:val="007572EB"/>
    <w:rsid w:val="00760B1B"/>
    <w:rsid w:val="007616CD"/>
    <w:rsid w:val="00765C33"/>
    <w:rsid w:val="00790903"/>
    <w:rsid w:val="00792314"/>
    <w:rsid w:val="007E7CE0"/>
    <w:rsid w:val="00810836"/>
    <w:rsid w:val="0081297C"/>
    <w:rsid w:val="00883E61"/>
    <w:rsid w:val="00884C70"/>
    <w:rsid w:val="008D03A0"/>
    <w:rsid w:val="008D0C16"/>
    <w:rsid w:val="008E3FEC"/>
    <w:rsid w:val="008E4F24"/>
    <w:rsid w:val="008E5BC9"/>
    <w:rsid w:val="008F4A2B"/>
    <w:rsid w:val="008F76CB"/>
    <w:rsid w:val="0092026A"/>
    <w:rsid w:val="0092156D"/>
    <w:rsid w:val="00927482"/>
    <w:rsid w:val="00935AD4"/>
    <w:rsid w:val="009419A1"/>
    <w:rsid w:val="0094288F"/>
    <w:rsid w:val="0094559D"/>
    <w:rsid w:val="00945DF4"/>
    <w:rsid w:val="00961EAD"/>
    <w:rsid w:val="0096753C"/>
    <w:rsid w:val="00972058"/>
    <w:rsid w:val="00986170"/>
    <w:rsid w:val="00993A85"/>
    <w:rsid w:val="00993E96"/>
    <w:rsid w:val="009A68CE"/>
    <w:rsid w:val="009B77F1"/>
    <w:rsid w:val="009C2256"/>
    <w:rsid w:val="009C4AB4"/>
    <w:rsid w:val="009E62D0"/>
    <w:rsid w:val="009F7D5A"/>
    <w:rsid w:val="00A07E02"/>
    <w:rsid w:val="00A1044E"/>
    <w:rsid w:val="00A10544"/>
    <w:rsid w:val="00A1166D"/>
    <w:rsid w:val="00A120E4"/>
    <w:rsid w:val="00A2224C"/>
    <w:rsid w:val="00A345B6"/>
    <w:rsid w:val="00A70F0A"/>
    <w:rsid w:val="00A70FE8"/>
    <w:rsid w:val="00A718C4"/>
    <w:rsid w:val="00AA1312"/>
    <w:rsid w:val="00AA15B7"/>
    <w:rsid w:val="00AA38C4"/>
    <w:rsid w:val="00AB0126"/>
    <w:rsid w:val="00AB17A5"/>
    <w:rsid w:val="00AB5561"/>
    <w:rsid w:val="00B34954"/>
    <w:rsid w:val="00B37F39"/>
    <w:rsid w:val="00B436E7"/>
    <w:rsid w:val="00B50C44"/>
    <w:rsid w:val="00B53CFC"/>
    <w:rsid w:val="00B56F50"/>
    <w:rsid w:val="00B71576"/>
    <w:rsid w:val="00B92667"/>
    <w:rsid w:val="00B953CA"/>
    <w:rsid w:val="00BA20D9"/>
    <w:rsid w:val="00BB22F8"/>
    <w:rsid w:val="00BC4B1E"/>
    <w:rsid w:val="00BD478D"/>
    <w:rsid w:val="00BF2947"/>
    <w:rsid w:val="00BF4685"/>
    <w:rsid w:val="00C065FC"/>
    <w:rsid w:val="00C10EEF"/>
    <w:rsid w:val="00C130EB"/>
    <w:rsid w:val="00C21F3B"/>
    <w:rsid w:val="00C2528B"/>
    <w:rsid w:val="00C32CA1"/>
    <w:rsid w:val="00C4446E"/>
    <w:rsid w:val="00C44F47"/>
    <w:rsid w:val="00C608DB"/>
    <w:rsid w:val="00C66E06"/>
    <w:rsid w:val="00C759EC"/>
    <w:rsid w:val="00C81A8E"/>
    <w:rsid w:val="00C90432"/>
    <w:rsid w:val="00C91E77"/>
    <w:rsid w:val="00CB12E4"/>
    <w:rsid w:val="00CB7497"/>
    <w:rsid w:val="00CC2CBB"/>
    <w:rsid w:val="00CE173F"/>
    <w:rsid w:val="00CF1CFB"/>
    <w:rsid w:val="00D022DD"/>
    <w:rsid w:val="00D47CAE"/>
    <w:rsid w:val="00D6200D"/>
    <w:rsid w:val="00D62F0E"/>
    <w:rsid w:val="00D67664"/>
    <w:rsid w:val="00D74A6B"/>
    <w:rsid w:val="00D8577A"/>
    <w:rsid w:val="00D94F89"/>
    <w:rsid w:val="00DB42DB"/>
    <w:rsid w:val="00DB684D"/>
    <w:rsid w:val="00DC2A5A"/>
    <w:rsid w:val="00DD1DF1"/>
    <w:rsid w:val="00E077DC"/>
    <w:rsid w:val="00E33685"/>
    <w:rsid w:val="00E45EBD"/>
    <w:rsid w:val="00E64D83"/>
    <w:rsid w:val="00E7045D"/>
    <w:rsid w:val="00E83E1B"/>
    <w:rsid w:val="00E943E8"/>
    <w:rsid w:val="00EA2AA3"/>
    <w:rsid w:val="00EC32A9"/>
    <w:rsid w:val="00EC3E90"/>
    <w:rsid w:val="00ED4C1B"/>
    <w:rsid w:val="00EE371D"/>
    <w:rsid w:val="00EF6DE1"/>
    <w:rsid w:val="00F0485B"/>
    <w:rsid w:val="00F06717"/>
    <w:rsid w:val="00F258CD"/>
    <w:rsid w:val="00F27FF0"/>
    <w:rsid w:val="00F434E3"/>
    <w:rsid w:val="00F71FC9"/>
    <w:rsid w:val="00F73B14"/>
    <w:rsid w:val="00F87455"/>
    <w:rsid w:val="00F94DB9"/>
    <w:rsid w:val="00F968A9"/>
    <w:rsid w:val="00FB31F0"/>
    <w:rsid w:val="00FD5D46"/>
    <w:rsid w:val="00FD63FC"/>
    <w:rsid w:val="00FF2812"/>
    <w:rsid w:val="0491498E"/>
    <w:rsid w:val="04D253F8"/>
    <w:rsid w:val="06C510AB"/>
    <w:rsid w:val="080055AF"/>
    <w:rsid w:val="08AE69CD"/>
    <w:rsid w:val="0A095984"/>
    <w:rsid w:val="0A5F6393"/>
    <w:rsid w:val="0B393AF8"/>
    <w:rsid w:val="0B591E2E"/>
    <w:rsid w:val="0B9A2898"/>
    <w:rsid w:val="0BBC084E"/>
    <w:rsid w:val="0C7F1C11"/>
    <w:rsid w:val="0FAD6545"/>
    <w:rsid w:val="0FF90BC3"/>
    <w:rsid w:val="105A7962"/>
    <w:rsid w:val="10A61FE0"/>
    <w:rsid w:val="10BB6702"/>
    <w:rsid w:val="1279795D"/>
    <w:rsid w:val="134770B1"/>
    <w:rsid w:val="13935EAB"/>
    <w:rsid w:val="14775224"/>
    <w:rsid w:val="179A37C7"/>
    <w:rsid w:val="17F141D6"/>
    <w:rsid w:val="18522F76"/>
    <w:rsid w:val="1922234A"/>
    <w:rsid w:val="198310E9"/>
    <w:rsid w:val="19AF5431"/>
    <w:rsid w:val="19DA1AF8"/>
    <w:rsid w:val="1C0E6215"/>
    <w:rsid w:val="1E2D620F"/>
    <w:rsid w:val="1E8F0832"/>
    <w:rsid w:val="1EAF32E5"/>
    <w:rsid w:val="1F47475D"/>
    <w:rsid w:val="1F730AA4"/>
    <w:rsid w:val="1F936DDB"/>
    <w:rsid w:val="1FF45B7B"/>
    <w:rsid w:val="207728D1"/>
    <w:rsid w:val="20A26F98"/>
    <w:rsid w:val="23593C8E"/>
    <w:rsid w:val="250B3654"/>
    <w:rsid w:val="28021134"/>
    <w:rsid w:val="286F5EE4"/>
    <w:rsid w:val="29A04058"/>
    <w:rsid w:val="2C971B37"/>
    <w:rsid w:val="2D71729C"/>
    <w:rsid w:val="2E1E06B9"/>
    <w:rsid w:val="306814F8"/>
    <w:rsid w:val="3198766B"/>
    <w:rsid w:val="32194741"/>
    <w:rsid w:val="329C1497"/>
    <w:rsid w:val="32F31EA6"/>
    <w:rsid w:val="34A614EC"/>
    <w:rsid w:val="35E05D71"/>
    <w:rsid w:val="393A2270"/>
    <w:rsid w:val="39646937"/>
    <w:rsid w:val="3AEB54BA"/>
    <w:rsid w:val="3D205459"/>
    <w:rsid w:val="3F34383F"/>
    <w:rsid w:val="408F607A"/>
    <w:rsid w:val="41E06CA1"/>
    <w:rsid w:val="41F56C46"/>
    <w:rsid w:val="43675823"/>
    <w:rsid w:val="43C845C3"/>
    <w:rsid w:val="43E828F9"/>
    <w:rsid w:val="44A21D28"/>
    <w:rsid w:val="465316EE"/>
    <w:rsid w:val="468A764A"/>
    <w:rsid w:val="47847862"/>
    <w:rsid w:val="487D32FD"/>
    <w:rsid w:val="4B080428"/>
    <w:rsid w:val="4B1039BF"/>
    <w:rsid w:val="4B1367B9"/>
    <w:rsid w:val="4B6A71C8"/>
    <w:rsid w:val="4B96350F"/>
    <w:rsid w:val="4C39659B"/>
    <w:rsid w:val="4C6E0FF4"/>
    <w:rsid w:val="4C906FAA"/>
    <w:rsid w:val="4E4C4D02"/>
    <w:rsid w:val="50AC0FE9"/>
    <w:rsid w:val="51BB11A6"/>
    <w:rsid w:val="52295F56"/>
    <w:rsid w:val="525E09AF"/>
    <w:rsid w:val="53772781"/>
    <w:rsid w:val="548825BE"/>
    <w:rsid w:val="55C36AC2"/>
    <w:rsid w:val="58836646"/>
    <w:rsid w:val="599E0097"/>
    <w:rsid w:val="5BDD2B45"/>
    <w:rsid w:val="5C08720C"/>
    <w:rsid w:val="5D385380"/>
    <w:rsid w:val="5D6F7A58"/>
    <w:rsid w:val="5D8F5D8E"/>
    <w:rsid w:val="5DBB20D6"/>
    <w:rsid w:val="5E122AE4"/>
    <w:rsid w:val="5FAE5D89"/>
    <w:rsid w:val="603C0E70"/>
    <w:rsid w:val="60F4061E"/>
    <w:rsid w:val="616B7363"/>
    <w:rsid w:val="61775374"/>
    <w:rsid w:val="61A11A3C"/>
    <w:rsid w:val="64374EF8"/>
    <w:rsid w:val="65B456E9"/>
    <w:rsid w:val="66154489"/>
    <w:rsid w:val="68953223"/>
    <w:rsid w:val="6C3A2120"/>
    <w:rsid w:val="6D095C70"/>
    <w:rsid w:val="6D5502EE"/>
    <w:rsid w:val="6DAC0CFD"/>
    <w:rsid w:val="6E0D7A9C"/>
    <w:rsid w:val="6ED2525C"/>
    <w:rsid w:val="6EDC6E70"/>
    <w:rsid w:val="70984BC8"/>
    <w:rsid w:val="719D69F4"/>
    <w:rsid w:val="74CC682B"/>
    <w:rsid w:val="752175BA"/>
    <w:rsid w:val="752E55CB"/>
    <w:rsid w:val="754E3901"/>
    <w:rsid w:val="75AF26A1"/>
    <w:rsid w:val="76271066"/>
    <w:rsid w:val="767E1A75"/>
    <w:rsid w:val="76D52484"/>
    <w:rsid w:val="76DF0815"/>
    <w:rsid w:val="7ABB1DEA"/>
    <w:rsid w:val="7C6E1430"/>
    <w:rsid w:val="7E2A2A0B"/>
    <w:rsid w:val="7ECD5A97"/>
    <w:rsid w:val="7F9035D7"/>
    <w:rsid w:val="7FC65CA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8">
    <w:name w:val="List Paragraph"/>
    <w:basedOn w:val="1"/>
    <w:qFormat/>
    <w:uiPriority w:val="34"/>
    <w:pPr>
      <w:ind w:firstLine="420" w:firstLineChars="200"/>
    </w:p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685</Words>
  <Characters>3907</Characters>
  <Lines>32</Lines>
  <Paragraphs>9</Paragraphs>
  <TotalTime>0</TotalTime>
  <ScaleCrop>false</ScaleCrop>
  <LinksUpToDate>false</LinksUpToDate>
  <CharactersWithSpaces>0</CharactersWithSpaces>
  <Application>WPS Office 专业版_9.1.0.5432_F1E327BC-269C-435d-A152-05C5408002CA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2020-09-03T04:00:00Z</dcterms:created>
  <dc:creator>Windows 用户</dc:creator>
  <cp:lastModifiedBy>Administrator</cp:lastModifiedBy>
  <cp:lastPrinted>2020-09-04T01:57:00Z</cp:lastPrinted>
  <dcterms:modified xsi:type="dcterms:W3CDTF">2020-09-27T09:36:14Z</dcterms:modified>
  <dc:title>商务部等19部门关于开展2020年</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2052-9.1.0.5432</vt:lpwstr>
  </property>
</Properties>
</file>