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4D" w:rsidRDefault="00CE6617">
      <w:pPr>
        <w:spacing w:line="64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E2574D" w:rsidRDefault="00E2574D">
      <w:pPr>
        <w:jc w:val="center"/>
        <w:rPr>
          <w:rFonts w:ascii="华文仿宋" w:eastAsia="华文仿宋" w:hAnsi="华文仿宋" w:cs="华文仿宋"/>
          <w:sz w:val="28"/>
          <w:szCs w:val="28"/>
        </w:rPr>
      </w:pPr>
    </w:p>
    <w:p w:rsidR="00E2574D" w:rsidRDefault="00E2574D">
      <w:pPr>
        <w:jc w:val="center"/>
        <w:rPr>
          <w:rFonts w:ascii="华文仿宋" w:eastAsia="华文仿宋" w:hAnsi="华文仿宋" w:cs="华文仿宋"/>
          <w:sz w:val="28"/>
          <w:szCs w:val="28"/>
        </w:rPr>
      </w:pPr>
    </w:p>
    <w:p w:rsidR="00E2574D" w:rsidRDefault="00E2574D">
      <w:pPr>
        <w:jc w:val="center"/>
        <w:rPr>
          <w:rFonts w:ascii="华文仿宋" w:eastAsia="华文仿宋" w:hAnsi="华文仿宋" w:cs="华文仿宋"/>
          <w:sz w:val="28"/>
          <w:szCs w:val="28"/>
        </w:rPr>
      </w:pPr>
    </w:p>
    <w:p w:rsidR="00E2574D" w:rsidRDefault="00CE661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年度青岛市水务管理局城市维护专项资金</w:t>
      </w:r>
      <w:r>
        <w:rPr>
          <w:rFonts w:ascii="方正小标宋简体" w:eastAsia="方正小标宋简体" w:hAnsi="方正小标宋简体" w:cs="方正小标宋简体" w:hint="eastAsia"/>
          <w:sz w:val="44"/>
          <w:szCs w:val="44"/>
        </w:rPr>
        <w:t>绩效</w:t>
      </w:r>
      <w:r>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CE6617">
      <w:pPr>
        <w:rPr>
          <w:rFonts w:ascii="黑体" w:eastAsia="黑体" w:hAnsi="黑体" w:cs="黑体"/>
          <w:sz w:val="32"/>
          <w:szCs w:val="32"/>
        </w:rPr>
      </w:pPr>
      <w:r>
        <w:rPr>
          <w:rFonts w:ascii="黑体" w:eastAsia="黑体" w:hAnsi="黑体" w:cs="黑体" w:hint="eastAsia"/>
          <w:sz w:val="32"/>
          <w:szCs w:val="32"/>
        </w:rPr>
        <w:t>评价</w:t>
      </w:r>
      <w:r>
        <w:rPr>
          <w:rFonts w:ascii="黑体" w:eastAsia="黑体" w:hAnsi="黑体" w:cs="黑体" w:hint="eastAsia"/>
          <w:sz w:val="32"/>
          <w:szCs w:val="32"/>
        </w:rPr>
        <w:t>单位</w:t>
      </w:r>
      <w:r>
        <w:rPr>
          <w:rFonts w:ascii="黑体" w:eastAsia="黑体" w:hAnsi="黑体" w:cs="黑体" w:hint="eastAsia"/>
          <w:sz w:val="32"/>
          <w:szCs w:val="32"/>
        </w:rPr>
        <w:t>：</w:t>
      </w:r>
      <w:r>
        <w:rPr>
          <w:rFonts w:ascii="黑体" w:eastAsia="黑体" w:hAnsi="黑体" w:cs="黑体" w:hint="eastAsia"/>
          <w:sz w:val="32"/>
          <w:szCs w:val="32"/>
        </w:rPr>
        <w:t>青岛市</w:t>
      </w:r>
      <w:r>
        <w:rPr>
          <w:rFonts w:ascii="黑体" w:eastAsia="黑体" w:hAnsi="黑体" w:cs="黑体" w:hint="eastAsia"/>
          <w:sz w:val="32"/>
          <w:szCs w:val="32"/>
        </w:rPr>
        <w:t>水务管理局</w:t>
      </w:r>
    </w:p>
    <w:p w:rsidR="00E2574D" w:rsidRDefault="00CE6617">
      <w:pPr>
        <w:rPr>
          <w:rFonts w:ascii="黑体" w:eastAsia="黑体" w:hAnsi="黑体" w:cs="黑体"/>
          <w:sz w:val="32"/>
          <w:szCs w:val="32"/>
        </w:rPr>
      </w:pPr>
      <w:r>
        <w:rPr>
          <w:rFonts w:ascii="黑体" w:eastAsia="黑体" w:hAnsi="黑体" w:cs="黑体" w:hint="eastAsia"/>
          <w:sz w:val="32"/>
          <w:szCs w:val="32"/>
        </w:rPr>
        <w:t>被评价单位</w:t>
      </w:r>
      <w:r>
        <w:rPr>
          <w:rFonts w:ascii="黑体" w:eastAsia="黑体" w:hAnsi="黑体" w:cs="黑体" w:hint="eastAsia"/>
          <w:sz w:val="32"/>
          <w:szCs w:val="32"/>
        </w:rPr>
        <w:t>：</w:t>
      </w:r>
      <w:r>
        <w:rPr>
          <w:rFonts w:ascii="黑体" w:eastAsia="黑体" w:hAnsi="黑体" w:cs="黑体" w:hint="eastAsia"/>
          <w:sz w:val="32"/>
          <w:szCs w:val="32"/>
        </w:rPr>
        <w:t>青岛市</w:t>
      </w:r>
      <w:r>
        <w:rPr>
          <w:rFonts w:ascii="黑体" w:eastAsia="黑体" w:hAnsi="黑体" w:cs="黑体" w:hint="eastAsia"/>
          <w:sz w:val="32"/>
          <w:szCs w:val="32"/>
        </w:rPr>
        <w:t>水务管理局、青岛市水务工程建设和安全服务中心、青岛市供水事业发展中心</w:t>
      </w: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E2574D">
      <w:pPr>
        <w:rPr>
          <w:rFonts w:ascii="华文仿宋" w:eastAsia="华文仿宋" w:hAnsi="华文仿宋" w:cs="华文仿宋"/>
          <w:sz w:val="28"/>
          <w:szCs w:val="28"/>
        </w:rPr>
      </w:pPr>
    </w:p>
    <w:p w:rsidR="00E2574D" w:rsidRDefault="00CE6617">
      <w:pPr>
        <w:jc w:val="center"/>
        <w:rPr>
          <w:rFonts w:ascii="华文仿宋" w:eastAsia="华文仿宋" w:hAnsi="华文仿宋" w:cs="华文仿宋"/>
          <w:sz w:val="30"/>
          <w:szCs w:val="30"/>
        </w:rPr>
      </w:pPr>
      <w:r>
        <w:rPr>
          <w:rFonts w:ascii="黑体" w:eastAsia="黑体" w:hAnsi="黑体" w:cs="黑体" w:hint="eastAsia"/>
          <w:sz w:val="32"/>
          <w:szCs w:val="32"/>
        </w:rPr>
        <w:t>20</w:t>
      </w:r>
      <w:r>
        <w:rPr>
          <w:rFonts w:ascii="黑体" w:eastAsia="黑体" w:hAnsi="黑体" w:cs="黑体" w:hint="eastAsia"/>
          <w:sz w:val="32"/>
          <w:szCs w:val="32"/>
        </w:rPr>
        <w:t>20</w:t>
      </w:r>
      <w:r>
        <w:rPr>
          <w:rFonts w:ascii="黑体" w:eastAsia="黑体" w:hAnsi="黑体" w:cs="黑体" w:hint="eastAsia"/>
          <w:sz w:val="32"/>
          <w:szCs w:val="32"/>
        </w:rPr>
        <w:t>年</w:t>
      </w:r>
      <w:r>
        <w:rPr>
          <w:rFonts w:ascii="黑体" w:eastAsia="黑体" w:hAnsi="黑体" w:cs="黑体" w:hint="eastAsia"/>
          <w:sz w:val="32"/>
          <w:szCs w:val="32"/>
        </w:rPr>
        <w:t>9</w:t>
      </w:r>
      <w:r>
        <w:rPr>
          <w:rFonts w:ascii="黑体" w:eastAsia="黑体" w:hAnsi="黑体" w:cs="黑体" w:hint="eastAsia"/>
          <w:sz w:val="32"/>
          <w:szCs w:val="32"/>
        </w:rPr>
        <w:t>月</w:t>
      </w:r>
    </w:p>
    <w:p w:rsidR="00E2574D" w:rsidRDefault="00CE6617">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2019</w:t>
      </w:r>
      <w:r>
        <w:rPr>
          <w:rFonts w:ascii="方正小标宋_GBK" w:eastAsia="方正小标宋_GBK" w:hAnsi="方正小标宋_GBK" w:cs="方正小标宋_GBK" w:hint="eastAsia"/>
          <w:sz w:val="44"/>
          <w:szCs w:val="44"/>
        </w:rPr>
        <w:t>年度</w:t>
      </w:r>
      <w:r>
        <w:rPr>
          <w:rFonts w:ascii="方正小标宋_GBK" w:eastAsia="方正小标宋_GBK" w:hAnsi="方正小标宋_GBK" w:cs="方正小标宋_GBK" w:hint="eastAsia"/>
          <w:sz w:val="44"/>
          <w:szCs w:val="44"/>
        </w:rPr>
        <w:t>青岛市水务管理局城市维护</w:t>
      </w:r>
      <w:r>
        <w:rPr>
          <w:rFonts w:ascii="方正小标宋_GBK" w:eastAsia="方正小标宋_GBK" w:hAnsi="方正小标宋_GBK" w:cs="方正小标宋_GBK" w:hint="eastAsia"/>
          <w:sz w:val="44"/>
          <w:szCs w:val="44"/>
        </w:rPr>
        <w:t>专项资金</w:t>
      </w:r>
    </w:p>
    <w:p w:rsidR="00E2574D" w:rsidRDefault="00CE6617">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绩效评价报告</w:t>
      </w:r>
    </w:p>
    <w:p w:rsidR="00E2574D" w:rsidRDefault="00E2574D">
      <w:pPr>
        <w:spacing w:line="640" w:lineRule="exact"/>
        <w:rPr>
          <w:rFonts w:ascii="方正小标宋_GBK" w:eastAsia="方正小标宋_GBK" w:hAnsi="方正小标宋_GBK" w:cs="方正小标宋_GBK"/>
          <w:sz w:val="44"/>
          <w:szCs w:val="44"/>
        </w:rPr>
      </w:pPr>
    </w:p>
    <w:p w:rsidR="00E2574D" w:rsidRDefault="00CE6617">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本次进行绩效评价的城市维护专项资金详细内容如下：</w:t>
      </w:r>
    </w:p>
    <w:p w:rsidR="00E2574D" w:rsidRDefault="00CE6617">
      <w:pPr>
        <w:outlineLvl w:val="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w:t>
      </w:r>
      <w:r>
        <w:rPr>
          <w:rFonts w:ascii="黑体" w:eastAsia="黑体" w:hAnsi="黑体" w:cs="黑体" w:hint="eastAsia"/>
          <w:sz w:val="32"/>
          <w:szCs w:val="32"/>
        </w:rPr>
        <w:t>基本情况</w:t>
      </w:r>
    </w:p>
    <w:tbl>
      <w:tblPr>
        <w:tblpPr w:leftFromText="180" w:rightFromText="180" w:vertAnchor="text" w:horzAnchor="page" w:tblpX="1439" w:tblpY="676"/>
        <w:tblOverlap w:val="neve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8"/>
        <w:gridCol w:w="2890"/>
        <w:gridCol w:w="990"/>
        <w:gridCol w:w="1050"/>
        <w:gridCol w:w="855"/>
        <w:gridCol w:w="885"/>
        <w:gridCol w:w="840"/>
        <w:gridCol w:w="1095"/>
      </w:tblGrid>
      <w:tr w:rsidR="00E2574D">
        <w:trPr>
          <w:trHeight w:val="90"/>
        </w:trPr>
        <w:tc>
          <w:tcPr>
            <w:tcW w:w="9073" w:type="dxa"/>
            <w:gridSpan w:val="8"/>
            <w:tcBorders>
              <w:tl2br w:val="nil"/>
              <w:tr2bl w:val="nil"/>
            </w:tcBorders>
            <w:tcMar>
              <w:top w:w="15" w:type="dxa"/>
              <w:left w:w="15" w:type="dxa"/>
              <w:right w:w="15" w:type="dxa"/>
            </w:tcMar>
            <w:vAlign w:val="center"/>
          </w:tcPr>
          <w:p w:rsidR="00E2574D" w:rsidRDefault="00CE6617">
            <w:pPr>
              <w:outlineLvl w:val="0"/>
              <w:rPr>
                <w:rFonts w:ascii="仿宋" w:eastAsia="仿宋" w:hAnsi="仿宋" w:cs="仿宋"/>
                <w:color w:val="000000"/>
                <w:sz w:val="32"/>
                <w:szCs w:val="32"/>
              </w:rPr>
            </w:pPr>
            <w:r>
              <w:rPr>
                <w:rFonts w:ascii="黑体" w:eastAsia="黑体" w:hAnsi="黑体" w:cs="黑体" w:hint="eastAsia"/>
                <w:sz w:val="32"/>
                <w:szCs w:val="32"/>
              </w:rPr>
              <w:t xml:space="preserve"> </w:t>
            </w:r>
          </w:p>
        </w:tc>
      </w:tr>
      <w:tr w:rsidR="00E2574D">
        <w:trPr>
          <w:trHeight w:val="240"/>
        </w:trPr>
        <w:tc>
          <w:tcPr>
            <w:tcW w:w="468" w:type="dxa"/>
            <w:vMerge w:val="restart"/>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序号</w:t>
            </w:r>
          </w:p>
        </w:tc>
        <w:tc>
          <w:tcPr>
            <w:tcW w:w="2890" w:type="dxa"/>
            <w:vMerge w:val="restart"/>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需要评价的</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三级项目名称</w:t>
            </w:r>
          </w:p>
        </w:tc>
        <w:tc>
          <w:tcPr>
            <w:tcW w:w="2895" w:type="dxa"/>
            <w:gridSpan w:val="3"/>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2019</w:t>
            </w:r>
            <w:r>
              <w:rPr>
                <w:rFonts w:ascii="仿宋" w:eastAsia="仿宋" w:hAnsi="仿宋" w:cs="仿宋" w:hint="eastAsia"/>
                <w:color w:val="000000"/>
                <w:kern w:val="0"/>
                <w:sz w:val="20"/>
                <w:szCs w:val="20"/>
              </w:rPr>
              <w:t>年预算安排数</w:t>
            </w:r>
          </w:p>
        </w:tc>
        <w:tc>
          <w:tcPr>
            <w:tcW w:w="885" w:type="dxa"/>
            <w:vMerge w:val="restart"/>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实际支付</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金额</w:t>
            </w:r>
          </w:p>
        </w:tc>
        <w:tc>
          <w:tcPr>
            <w:tcW w:w="840" w:type="dxa"/>
            <w:vMerge w:val="restart"/>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实际支付</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比率</w:t>
            </w:r>
          </w:p>
        </w:tc>
        <w:tc>
          <w:tcPr>
            <w:tcW w:w="1095" w:type="dxa"/>
            <w:vMerge w:val="restart"/>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备注</w:t>
            </w:r>
          </w:p>
        </w:tc>
      </w:tr>
      <w:tr w:rsidR="00E2574D">
        <w:trPr>
          <w:trHeight w:val="480"/>
        </w:trPr>
        <w:tc>
          <w:tcPr>
            <w:tcW w:w="468" w:type="dxa"/>
            <w:vMerge/>
            <w:tcBorders>
              <w:tl2br w:val="nil"/>
              <w:tr2bl w:val="nil"/>
            </w:tcBorders>
            <w:tcMar>
              <w:top w:w="15" w:type="dxa"/>
              <w:left w:w="15" w:type="dxa"/>
              <w:right w:w="15" w:type="dxa"/>
            </w:tcMar>
            <w:vAlign w:val="center"/>
          </w:tcPr>
          <w:p w:rsidR="00E2574D" w:rsidRDefault="00E2574D">
            <w:pPr>
              <w:jc w:val="center"/>
              <w:rPr>
                <w:rFonts w:ascii="仿宋" w:eastAsia="仿宋" w:hAnsi="仿宋" w:cs="仿宋"/>
                <w:color w:val="000000"/>
                <w:sz w:val="20"/>
                <w:szCs w:val="20"/>
              </w:rPr>
            </w:pPr>
          </w:p>
        </w:tc>
        <w:tc>
          <w:tcPr>
            <w:tcW w:w="2890" w:type="dxa"/>
            <w:vMerge/>
            <w:tcBorders>
              <w:tl2br w:val="nil"/>
              <w:tr2bl w:val="nil"/>
            </w:tcBorders>
            <w:tcMar>
              <w:top w:w="15" w:type="dxa"/>
              <w:left w:w="15" w:type="dxa"/>
              <w:right w:w="15" w:type="dxa"/>
            </w:tcMar>
            <w:vAlign w:val="center"/>
          </w:tcPr>
          <w:p w:rsidR="00E2574D" w:rsidRDefault="00E2574D">
            <w:pPr>
              <w:jc w:val="center"/>
              <w:rPr>
                <w:rFonts w:ascii="仿宋" w:eastAsia="仿宋" w:hAnsi="仿宋" w:cs="仿宋"/>
                <w:color w:val="000000"/>
                <w:sz w:val="20"/>
                <w:szCs w:val="20"/>
              </w:rPr>
            </w:pPr>
          </w:p>
        </w:tc>
        <w:tc>
          <w:tcPr>
            <w:tcW w:w="99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合计</w:t>
            </w:r>
          </w:p>
        </w:tc>
        <w:tc>
          <w:tcPr>
            <w:tcW w:w="105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市本级资金</w:t>
            </w:r>
          </w:p>
        </w:tc>
        <w:tc>
          <w:tcPr>
            <w:tcW w:w="855"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中央转移</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支付资金</w:t>
            </w:r>
          </w:p>
        </w:tc>
        <w:tc>
          <w:tcPr>
            <w:tcW w:w="885" w:type="dxa"/>
            <w:vMerge/>
            <w:tcBorders>
              <w:tl2br w:val="nil"/>
              <w:tr2bl w:val="nil"/>
            </w:tcBorders>
            <w:tcMar>
              <w:top w:w="15" w:type="dxa"/>
              <w:left w:w="15" w:type="dxa"/>
              <w:right w:w="15" w:type="dxa"/>
            </w:tcMar>
            <w:vAlign w:val="center"/>
          </w:tcPr>
          <w:p w:rsidR="00E2574D" w:rsidRDefault="00E2574D">
            <w:pPr>
              <w:jc w:val="center"/>
              <w:rPr>
                <w:rFonts w:ascii="仿宋" w:eastAsia="仿宋" w:hAnsi="仿宋" w:cs="仿宋"/>
                <w:color w:val="000000"/>
                <w:sz w:val="20"/>
                <w:szCs w:val="20"/>
              </w:rPr>
            </w:pPr>
          </w:p>
        </w:tc>
        <w:tc>
          <w:tcPr>
            <w:tcW w:w="840" w:type="dxa"/>
            <w:vMerge/>
            <w:tcBorders>
              <w:tl2br w:val="nil"/>
              <w:tr2bl w:val="nil"/>
            </w:tcBorders>
            <w:tcMar>
              <w:top w:w="15" w:type="dxa"/>
              <w:left w:w="15" w:type="dxa"/>
              <w:right w:w="15" w:type="dxa"/>
            </w:tcMar>
            <w:vAlign w:val="center"/>
          </w:tcPr>
          <w:p w:rsidR="00E2574D" w:rsidRDefault="00E2574D">
            <w:pPr>
              <w:jc w:val="center"/>
              <w:rPr>
                <w:rFonts w:ascii="仿宋" w:eastAsia="仿宋" w:hAnsi="仿宋" w:cs="仿宋"/>
                <w:color w:val="000000"/>
                <w:sz w:val="20"/>
                <w:szCs w:val="20"/>
              </w:rPr>
            </w:pPr>
          </w:p>
        </w:tc>
        <w:tc>
          <w:tcPr>
            <w:tcW w:w="1095" w:type="dxa"/>
            <w:vMerge/>
            <w:tcBorders>
              <w:tl2br w:val="nil"/>
              <w:tr2bl w:val="nil"/>
            </w:tcBorders>
            <w:tcMar>
              <w:top w:w="15" w:type="dxa"/>
              <w:left w:w="15" w:type="dxa"/>
              <w:right w:w="15" w:type="dxa"/>
            </w:tcMar>
            <w:vAlign w:val="center"/>
          </w:tcPr>
          <w:p w:rsidR="00E2574D" w:rsidRDefault="00E2574D">
            <w:pPr>
              <w:jc w:val="center"/>
              <w:rPr>
                <w:rFonts w:ascii="仿宋" w:eastAsia="仿宋" w:hAnsi="仿宋" w:cs="仿宋"/>
                <w:color w:val="000000"/>
                <w:sz w:val="20"/>
                <w:szCs w:val="20"/>
              </w:rPr>
            </w:pPr>
          </w:p>
        </w:tc>
      </w:tr>
      <w:tr w:rsidR="00E2574D">
        <w:trPr>
          <w:trHeight w:val="850"/>
        </w:trPr>
        <w:tc>
          <w:tcPr>
            <w:tcW w:w="468"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1</w:t>
            </w:r>
          </w:p>
        </w:tc>
        <w:tc>
          <w:tcPr>
            <w:tcW w:w="2890" w:type="dxa"/>
            <w:tcBorders>
              <w:tl2br w:val="nil"/>
              <w:tr2bl w:val="nil"/>
            </w:tcBorders>
            <w:tcMar>
              <w:top w:w="15" w:type="dxa"/>
              <w:left w:w="15" w:type="dxa"/>
              <w:right w:w="15" w:type="dxa"/>
            </w:tcMar>
            <w:vAlign w:val="center"/>
          </w:tcPr>
          <w:p w:rsidR="00E2574D" w:rsidRDefault="00CE6617">
            <w:pPr>
              <w:widowControl/>
              <w:jc w:val="lef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河道生态景观补水服务项目</w:t>
            </w:r>
          </w:p>
        </w:tc>
        <w:tc>
          <w:tcPr>
            <w:tcW w:w="99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 xml:space="preserve">1000.00 </w:t>
            </w:r>
          </w:p>
        </w:tc>
        <w:tc>
          <w:tcPr>
            <w:tcW w:w="105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 xml:space="preserve">1000.00 </w:t>
            </w:r>
          </w:p>
        </w:tc>
        <w:tc>
          <w:tcPr>
            <w:tcW w:w="85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 xml:space="preserve">0.00 </w:t>
            </w:r>
          </w:p>
        </w:tc>
        <w:tc>
          <w:tcPr>
            <w:tcW w:w="88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 xml:space="preserve">999.88 </w:t>
            </w:r>
          </w:p>
        </w:tc>
        <w:tc>
          <w:tcPr>
            <w:tcW w:w="84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rPr>
              <w:t>99.99%</w:t>
            </w:r>
          </w:p>
        </w:tc>
        <w:tc>
          <w:tcPr>
            <w:tcW w:w="1095" w:type="dxa"/>
            <w:tcBorders>
              <w:tl2br w:val="nil"/>
              <w:tr2bl w:val="nil"/>
            </w:tcBorders>
            <w:tcMar>
              <w:top w:w="15" w:type="dxa"/>
              <w:left w:w="15" w:type="dxa"/>
              <w:right w:w="15" w:type="dxa"/>
            </w:tcMar>
            <w:vAlign w:val="center"/>
          </w:tcPr>
          <w:p w:rsidR="00E2574D" w:rsidRDefault="00CE6617">
            <w:pPr>
              <w:rPr>
                <w:rFonts w:ascii="仿宋" w:eastAsia="仿宋" w:hAnsi="仿宋" w:cs="仿宋"/>
                <w:bCs/>
                <w:color w:val="000000"/>
                <w:sz w:val="20"/>
                <w:szCs w:val="20"/>
              </w:rPr>
            </w:pPr>
            <w:r>
              <w:rPr>
                <w:rFonts w:ascii="仿宋" w:eastAsia="仿宋" w:hAnsi="仿宋" w:cs="仿宋" w:hint="eastAsia"/>
                <w:bCs/>
                <w:color w:val="000000"/>
                <w:sz w:val="20"/>
                <w:szCs w:val="20"/>
              </w:rPr>
              <w:t>水务工程建设和安全服务中心</w:t>
            </w:r>
          </w:p>
        </w:tc>
      </w:tr>
      <w:tr w:rsidR="00E2574D">
        <w:trPr>
          <w:trHeight w:val="850"/>
        </w:trPr>
        <w:tc>
          <w:tcPr>
            <w:tcW w:w="468"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c>
          <w:tcPr>
            <w:tcW w:w="2890" w:type="dxa"/>
            <w:tcBorders>
              <w:tl2br w:val="nil"/>
              <w:tr2bl w:val="nil"/>
            </w:tcBorders>
            <w:tcMar>
              <w:top w:w="15" w:type="dxa"/>
              <w:left w:w="15" w:type="dxa"/>
              <w:right w:w="15" w:type="dxa"/>
            </w:tcMar>
            <w:vAlign w:val="center"/>
          </w:tcPr>
          <w:p w:rsidR="00E2574D" w:rsidRDefault="00CE6617">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李村河入海口挡潮闸、中水管网设备设施维护资金</w:t>
            </w:r>
          </w:p>
        </w:tc>
        <w:tc>
          <w:tcPr>
            <w:tcW w:w="99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124.11 </w:t>
            </w:r>
          </w:p>
        </w:tc>
        <w:tc>
          <w:tcPr>
            <w:tcW w:w="105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124.11 </w:t>
            </w:r>
          </w:p>
        </w:tc>
        <w:tc>
          <w:tcPr>
            <w:tcW w:w="855" w:type="dxa"/>
            <w:tcBorders>
              <w:tl2br w:val="nil"/>
              <w:tr2bl w:val="nil"/>
            </w:tcBorders>
            <w:tcMar>
              <w:top w:w="15" w:type="dxa"/>
              <w:left w:w="15" w:type="dxa"/>
              <w:right w:w="15" w:type="dxa"/>
            </w:tcMar>
            <w:vAlign w:val="center"/>
          </w:tcPr>
          <w:p w:rsidR="00E2574D" w:rsidRDefault="00CE6617">
            <w:pPr>
              <w:jc w:val="right"/>
              <w:rPr>
                <w:rFonts w:ascii="仿宋" w:eastAsia="仿宋" w:hAnsi="仿宋" w:cs="仿宋"/>
                <w:color w:val="000000"/>
                <w:sz w:val="20"/>
                <w:szCs w:val="20"/>
              </w:rPr>
            </w:pPr>
            <w:r>
              <w:rPr>
                <w:rFonts w:ascii="仿宋" w:eastAsia="仿宋" w:hAnsi="仿宋" w:cs="仿宋" w:hint="eastAsia"/>
                <w:bCs/>
                <w:color w:val="000000"/>
                <w:kern w:val="0"/>
                <w:sz w:val="20"/>
                <w:szCs w:val="20"/>
              </w:rPr>
              <w:t>0.00</w:t>
            </w:r>
          </w:p>
        </w:tc>
        <w:tc>
          <w:tcPr>
            <w:tcW w:w="88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123.8 </w:t>
            </w:r>
          </w:p>
        </w:tc>
        <w:tc>
          <w:tcPr>
            <w:tcW w:w="84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99.75%</w:t>
            </w:r>
          </w:p>
        </w:tc>
        <w:tc>
          <w:tcPr>
            <w:tcW w:w="1095"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bCs/>
                <w:color w:val="000000"/>
                <w:sz w:val="20"/>
                <w:szCs w:val="20"/>
              </w:rPr>
              <w:t>水务工程建设和安全服务中心</w:t>
            </w:r>
          </w:p>
        </w:tc>
      </w:tr>
      <w:tr w:rsidR="00E2574D">
        <w:trPr>
          <w:trHeight w:val="850"/>
        </w:trPr>
        <w:tc>
          <w:tcPr>
            <w:tcW w:w="468"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2890" w:type="dxa"/>
            <w:tcBorders>
              <w:tl2br w:val="nil"/>
              <w:tr2bl w:val="nil"/>
            </w:tcBorders>
            <w:tcMar>
              <w:top w:w="15" w:type="dxa"/>
              <w:left w:w="15" w:type="dxa"/>
              <w:right w:w="15" w:type="dxa"/>
            </w:tcMar>
            <w:vAlign w:val="center"/>
          </w:tcPr>
          <w:p w:rsidR="00E2574D" w:rsidRDefault="00CE6617">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城市防汛经费</w:t>
            </w:r>
          </w:p>
        </w:tc>
        <w:tc>
          <w:tcPr>
            <w:tcW w:w="99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78.00 </w:t>
            </w:r>
          </w:p>
        </w:tc>
        <w:tc>
          <w:tcPr>
            <w:tcW w:w="105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78.00 </w:t>
            </w:r>
          </w:p>
        </w:tc>
        <w:tc>
          <w:tcPr>
            <w:tcW w:w="855" w:type="dxa"/>
            <w:tcBorders>
              <w:tl2br w:val="nil"/>
              <w:tr2bl w:val="nil"/>
            </w:tcBorders>
            <w:tcMar>
              <w:top w:w="15" w:type="dxa"/>
              <w:left w:w="15" w:type="dxa"/>
              <w:right w:w="15" w:type="dxa"/>
            </w:tcMar>
            <w:vAlign w:val="center"/>
          </w:tcPr>
          <w:p w:rsidR="00E2574D" w:rsidRDefault="00CE6617">
            <w:pPr>
              <w:jc w:val="right"/>
              <w:rPr>
                <w:rFonts w:ascii="仿宋" w:eastAsia="仿宋" w:hAnsi="仿宋" w:cs="仿宋"/>
                <w:color w:val="000000"/>
                <w:sz w:val="20"/>
                <w:szCs w:val="20"/>
              </w:rPr>
            </w:pPr>
            <w:r>
              <w:rPr>
                <w:rFonts w:ascii="仿宋" w:eastAsia="仿宋" w:hAnsi="仿宋" w:cs="仿宋" w:hint="eastAsia"/>
                <w:bCs/>
                <w:color w:val="000000"/>
                <w:kern w:val="0"/>
                <w:sz w:val="20"/>
                <w:szCs w:val="20"/>
              </w:rPr>
              <w:t>0.00</w:t>
            </w:r>
          </w:p>
        </w:tc>
        <w:tc>
          <w:tcPr>
            <w:tcW w:w="88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77.91 </w:t>
            </w:r>
          </w:p>
        </w:tc>
        <w:tc>
          <w:tcPr>
            <w:tcW w:w="84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99.88%</w:t>
            </w:r>
          </w:p>
        </w:tc>
        <w:tc>
          <w:tcPr>
            <w:tcW w:w="1095"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水务管理局</w:t>
            </w:r>
          </w:p>
        </w:tc>
      </w:tr>
      <w:tr w:rsidR="00E2574D">
        <w:trPr>
          <w:trHeight w:val="850"/>
        </w:trPr>
        <w:tc>
          <w:tcPr>
            <w:tcW w:w="468"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2890" w:type="dxa"/>
            <w:tcBorders>
              <w:tl2br w:val="nil"/>
              <w:tr2bl w:val="nil"/>
            </w:tcBorders>
            <w:tcMar>
              <w:top w:w="15" w:type="dxa"/>
              <w:left w:w="15" w:type="dxa"/>
              <w:right w:w="15" w:type="dxa"/>
            </w:tcMar>
            <w:vAlign w:val="center"/>
          </w:tcPr>
          <w:p w:rsidR="00E2574D" w:rsidRDefault="00CE6617">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青岛市海水淡化专业规划编制项目资金</w:t>
            </w:r>
          </w:p>
        </w:tc>
        <w:tc>
          <w:tcPr>
            <w:tcW w:w="99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16.00 </w:t>
            </w:r>
          </w:p>
        </w:tc>
        <w:tc>
          <w:tcPr>
            <w:tcW w:w="105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16.00 </w:t>
            </w:r>
          </w:p>
        </w:tc>
        <w:tc>
          <w:tcPr>
            <w:tcW w:w="855" w:type="dxa"/>
            <w:tcBorders>
              <w:tl2br w:val="nil"/>
              <w:tr2bl w:val="nil"/>
            </w:tcBorders>
            <w:tcMar>
              <w:top w:w="15" w:type="dxa"/>
              <w:left w:w="15" w:type="dxa"/>
              <w:right w:w="15" w:type="dxa"/>
            </w:tcMar>
            <w:vAlign w:val="center"/>
          </w:tcPr>
          <w:p w:rsidR="00E2574D" w:rsidRDefault="00CE6617">
            <w:pPr>
              <w:jc w:val="right"/>
              <w:rPr>
                <w:rFonts w:ascii="仿宋" w:eastAsia="仿宋" w:hAnsi="仿宋" w:cs="仿宋"/>
                <w:color w:val="000000"/>
                <w:sz w:val="20"/>
                <w:szCs w:val="20"/>
              </w:rPr>
            </w:pPr>
            <w:r>
              <w:rPr>
                <w:rFonts w:ascii="仿宋" w:eastAsia="仿宋" w:hAnsi="仿宋" w:cs="仿宋" w:hint="eastAsia"/>
                <w:bCs/>
                <w:color w:val="000000"/>
                <w:kern w:val="0"/>
                <w:sz w:val="20"/>
                <w:szCs w:val="20"/>
              </w:rPr>
              <w:t>0.00</w:t>
            </w:r>
          </w:p>
        </w:tc>
        <w:tc>
          <w:tcPr>
            <w:tcW w:w="88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16.00 </w:t>
            </w:r>
          </w:p>
        </w:tc>
        <w:tc>
          <w:tcPr>
            <w:tcW w:w="84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100.00%</w:t>
            </w:r>
          </w:p>
        </w:tc>
        <w:tc>
          <w:tcPr>
            <w:tcW w:w="1095"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供水事业发展中心</w:t>
            </w:r>
          </w:p>
        </w:tc>
      </w:tr>
      <w:tr w:rsidR="00E2574D">
        <w:trPr>
          <w:trHeight w:val="850"/>
        </w:trPr>
        <w:tc>
          <w:tcPr>
            <w:tcW w:w="468" w:type="dxa"/>
            <w:tcBorders>
              <w:tl2br w:val="nil"/>
              <w:tr2bl w:val="nil"/>
            </w:tcBorders>
            <w:tcMar>
              <w:top w:w="15" w:type="dxa"/>
              <w:left w:w="15" w:type="dxa"/>
              <w:right w:w="15" w:type="dxa"/>
            </w:tcMar>
            <w:vAlign w:val="center"/>
          </w:tcPr>
          <w:p w:rsidR="00E2574D" w:rsidRDefault="00E2574D">
            <w:pPr>
              <w:jc w:val="center"/>
              <w:rPr>
                <w:rFonts w:ascii="仿宋" w:eastAsia="仿宋" w:hAnsi="仿宋" w:cs="仿宋"/>
                <w:b/>
                <w:color w:val="000000"/>
                <w:sz w:val="20"/>
                <w:szCs w:val="20"/>
              </w:rPr>
            </w:pPr>
          </w:p>
        </w:tc>
        <w:tc>
          <w:tcPr>
            <w:tcW w:w="289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合计</w:t>
            </w:r>
          </w:p>
        </w:tc>
        <w:tc>
          <w:tcPr>
            <w:tcW w:w="99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1218.11 </w:t>
            </w:r>
          </w:p>
        </w:tc>
        <w:tc>
          <w:tcPr>
            <w:tcW w:w="105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1218.11 </w:t>
            </w:r>
          </w:p>
        </w:tc>
        <w:tc>
          <w:tcPr>
            <w:tcW w:w="85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0.00 </w:t>
            </w:r>
          </w:p>
        </w:tc>
        <w:tc>
          <w:tcPr>
            <w:tcW w:w="885"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1217.59 </w:t>
            </w:r>
          </w:p>
        </w:tc>
        <w:tc>
          <w:tcPr>
            <w:tcW w:w="840" w:type="dxa"/>
            <w:tcBorders>
              <w:tl2br w:val="nil"/>
              <w:tr2bl w:val="nil"/>
            </w:tcBorders>
            <w:tcMar>
              <w:top w:w="15" w:type="dxa"/>
              <w:left w:w="15" w:type="dxa"/>
              <w:right w:w="15" w:type="dxa"/>
            </w:tcMar>
            <w:vAlign w:val="center"/>
          </w:tcPr>
          <w:p w:rsidR="00E2574D" w:rsidRDefault="00CE6617">
            <w:pPr>
              <w:widowControl/>
              <w:jc w:val="righ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99.96%</w:t>
            </w:r>
          </w:p>
        </w:tc>
        <w:tc>
          <w:tcPr>
            <w:tcW w:w="1095" w:type="dxa"/>
            <w:tcBorders>
              <w:tl2br w:val="nil"/>
              <w:tr2bl w:val="nil"/>
            </w:tcBorders>
            <w:tcMar>
              <w:top w:w="15" w:type="dxa"/>
              <w:left w:w="15" w:type="dxa"/>
              <w:right w:w="15" w:type="dxa"/>
            </w:tcMar>
            <w:vAlign w:val="center"/>
          </w:tcPr>
          <w:p w:rsidR="00E2574D" w:rsidRDefault="00E2574D">
            <w:pPr>
              <w:rPr>
                <w:rFonts w:ascii="仿宋" w:eastAsia="仿宋" w:hAnsi="仿宋" w:cs="仿宋"/>
                <w:color w:val="000000"/>
                <w:sz w:val="20"/>
                <w:szCs w:val="20"/>
              </w:rPr>
            </w:pPr>
          </w:p>
        </w:tc>
      </w:tr>
    </w:tbl>
    <w:p w:rsidR="00E2574D" w:rsidRDefault="00E2574D">
      <w:pPr>
        <w:rPr>
          <w:rFonts w:ascii="仿宋_GB2312" w:eastAsia="仿宋_GB2312" w:hAnsi="仿宋_GB2312" w:cs="仿宋_GB2312"/>
          <w:sz w:val="32"/>
          <w:szCs w:val="32"/>
        </w:rPr>
      </w:pPr>
    </w:p>
    <w:p w:rsidR="00E2574D" w:rsidRDefault="00E2574D">
      <w:pPr>
        <w:spacing w:line="560" w:lineRule="exact"/>
        <w:rPr>
          <w:rFonts w:ascii="华文仿宋" w:eastAsia="华文仿宋" w:hAnsi="华文仿宋" w:cs="华文仿宋"/>
          <w:sz w:val="28"/>
          <w:szCs w:val="28"/>
        </w:rPr>
      </w:pP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如上表所示，本次绩效评价涉及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项共</w:t>
      </w:r>
      <w:r>
        <w:rPr>
          <w:rFonts w:ascii="仿宋_GB2312" w:eastAsia="仿宋_GB2312" w:hAnsi="仿宋_GB2312" w:cs="仿宋_GB2312" w:hint="eastAsia"/>
          <w:sz w:val="32"/>
          <w:szCs w:val="32"/>
        </w:rPr>
        <w:t>1218.11</w:t>
      </w:r>
      <w:r>
        <w:rPr>
          <w:rFonts w:ascii="仿宋_GB2312" w:eastAsia="仿宋_GB2312" w:hAnsi="仿宋_GB2312" w:cs="仿宋_GB2312" w:hint="eastAsia"/>
          <w:sz w:val="32"/>
          <w:szCs w:val="32"/>
        </w:rPr>
        <w:t>万元预算专项资金。</w:t>
      </w:r>
    </w:p>
    <w:p w:rsidR="00E2574D" w:rsidRDefault="00CE6617">
      <w:pPr>
        <w:adjustRightInd w:val="0"/>
        <w:snapToGrid w:val="0"/>
        <w:spacing w:line="560" w:lineRule="exact"/>
        <w:ind w:firstLineChars="200" w:firstLine="640"/>
        <w:outlineLvl w:val="1"/>
        <w:rPr>
          <w:rFonts w:ascii="华文仿宋" w:eastAsia="华文仿宋" w:hAnsi="华文仿宋" w:cs="华文仿宋"/>
          <w:sz w:val="28"/>
          <w:szCs w:val="28"/>
        </w:rPr>
      </w:pPr>
      <w:r>
        <w:rPr>
          <w:rFonts w:ascii="黑体" w:eastAsia="黑体" w:hAnsi="黑体" w:cs="黑体" w:hint="eastAsia"/>
          <w:sz w:val="32"/>
          <w:szCs w:val="32"/>
        </w:rPr>
        <w:t>二、绩效评价开展情况</w:t>
      </w:r>
    </w:p>
    <w:p w:rsidR="00E2574D" w:rsidRDefault="00CE6617">
      <w:pPr>
        <w:numPr>
          <w:ilvl w:val="0"/>
          <w:numId w:val="1"/>
        </w:numPr>
        <w:adjustRightInd w:val="0"/>
        <w:snapToGrid w:val="0"/>
        <w:spacing w:line="56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绩效评价目的、对象和范围</w:t>
      </w:r>
    </w:p>
    <w:p w:rsidR="00E2574D" w:rsidRDefault="00CE6617">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、绩效评价目的</w:t>
      </w:r>
    </w:p>
    <w:p w:rsidR="00E2574D" w:rsidRDefault="00CE6617">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通过对项目的</w:t>
      </w:r>
      <w:r>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、过程、产出和效</w:t>
      </w:r>
      <w:r>
        <w:rPr>
          <w:rFonts w:ascii="仿宋_GB2312" w:eastAsia="仿宋_GB2312" w:hAnsi="仿宋_GB2312" w:cs="仿宋_GB2312" w:hint="eastAsia"/>
          <w:sz w:val="32"/>
          <w:szCs w:val="32"/>
        </w:rPr>
        <w:t>益</w:t>
      </w:r>
      <w:r>
        <w:rPr>
          <w:rFonts w:ascii="仿宋_GB2312" w:eastAsia="仿宋_GB2312" w:hAnsi="仿宋_GB2312" w:cs="仿宋_GB2312" w:hint="eastAsia"/>
          <w:sz w:val="32"/>
          <w:szCs w:val="32"/>
        </w:rPr>
        <w:t>四个方面进行客观、公正的评价，总结</w:t>
      </w:r>
      <w:r>
        <w:rPr>
          <w:rFonts w:ascii="仿宋_GB2312" w:eastAsia="仿宋_GB2312" w:hAnsi="仿宋_GB2312" w:cs="仿宋_GB2312" w:hint="eastAsia"/>
          <w:sz w:val="32"/>
          <w:szCs w:val="32"/>
        </w:rPr>
        <w:t>城市维护专项资金项目</w:t>
      </w:r>
      <w:r>
        <w:rPr>
          <w:rFonts w:ascii="仿宋_GB2312" w:eastAsia="仿宋_GB2312" w:hAnsi="仿宋_GB2312" w:cs="仿宋_GB2312" w:hint="eastAsia"/>
          <w:sz w:val="32"/>
          <w:szCs w:val="32"/>
        </w:rPr>
        <w:t>实施过程中的经验，发现问题，提出改进该项目立项</w:t>
      </w:r>
      <w:r>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、组织实施、运行管理的具体建议，进一步加强项目管理，提高财政资金的使用效益，为下一步预算资金安排提供重要参考。</w:t>
      </w:r>
    </w:p>
    <w:p w:rsidR="00E2574D" w:rsidRDefault="00CE6617">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评价对象与范围</w:t>
      </w:r>
    </w:p>
    <w:p w:rsidR="00E2574D" w:rsidRDefault="00CE6617">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本次绩效评价涉及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项共</w:t>
      </w:r>
      <w:r>
        <w:rPr>
          <w:rFonts w:ascii="仿宋_GB2312" w:eastAsia="仿宋_GB2312" w:hAnsi="仿宋_GB2312" w:cs="仿宋_GB2312" w:hint="eastAsia"/>
          <w:sz w:val="32"/>
          <w:szCs w:val="32"/>
        </w:rPr>
        <w:t>1218.11</w:t>
      </w:r>
      <w:r>
        <w:rPr>
          <w:rFonts w:ascii="仿宋_GB2312" w:eastAsia="仿宋_GB2312" w:hAnsi="仿宋_GB2312" w:cs="仿宋_GB2312" w:hint="eastAsia"/>
          <w:sz w:val="32"/>
          <w:szCs w:val="32"/>
        </w:rPr>
        <w:t>万元预算专项资金，以及每一专项资金的项目实施单位，包括青岛市水务管理局、青岛市水务工程建设和安全服务中心、青岛市供水事业发展中心。</w:t>
      </w:r>
    </w:p>
    <w:p w:rsidR="00E2574D" w:rsidRDefault="00CE6617">
      <w:pPr>
        <w:numPr>
          <w:ilvl w:val="0"/>
          <w:numId w:val="1"/>
        </w:numPr>
        <w:adjustRightInd w:val="0"/>
        <w:snapToGrid w:val="0"/>
        <w:spacing w:line="56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t>绩效评价原则、评价指标体系、评价方法</w:t>
      </w:r>
    </w:p>
    <w:p w:rsidR="00E2574D" w:rsidRDefault="00CE6617">
      <w:pPr>
        <w:numPr>
          <w:ilvl w:val="0"/>
          <w:numId w:val="2"/>
        </w:num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绩效评价原则</w:t>
      </w:r>
    </w:p>
    <w:p w:rsidR="00E2574D" w:rsidRDefault="00CE6617">
      <w:p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）科学规范原则。严格执行规定的程序，按照科学可行的要求，采用定量与定性分析相结合的方法开展绩效评价工作。</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）绩效相关原则。针对具体支出及其产出绩效进行评价，评价结果清晰反映支出和产出绩效之间的紧密对应关系。</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）政策相符原则。制定评价工作方案、现场评价表格及项目评价实施工作均应严格</w:t>
      </w:r>
      <w:r>
        <w:rPr>
          <w:rFonts w:ascii="仿宋_GB2312" w:eastAsia="仿宋_GB2312" w:hAnsi="仿宋_GB2312" w:cs="仿宋_GB2312" w:hint="eastAsia"/>
          <w:sz w:val="32"/>
          <w:szCs w:val="32"/>
        </w:rPr>
        <w:t>执行有关政策和管理规定。</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）经济合理原则。既要节约成本又要满足项目绩效评价工作的需要。</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）依据充分原则。绩效评价所涉及的绩效报告，法律政</w:t>
      </w:r>
      <w:r>
        <w:rPr>
          <w:rFonts w:ascii="仿宋_GB2312" w:eastAsia="仿宋_GB2312" w:hAnsi="仿宋_GB2312" w:cs="仿宋_GB2312" w:hint="eastAsia"/>
          <w:sz w:val="32"/>
          <w:szCs w:val="32"/>
        </w:rPr>
        <w:lastRenderedPageBreak/>
        <w:t>策文件，项目计划及资金的确定与调整，项目验收与项目成果等都应依据充分。评价过程中以正式程序得到的资料和信息为评价的依据，非正式程序所提交的资料仅供参考。</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）独立评价原则。以第三方的身份独立开展评价活动，不受任何机构和个人的干预和影响，独立做出评价结论。</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）保密原则。评价工作人员和评价专家，对与项目评价有关的所有信息资料负有保密义务，未经允许，不得散布。</w:t>
      </w:r>
    </w:p>
    <w:p w:rsidR="00E2574D" w:rsidRDefault="00CE6617">
      <w:pPr>
        <w:numPr>
          <w:ilvl w:val="0"/>
          <w:numId w:val="2"/>
        </w:numPr>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绩效</w:t>
      </w:r>
      <w:r>
        <w:rPr>
          <w:rFonts w:ascii="仿宋_GB2312" w:eastAsia="仿宋_GB2312" w:hAnsi="仿宋_GB2312" w:cs="仿宋_GB2312" w:hint="eastAsia"/>
          <w:sz w:val="32"/>
          <w:szCs w:val="32"/>
        </w:rPr>
        <w:t>评价指标体系</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为客观公正地反映本项目实施的绩效，评价指标体系以《山东省省级预算支出项目第三方绩效评价工作规程（试行）》的通知（鲁财绩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7</w:t>
      </w:r>
      <w:r>
        <w:rPr>
          <w:rFonts w:ascii="仿宋_GB2312" w:eastAsia="仿宋_GB2312" w:hAnsi="仿宋_GB2312" w:cs="仿宋_GB2312" w:hint="eastAsia"/>
          <w:sz w:val="32"/>
          <w:szCs w:val="32"/>
        </w:rPr>
        <w:t>号）规定的指标体系框架为基础，结合本项目的特点和实际情况设置了</w:t>
      </w:r>
      <w:r>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、过程、产出和效果四个方面进行评价。</w:t>
      </w:r>
      <w:r>
        <w:rPr>
          <w:rFonts w:ascii="仿宋_GB2312" w:eastAsia="仿宋_GB2312" w:hAnsi="仿宋_GB2312" w:cs="仿宋_GB2312" w:hint="eastAsia"/>
          <w:sz w:val="32"/>
          <w:szCs w:val="32"/>
        </w:rPr>
        <w:t>指标体系由一级至</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级指标及</w:t>
      </w:r>
      <w:r>
        <w:rPr>
          <w:rFonts w:ascii="仿宋_GB2312" w:eastAsia="仿宋_GB2312" w:hAnsi="仿宋_GB2312" w:cs="仿宋_GB2312" w:hint="eastAsia"/>
          <w:sz w:val="32"/>
          <w:szCs w:val="32"/>
        </w:rPr>
        <w:t>指标</w:t>
      </w:r>
      <w:r>
        <w:rPr>
          <w:rFonts w:ascii="仿宋_GB2312" w:eastAsia="仿宋_GB2312" w:hAnsi="仿宋_GB2312" w:cs="仿宋_GB2312" w:hint="eastAsia"/>
          <w:sz w:val="32"/>
          <w:szCs w:val="32"/>
        </w:rPr>
        <w:t>值、指标解释、评价标准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个部分组成。</w:t>
      </w:r>
      <w:r>
        <w:rPr>
          <w:rFonts w:ascii="仿宋_GB2312" w:eastAsia="仿宋_GB2312" w:hAnsi="仿宋_GB2312" w:cs="仿宋_GB2312" w:hint="eastAsia"/>
          <w:sz w:val="32"/>
          <w:szCs w:val="32"/>
        </w:rPr>
        <w:t>由于不是每项三级指标都设置四级指标，下表列示一级至三级详细</w:t>
      </w:r>
      <w:r>
        <w:rPr>
          <w:rFonts w:ascii="仿宋_GB2312" w:eastAsia="仿宋_GB2312" w:hAnsi="仿宋_GB2312" w:cs="仿宋_GB2312" w:hint="eastAsia"/>
          <w:sz w:val="32"/>
          <w:szCs w:val="32"/>
        </w:rPr>
        <w:t>指标体系</w:t>
      </w:r>
      <w:r>
        <w:rPr>
          <w:rFonts w:ascii="仿宋_GB2312" w:eastAsia="仿宋_GB2312" w:hAnsi="仿宋_GB2312" w:cs="仿宋_GB2312" w:hint="eastAsia"/>
          <w:sz w:val="32"/>
          <w:szCs w:val="32"/>
        </w:rPr>
        <w:t>，四级指标在对绩效评价指标体系进行补充和增加部分介绍：</w:t>
      </w:r>
    </w:p>
    <w:tbl>
      <w:tblPr>
        <w:tblpPr w:leftFromText="180" w:rightFromText="180" w:vertAnchor="text" w:horzAnchor="page" w:tblpX="1504" w:tblpY="1382"/>
        <w:tblOverlap w:val="never"/>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0"/>
        <w:gridCol w:w="325"/>
        <w:gridCol w:w="330"/>
        <w:gridCol w:w="360"/>
        <w:gridCol w:w="390"/>
        <w:gridCol w:w="405"/>
        <w:gridCol w:w="375"/>
        <w:gridCol w:w="345"/>
        <w:gridCol w:w="435"/>
        <w:gridCol w:w="360"/>
        <w:gridCol w:w="405"/>
        <w:gridCol w:w="330"/>
        <w:gridCol w:w="255"/>
        <w:gridCol w:w="345"/>
        <w:gridCol w:w="375"/>
        <w:gridCol w:w="555"/>
        <w:gridCol w:w="570"/>
        <w:gridCol w:w="540"/>
        <w:gridCol w:w="289"/>
        <w:gridCol w:w="389"/>
        <w:gridCol w:w="389"/>
        <w:gridCol w:w="389"/>
        <w:gridCol w:w="389"/>
      </w:tblGrid>
      <w:tr w:rsidR="00E2574D">
        <w:trPr>
          <w:trHeight w:val="489"/>
        </w:trPr>
        <w:tc>
          <w:tcPr>
            <w:tcW w:w="390" w:type="dxa"/>
            <w:vMerge w:val="restart"/>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b/>
                <w:color w:val="000000"/>
                <w:sz w:val="28"/>
                <w:szCs w:val="28"/>
              </w:rPr>
            </w:pPr>
          </w:p>
          <w:p w:rsidR="00E2574D" w:rsidRDefault="00E2574D">
            <w:pPr>
              <w:widowControl/>
              <w:jc w:val="center"/>
              <w:textAlignment w:val="center"/>
              <w:rPr>
                <w:rFonts w:ascii="仿宋_GB2312" w:eastAsia="仿宋_GB2312" w:hAnsi="仿宋_GB2312" w:cs="仿宋_GB2312"/>
                <w:b/>
                <w:color w:val="000000"/>
                <w:sz w:val="28"/>
                <w:szCs w:val="28"/>
              </w:rPr>
            </w:pPr>
          </w:p>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项</w:t>
            </w:r>
          </w:p>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目</w:t>
            </w:r>
          </w:p>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名</w:t>
            </w:r>
          </w:p>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称</w:t>
            </w:r>
          </w:p>
        </w:tc>
        <w:tc>
          <w:tcPr>
            <w:tcW w:w="8545" w:type="dxa"/>
            <w:gridSpan w:val="22"/>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绩效指标</w:t>
            </w:r>
          </w:p>
        </w:tc>
      </w:tr>
      <w:tr w:rsidR="00E2574D">
        <w:trPr>
          <w:trHeight w:val="484"/>
        </w:trPr>
        <w:tc>
          <w:tcPr>
            <w:tcW w:w="390" w:type="dxa"/>
            <w:vMerge/>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b/>
                <w:color w:val="000000"/>
                <w:kern w:val="0"/>
                <w:sz w:val="28"/>
                <w:szCs w:val="28"/>
              </w:rPr>
            </w:pPr>
          </w:p>
        </w:tc>
        <w:tc>
          <w:tcPr>
            <w:tcW w:w="2185" w:type="dxa"/>
            <w:gridSpan w:val="6"/>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决策</w:t>
            </w:r>
          </w:p>
        </w:tc>
        <w:tc>
          <w:tcPr>
            <w:tcW w:w="2130" w:type="dxa"/>
            <w:gridSpan w:val="6"/>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过程</w:t>
            </w:r>
          </w:p>
        </w:tc>
        <w:tc>
          <w:tcPr>
            <w:tcW w:w="2385" w:type="dxa"/>
            <w:gridSpan w:val="5"/>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产出</w:t>
            </w:r>
          </w:p>
        </w:tc>
        <w:tc>
          <w:tcPr>
            <w:tcW w:w="1845" w:type="dxa"/>
            <w:gridSpan w:val="5"/>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效益</w:t>
            </w:r>
          </w:p>
        </w:tc>
      </w:tr>
      <w:tr w:rsidR="00E2574D">
        <w:trPr>
          <w:trHeight w:val="745"/>
        </w:trPr>
        <w:tc>
          <w:tcPr>
            <w:tcW w:w="390" w:type="dxa"/>
            <w:vMerge/>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b/>
                <w:color w:val="000000"/>
                <w:sz w:val="28"/>
                <w:szCs w:val="28"/>
              </w:rPr>
            </w:pPr>
          </w:p>
        </w:tc>
        <w:tc>
          <w:tcPr>
            <w:tcW w:w="655"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立项</w:t>
            </w:r>
          </w:p>
        </w:tc>
        <w:tc>
          <w:tcPr>
            <w:tcW w:w="750"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绩效</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目标</w:t>
            </w:r>
          </w:p>
        </w:tc>
        <w:tc>
          <w:tcPr>
            <w:tcW w:w="780"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资金</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投入</w:t>
            </w:r>
          </w:p>
        </w:tc>
        <w:tc>
          <w:tcPr>
            <w:tcW w:w="1140" w:type="dxa"/>
            <w:gridSpan w:val="3"/>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资金</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管理</w:t>
            </w:r>
          </w:p>
        </w:tc>
        <w:tc>
          <w:tcPr>
            <w:tcW w:w="990" w:type="dxa"/>
            <w:gridSpan w:val="3"/>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组织</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实施</w:t>
            </w:r>
          </w:p>
        </w:tc>
        <w:tc>
          <w:tcPr>
            <w:tcW w:w="720"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产出</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数量</w:t>
            </w:r>
          </w:p>
        </w:tc>
        <w:tc>
          <w:tcPr>
            <w:tcW w:w="555" w:type="dxa"/>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产出</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质</w:t>
            </w:r>
            <w:r>
              <w:rPr>
                <w:rFonts w:ascii="仿宋_GB2312" w:eastAsia="仿宋_GB2312" w:hAnsi="仿宋_GB2312" w:cs="仿宋_GB2312" w:hint="eastAsia"/>
                <w:color w:val="000000"/>
                <w:kern w:val="0"/>
                <w:sz w:val="28"/>
                <w:szCs w:val="28"/>
              </w:rPr>
              <w:lastRenderedPageBreak/>
              <w:t>量</w:t>
            </w:r>
          </w:p>
        </w:tc>
        <w:tc>
          <w:tcPr>
            <w:tcW w:w="570" w:type="dxa"/>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lastRenderedPageBreak/>
              <w:t>产出</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时</w:t>
            </w:r>
            <w:r>
              <w:rPr>
                <w:rFonts w:ascii="仿宋_GB2312" w:eastAsia="仿宋_GB2312" w:hAnsi="仿宋_GB2312" w:cs="仿宋_GB2312" w:hint="eastAsia"/>
                <w:color w:val="000000"/>
                <w:kern w:val="0"/>
                <w:sz w:val="28"/>
                <w:szCs w:val="28"/>
              </w:rPr>
              <w:lastRenderedPageBreak/>
              <w:t>效</w:t>
            </w:r>
          </w:p>
        </w:tc>
        <w:tc>
          <w:tcPr>
            <w:tcW w:w="540" w:type="dxa"/>
            <w:tcBorders>
              <w:tl2br w:val="nil"/>
              <w:tr2bl w:val="nil"/>
            </w:tcBorders>
            <w:tcMar>
              <w:top w:w="15" w:type="dxa"/>
              <w:left w:w="15" w:type="dxa"/>
              <w:right w:w="15" w:type="dxa"/>
            </w:tcMar>
            <w:vAlign w:val="center"/>
          </w:tcPr>
          <w:p w:rsidR="00E2574D" w:rsidRDefault="00CE6617">
            <w:pPr>
              <w:widowControl/>
              <w:spacing w:line="32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产出</w:t>
            </w:r>
          </w:p>
          <w:p w:rsidR="00E2574D" w:rsidRDefault="00CE6617">
            <w:pPr>
              <w:widowControl/>
              <w:spacing w:line="32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成</w:t>
            </w:r>
            <w:r>
              <w:rPr>
                <w:rFonts w:ascii="仿宋_GB2312" w:eastAsia="仿宋_GB2312" w:hAnsi="仿宋_GB2312" w:cs="仿宋_GB2312" w:hint="eastAsia"/>
                <w:color w:val="000000"/>
                <w:kern w:val="0"/>
                <w:sz w:val="28"/>
                <w:szCs w:val="28"/>
              </w:rPr>
              <w:lastRenderedPageBreak/>
              <w:t>本</w:t>
            </w:r>
          </w:p>
        </w:tc>
        <w:tc>
          <w:tcPr>
            <w:tcW w:w="678"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lastRenderedPageBreak/>
              <w:t>项目</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效益</w:t>
            </w:r>
          </w:p>
        </w:tc>
        <w:tc>
          <w:tcPr>
            <w:tcW w:w="778" w:type="dxa"/>
            <w:gridSpan w:val="2"/>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可</w:t>
            </w:r>
          </w:p>
          <w:p w:rsidR="00E2574D" w:rsidRDefault="00CE6617">
            <w:pPr>
              <w:widowControl/>
              <w:spacing w:line="32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持续</w:t>
            </w:r>
          </w:p>
          <w:p w:rsidR="00E2574D" w:rsidRDefault="00CE6617">
            <w:pPr>
              <w:widowControl/>
              <w:spacing w:line="32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影响</w:t>
            </w:r>
          </w:p>
        </w:tc>
        <w:tc>
          <w:tcPr>
            <w:tcW w:w="389" w:type="dxa"/>
            <w:tcBorders>
              <w:tl2br w:val="nil"/>
              <w:tr2bl w:val="nil"/>
            </w:tcBorders>
            <w:tcMar>
              <w:top w:w="15" w:type="dxa"/>
              <w:left w:w="15" w:type="dxa"/>
              <w:right w:w="15" w:type="dxa"/>
            </w:tcMar>
            <w:vAlign w:val="center"/>
          </w:tcPr>
          <w:p w:rsidR="00E2574D" w:rsidRDefault="00CE6617">
            <w:pPr>
              <w:widowControl/>
              <w:spacing w:line="32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满</w:t>
            </w:r>
          </w:p>
          <w:p w:rsidR="00E2574D" w:rsidRDefault="00CE6617">
            <w:pPr>
              <w:widowControl/>
              <w:spacing w:line="32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意</w:t>
            </w:r>
          </w:p>
          <w:p w:rsidR="00E2574D" w:rsidRDefault="00CE6617">
            <w:pPr>
              <w:widowControl/>
              <w:spacing w:line="32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度</w:t>
            </w:r>
          </w:p>
        </w:tc>
      </w:tr>
      <w:tr w:rsidR="00E2574D">
        <w:trPr>
          <w:trHeight w:val="520"/>
        </w:trPr>
        <w:tc>
          <w:tcPr>
            <w:tcW w:w="390" w:type="dxa"/>
            <w:vMerge/>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b/>
                <w:color w:val="000000"/>
                <w:sz w:val="28"/>
                <w:szCs w:val="28"/>
              </w:rPr>
            </w:pPr>
          </w:p>
        </w:tc>
        <w:tc>
          <w:tcPr>
            <w:tcW w:w="32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立</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依</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据</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充</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3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立</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程</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序</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规</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范</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6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绩</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效</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目</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标</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合</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理</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9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绩</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效</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指</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标</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明</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确</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40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算</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编</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制</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科</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学</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7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资</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金</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分</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配</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合</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理</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4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资</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金</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到</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位</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率</w:t>
            </w:r>
          </w:p>
        </w:tc>
        <w:tc>
          <w:tcPr>
            <w:tcW w:w="43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算</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执</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行</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率</w:t>
            </w:r>
          </w:p>
        </w:tc>
        <w:tc>
          <w:tcPr>
            <w:tcW w:w="36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资</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金</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使</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用</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合</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规</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40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管</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理</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制</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度</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健</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全</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33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制</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度</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执</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行</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有</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效</w:t>
            </w: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25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绩</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效</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管</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理</w:t>
            </w:r>
          </w:p>
        </w:tc>
        <w:tc>
          <w:tcPr>
            <w:tcW w:w="34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实</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际</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完</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成</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率</w:t>
            </w:r>
          </w:p>
        </w:tc>
        <w:tc>
          <w:tcPr>
            <w:tcW w:w="37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量</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变</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动</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率</w:t>
            </w:r>
          </w:p>
        </w:tc>
        <w:tc>
          <w:tcPr>
            <w:tcW w:w="555"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量</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达</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标</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率</w:t>
            </w:r>
          </w:p>
        </w:tc>
        <w:tc>
          <w:tcPr>
            <w:tcW w:w="57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完</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成</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及</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时</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性</w:t>
            </w:r>
          </w:p>
        </w:tc>
        <w:tc>
          <w:tcPr>
            <w:tcW w:w="540"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成</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节</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约</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率</w:t>
            </w:r>
          </w:p>
        </w:tc>
        <w:tc>
          <w:tcPr>
            <w:tcW w:w="289"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社</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会</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br/>
            </w:r>
            <w:r>
              <w:rPr>
                <w:rFonts w:ascii="仿宋_GB2312" w:eastAsia="仿宋_GB2312" w:hAnsi="仿宋_GB2312" w:cs="仿宋_GB2312" w:hint="eastAsia"/>
                <w:color w:val="000000"/>
                <w:kern w:val="0"/>
                <w:sz w:val="28"/>
                <w:szCs w:val="28"/>
              </w:rPr>
              <w:t>效</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益</w:t>
            </w:r>
          </w:p>
        </w:tc>
        <w:tc>
          <w:tcPr>
            <w:tcW w:w="389"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生</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态</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效</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益</w:t>
            </w:r>
          </w:p>
        </w:tc>
        <w:tc>
          <w:tcPr>
            <w:tcW w:w="389"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政</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策</w:t>
            </w:r>
          </w:p>
          <w:p w:rsidR="00E2574D" w:rsidRDefault="00E2574D">
            <w:pPr>
              <w:widowControl/>
              <w:spacing w:line="240" w:lineRule="exact"/>
              <w:jc w:val="center"/>
              <w:textAlignment w:val="center"/>
              <w:rPr>
                <w:rFonts w:ascii="仿宋_GB2312" w:eastAsia="仿宋_GB2312" w:hAnsi="仿宋_GB2312" w:cs="仿宋_GB2312"/>
                <w:color w:val="000000"/>
                <w:kern w:val="0"/>
                <w:sz w:val="28"/>
                <w:szCs w:val="28"/>
              </w:rPr>
            </w:pP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可</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持</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续</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性</w:t>
            </w:r>
          </w:p>
        </w:tc>
        <w:tc>
          <w:tcPr>
            <w:tcW w:w="389"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展</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机</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制</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可</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持</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续</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性</w:t>
            </w:r>
          </w:p>
        </w:tc>
        <w:tc>
          <w:tcPr>
            <w:tcW w:w="389" w:type="dxa"/>
            <w:tcBorders>
              <w:tl2br w:val="nil"/>
              <w:tr2bl w:val="nil"/>
            </w:tcBorders>
            <w:tcMar>
              <w:top w:w="15" w:type="dxa"/>
              <w:left w:w="15" w:type="dxa"/>
              <w:right w:w="15" w:type="dxa"/>
            </w:tcMar>
          </w:tcPr>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务</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对</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象</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满</w:t>
            </w:r>
          </w:p>
          <w:p w:rsidR="00E2574D" w:rsidRDefault="00CE6617">
            <w:pPr>
              <w:widowControl/>
              <w:spacing w:line="2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意</w:t>
            </w:r>
          </w:p>
          <w:p w:rsidR="00E2574D" w:rsidRDefault="00CE6617">
            <w:pPr>
              <w:widowControl/>
              <w:spacing w:line="2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度</w:t>
            </w:r>
          </w:p>
        </w:tc>
      </w:tr>
      <w:tr w:rsidR="00E2574D">
        <w:trPr>
          <w:trHeight w:val="850"/>
        </w:trPr>
        <w:tc>
          <w:tcPr>
            <w:tcW w:w="39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w:t>
            </w:r>
          </w:p>
        </w:tc>
        <w:tc>
          <w:tcPr>
            <w:tcW w:w="32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9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3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7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4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r>
      <w:tr w:rsidR="00E2574D">
        <w:trPr>
          <w:trHeight w:val="850"/>
        </w:trPr>
        <w:tc>
          <w:tcPr>
            <w:tcW w:w="39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2</w:t>
            </w:r>
          </w:p>
        </w:tc>
        <w:tc>
          <w:tcPr>
            <w:tcW w:w="32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9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3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7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4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r>
      <w:tr w:rsidR="00E2574D">
        <w:trPr>
          <w:trHeight w:val="850"/>
        </w:trPr>
        <w:tc>
          <w:tcPr>
            <w:tcW w:w="390" w:type="dxa"/>
            <w:tcBorders>
              <w:tl2br w:val="nil"/>
              <w:tr2bl w:val="nil"/>
            </w:tcBorders>
            <w:tcMar>
              <w:top w:w="15" w:type="dxa"/>
              <w:left w:w="15" w:type="dxa"/>
              <w:right w:w="15" w:type="dxa"/>
            </w:tcMar>
            <w:vAlign w:val="center"/>
          </w:tcPr>
          <w:p w:rsidR="00E2574D" w:rsidRDefault="00CE6617">
            <w:pPr>
              <w:widowControl/>
              <w:jc w:val="center"/>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sz w:val="28"/>
                <w:szCs w:val="28"/>
              </w:rPr>
              <w:t>…</w:t>
            </w:r>
          </w:p>
        </w:tc>
        <w:tc>
          <w:tcPr>
            <w:tcW w:w="32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9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3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6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40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3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4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7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55"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7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540"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2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c>
          <w:tcPr>
            <w:tcW w:w="389" w:type="dxa"/>
            <w:tcBorders>
              <w:tl2br w:val="nil"/>
              <w:tr2bl w:val="nil"/>
            </w:tcBorders>
            <w:tcMar>
              <w:top w:w="15" w:type="dxa"/>
              <w:left w:w="15" w:type="dxa"/>
              <w:right w:w="15" w:type="dxa"/>
            </w:tcMar>
            <w:vAlign w:val="center"/>
          </w:tcPr>
          <w:p w:rsidR="00E2574D" w:rsidRDefault="00E2574D">
            <w:pPr>
              <w:widowControl/>
              <w:jc w:val="center"/>
              <w:textAlignment w:val="center"/>
              <w:rPr>
                <w:rFonts w:ascii="仿宋_GB2312" w:eastAsia="仿宋_GB2312" w:hAnsi="仿宋_GB2312" w:cs="仿宋_GB2312"/>
                <w:color w:val="000000"/>
                <w:kern w:val="0"/>
                <w:sz w:val="28"/>
                <w:szCs w:val="28"/>
              </w:rPr>
            </w:pPr>
          </w:p>
        </w:tc>
      </w:tr>
    </w:tbl>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本次绩效评价综合绩效级别具体分为</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个等级：</w:t>
      </w:r>
    </w:p>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综合得分在</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分）以上为“优”</w:t>
      </w:r>
      <w:r>
        <w:rPr>
          <w:rFonts w:ascii="仿宋_GB2312" w:eastAsia="仿宋_GB2312" w:hAnsi="仿宋_GB2312" w:cs="仿宋_GB2312" w:hint="eastAsia"/>
          <w:sz w:val="32"/>
          <w:szCs w:val="32"/>
        </w:rPr>
        <w:t>;</w:t>
      </w:r>
    </w:p>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综合得分在</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分）为“良”</w:t>
      </w:r>
      <w:r>
        <w:rPr>
          <w:rFonts w:ascii="仿宋_GB2312" w:eastAsia="仿宋_GB2312" w:hAnsi="仿宋_GB2312" w:cs="仿宋_GB2312" w:hint="eastAsia"/>
          <w:sz w:val="32"/>
          <w:szCs w:val="32"/>
        </w:rPr>
        <w:t>;</w:t>
      </w:r>
    </w:p>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综合得分在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0-80</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分）为“中”</w:t>
      </w:r>
      <w:r>
        <w:rPr>
          <w:rFonts w:ascii="仿宋_GB2312" w:eastAsia="仿宋_GB2312" w:hAnsi="仿宋_GB2312" w:cs="仿宋_GB2312" w:hint="eastAsia"/>
          <w:sz w:val="32"/>
          <w:szCs w:val="32"/>
        </w:rPr>
        <w:t>;</w:t>
      </w:r>
    </w:p>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综合得分在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分以下为“差”。</w:t>
      </w:r>
    </w:p>
    <w:p w:rsidR="00E2574D" w:rsidRDefault="00CE66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其中“优”表示成效显著，“良”表示成效明显，“中”表示成效一般，“差”表示成效较差。</w:t>
      </w:r>
    </w:p>
    <w:p w:rsidR="00E2574D" w:rsidRDefault="00CE6617">
      <w:pPr>
        <w:numPr>
          <w:ilvl w:val="0"/>
          <w:numId w:val="2"/>
        </w:num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绩效评价方法</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为充分体现项目特点，准确、全面反映项目的资金管理和项目管理的效果，体现绩效评价的公平和客观，在评价过程中，采用</w:t>
      </w:r>
      <w:r>
        <w:rPr>
          <w:rFonts w:ascii="仿宋_GB2312" w:eastAsia="仿宋_GB2312" w:hAnsi="仿宋_GB2312" w:cs="仿宋_GB2312" w:hint="eastAsia"/>
          <w:sz w:val="32"/>
          <w:szCs w:val="32"/>
        </w:rPr>
        <w:t>评价组</w:t>
      </w:r>
      <w:r>
        <w:rPr>
          <w:rFonts w:ascii="仿宋_GB2312" w:eastAsia="仿宋_GB2312" w:hAnsi="仿宋_GB2312" w:cs="仿宋_GB2312" w:hint="eastAsia"/>
          <w:sz w:val="32"/>
          <w:szCs w:val="32"/>
        </w:rPr>
        <w:t>评议法，</w:t>
      </w:r>
      <w:r>
        <w:rPr>
          <w:rFonts w:ascii="仿宋_GB2312" w:eastAsia="仿宋_GB2312" w:hAnsi="仿宋_GB2312" w:cs="仿宋_GB2312" w:hint="eastAsia"/>
          <w:sz w:val="32"/>
          <w:szCs w:val="32"/>
        </w:rPr>
        <w:t>由青岛市水务管理局内部成立三人评价小组，对各项目情况进行评价</w:t>
      </w:r>
      <w:r>
        <w:rPr>
          <w:rFonts w:ascii="仿宋_GB2312" w:eastAsia="仿宋_GB2312" w:hAnsi="仿宋_GB2312" w:cs="仿宋_GB2312" w:hint="eastAsia"/>
          <w:sz w:val="32"/>
          <w:szCs w:val="32"/>
        </w:rPr>
        <w:t>。</w:t>
      </w:r>
    </w:p>
    <w:p w:rsidR="00E2574D" w:rsidRDefault="00CE6617">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（三）绩效评价工作过程</w:t>
      </w:r>
    </w:p>
    <w:p w:rsidR="00E2574D" w:rsidRDefault="00CE6617">
      <w:pPr>
        <w:adjustRightInd w:val="0"/>
        <w:snapToGrid w:val="0"/>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lastRenderedPageBreak/>
        <w:t>本次绩效评价工作时间为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日，工作过程分为准备、实施和形成报告三个阶段。</w:t>
      </w:r>
    </w:p>
    <w:p w:rsidR="00E2574D" w:rsidRDefault="00CE6617">
      <w:pPr>
        <w:numPr>
          <w:ilvl w:val="0"/>
          <w:numId w:val="3"/>
        </w:numPr>
        <w:adjustRightInd w:val="0"/>
        <w:snapToGrid w:val="0"/>
        <w:spacing w:line="560" w:lineRule="exact"/>
        <w:ind w:firstLineChars="200" w:firstLine="640"/>
        <w:rPr>
          <w:rFonts w:ascii="黑体" w:eastAsia="黑体" w:hAnsi="黑体" w:cs="黑体"/>
          <w:sz w:val="32"/>
          <w:szCs w:val="32"/>
        </w:rPr>
      </w:pPr>
      <w:bookmarkStart w:id="1" w:name="_Toc8806"/>
      <w:bookmarkStart w:id="2" w:name="_Toc13958"/>
      <w:r>
        <w:rPr>
          <w:rFonts w:ascii="黑体" w:eastAsia="黑体" w:hAnsi="黑体" w:cs="黑体" w:hint="eastAsia"/>
          <w:sz w:val="32"/>
          <w:szCs w:val="32"/>
        </w:rPr>
        <w:t>综合评价情况及</w:t>
      </w:r>
      <w:r>
        <w:rPr>
          <w:rFonts w:ascii="黑体" w:eastAsia="黑体" w:hAnsi="黑体" w:cs="黑体" w:hint="eastAsia"/>
          <w:sz w:val="32"/>
          <w:szCs w:val="32"/>
        </w:rPr>
        <w:t>评价结论</w:t>
      </w:r>
      <w:bookmarkEnd w:id="1"/>
      <w:bookmarkEnd w:id="2"/>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本次绩效评价涉及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项共</w:t>
      </w:r>
      <w:r>
        <w:rPr>
          <w:rFonts w:ascii="仿宋_GB2312" w:eastAsia="仿宋_GB2312" w:hAnsi="仿宋_GB2312" w:cs="仿宋_GB2312" w:hint="eastAsia"/>
          <w:sz w:val="32"/>
          <w:szCs w:val="32"/>
        </w:rPr>
        <w:t>1218.11</w:t>
      </w:r>
      <w:r>
        <w:rPr>
          <w:rFonts w:ascii="仿宋_GB2312" w:eastAsia="仿宋_GB2312" w:hAnsi="仿宋_GB2312" w:cs="仿宋_GB2312" w:hint="eastAsia"/>
          <w:sz w:val="32"/>
          <w:szCs w:val="32"/>
        </w:rPr>
        <w:t>万元预算专项资金，在评价过程中先对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项分别进行评价得出打分结果，最后依据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项打分结果经过分析汇总对整体进行评价得出打分结果。</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指标体系基于两级汇总的需要，除效益指标存在差异外，其他指标均是相同的。因此，难免存在个别指标不适用于个别专项资金的情形，在此情形下，此项指标得满分。此种处理方法，使绩效评价的减分项更聚焦于需要整改的事项和问题。符合绩效评价</w:t>
      </w:r>
      <w:r>
        <w:rPr>
          <w:rFonts w:ascii="仿宋_GB2312" w:eastAsia="仿宋_GB2312" w:hAnsi="仿宋_GB2312" w:cs="仿宋_GB2312" w:hint="eastAsia"/>
          <w:sz w:val="32"/>
          <w:szCs w:val="32"/>
        </w:rPr>
        <w:t>总结经验，发现问题，提出建议，加强项目管理，提高使用效益，为下一步预算资金安排提供重要参考</w:t>
      </w:r>
      <w:r>
        <w:rPr>
          <w:rFonts w:ascii="仿宋_GB2312" w:eastAsia="仿宋_GB2312" w:hAnsi="仿宋_GB2312" w:cs="仿宋_GB2312" w:hint="eastAsia"/>
          <w:sz w:val="32"/>
          <w:szCs w:val="32"/>
        </w:rPr>
        <w:t>的目的</w:t>
      </w:r>
      <w:r>
        <w:rPr>
          <w:rFonts w:ascii="仿宋_GB2312" w:eastAsia="仿宋_GB2312" w:hAnsi="仿宋_GB2312" w:cs="仿宋_GB2312" w:hint="eastAsia"/>
          <w:sz w:val="32"/>
          <w:szCs w:val="32"/>
        </w:rPr>
        <w:t>。</w:t>
      </w:r>
    </w:p>
    <w:p w:rsidR="00E2574D" w:rsidRDefault="00CE6617">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项城市维护专</w:t>
      </w:r>
      <w:r>
        <w:rPr>
          <w:rFonts w:ascii="楷体_GB2312" w:eastAsia="楷体_GB2312" w:hAnsi="楷体_GB2312" w:cs="楷体_GB2312" w:hint="eastAsia"/>
          <w:sz w:val="32"/>
          <w:szCs w:val="32"/>
        </w:rPr>
        <w:t>项资金绩效评价</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河道生态景观补水服务项目</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年预算共安排资金</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万元，实际执行</w:t>
      </w:r>
      <w:r>
        <w:rPr>
          <w:rFonts w:ascii="仿宋_GB2312" w:eastAsia="仿宋_GB2312" w:hAnsi="仿宋_GB2312" w:cs="仿宋_GB2312" w:hint="eastAsia"/>
          <w:sz w:val="32"/>
          <w:szCs w:val="32"/>
        </w:rPr>
        <w:t>999.88</w:t>
      </w:r>
      <w:r>
        <w:rPr>
          <w:rFonts w:ascii="仿宋_GB2312" w:eastAsia="仿宋_GB2312" w:hAnsi="仿宋_GB2312" w:cs="仿宋_GB2312" w:hint="eastAsia"/>
          <w:sz w:val="32"/>
          <w:szCs w:val="32"/>
        </w:rPr>
        <w:t>万元，执行率</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，其中河道生态景观补水服务项目补水量指标未完成，未完成原因是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年市住房城乡建设局申报该项目预算为</w:t>
      </w:r>
      <w:r>
        <w:rPr>
          <w:rFonts w:ascii="仿宋_GB2312" w:eastAsia="仿宋_GB2312" w:hAnsi="仿宋_GB2312" w:cs="仿宋_GB2312" w:hint="eastAsia"/>
          <w:sz w:val="32"/>
          <w:szCs w:val="32"/>
        </w:rPr>
        <w:t>5600</w:t>
      </w:r>
      <w:r>
        <w:rPr>
          <w:rFonts w:ascii="仿宋_GB2312" w:eastAsia="仿宋_GB2312" w:hAnsi="仿宋_GB2312" w:cs="仿宋_GB2312" w:hint="eastAsia"/>
          <w:sz w:val="32"/>
          <w:szCs w:val="32"/>
        </w:rPr>
        <w:t>万元，申报该项目绩效目标产出指标：补水量为</w:t>
      </w:r>
      <w:r>
        <w:rPr>
          <w:rFonts w:ascii="仿宋_GB2312" w:eastAsia="仿宋_GB2312" w:hAnsi="仿宋_GB2312" w:cs="仿宋_GB2312" w:hint="eastAsia"/>
          <w:sz w:val="32"/>
          <w:szCs w:val="32"/>
        </w:rPr>
        <w:t>7900</w:t>
      </w:r>
      <w:r>
        <w:rPr>
          <w:rFonts w:ascii="仿宋_GB2312" w:eastAsia="仿宋_GB2312" w:hAnsi="仿宋_GB2312" w:cs="仿宋_GB2312" w:hint="eastAsia"/>
          <w:sz w:val="32"/>
          <w:szCs w:val="32"/>
        </w:rPr>
        <w:t>万吨。市财政实际下达预算为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万元，市住房城乡建设局未根据下达的项目预算调整该项目绩效指标。</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年全年实际向李村河、海泊河补水</w:t>
      </w:r>
      <w:r>
        <w:rPr>
          <w:rFonts w:ascii="仿宋_GB2312" w:eastAsia="仿宋_GB2312" w:hAnsi="仿宋_GB2312" w:cs="仿宋_GB2312" w:hint="eastAsia"/>
          <w:sz w:val="32"/>
          <w:szCs w:val="32"/>
        </w:rPr>
        <w:t>5058</w:t>
      </w:r>
      <w:r>
        <w:rPr>
          <w:rFonts w:ascii="仿宋_GB2312" w:eastAsia="仿宋_GB2312" w:hAnsi="仿宋_GB2312" w:cs="仿宋_GB2312" w:hint="eastAsia"/>
          <w:sz w:val="32"/>
          <w:szCs w:val="32"/>
        </w:rPr>
        <w:t>万吨，完成财政预算批复</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万元的绩效指标。相应在预算执行率、绩效目标合理性</w:t>
      </w:r>
      <w:r>
        <w:rPr>
          <w:rFonts w:ascii="仿宋_GB2312" w:eastAsia="仿宋_GB2312" w:hAnsi="仿宋_GB2312" w:cs="仿宋_GB2312" w:hint="eastAsia"/>
          <w:sz w:val="32"/>
          <w:szCs w:val="32"/>
        </w:rPr>
        <w:t>、预算编制科学性、实际完</w:t>
      </w:r>
      <w:r>
        <w:rPr>
          <w:rFonts w:ascii="仿宋_GB2312" w:eastAsia="仿宋_GB2312" w:hAnsi="仿宋_GB2312" w:cs="仿宋_GB2312" w:hint="eastAsia"/>
          <w:sz w:val="32"/>
          <w:szCs w:val="32"/>
        </w:rPr>
        <w:lastRenderedPageBreak/>
        <w:t>成率上进行扣分。</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李村河入海口挡潮闸、中水管网设备设施维护资金</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年预算共安排资金</w:t>
      </w:r>
      <w:r>
        <w:rPr>
          <w:rFonts w:ascii="仿宋_GB2312" w:eastAsia="仿宋_GB2312" w:hAnsi="仿宋_GB2312" w:cs="仿宋_GB2312" w:hint="eastAsia"/>
          <w:sz w:val="32"/>
          <w:szCs w:val="32"/>
        </w:rPr>
        <w:t>124.11</w:t>
      </w:r>
      <w:r>
        <w:rPr>
          <w:rFonts w:ascii="仿宋_GB2312" w:eastAsia="仿宋_GB2312" w:hAnsi="仿宋_GB2312" w:cs="仿宋_GB2312" w:hint="eastAsia"/>
          <w:sz w:val="32"/>
          <w:szCs w:val="32"/>
        </w:rPr>
        <w:t>万元，实际执行</w:t>
      </w:r>
      <w:r>
        <w:rPr>
          <w:rFonts w:ascii="仿宋_GB2312" w:eastAsia="仿宋_GB2312" w:hAnsi="仿宋_GB2312" w:cs="仿宋_GB2312" w:hint="eastAsia"/>
          <w:sz w:val="32"/>
          <w:szCs w:val="32"/>
        </w:rPr>
        <w:t>123.8</w:t>
      </w:r>
      <w:r>
        <w:rPr>
          <w:rFonts w:ascii="仿宋_GB2312" w:eastAsia="仿宋_GB2312" w:hAnsi="仿宋_GB2312" w:cs="仿宋_GB2312" w:hint="eastAsia"/>
          <w:sz w:val="32"/>
          <w:szCs w:val="32"/>
        </w:rPr>
        <w:t>万元，执行率</w:t>
      </w:r>
      <w:r>
        <w:rPr>
          <w:rFonts w:ascii="仿宋_GB2312" w:eastAsia="仿宋_GB2312" w:hAnsi="仿宋_GB2312" w:cs="仿宋_GB2312" w:hint="eastAsia"/>
          <w:sz w:val="32"/>
          <w:szCs w:val="32"/>
        </w:rPr>
        <w:t>99.75%</w:t>
      </w:r>
      <w:r>
        <w:rPr>
          <w:rFonts w:ascii="仿宋_GB2312" w:eastAsia="仿宋_GB2312" w:hAnsi="仿宋_GB2312" w:cs="仿宋_GB2312" w:hint="eastAsia"/>
          <w:sz w:val="32"/>
          <w:szCs w:val="32"/>
        </w:rPr>
        <w:t>，相应在预算执行率上进行扣分。</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城市防汛经费</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年预算共安排资金</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万元，实际执行</w:t>
      </w:r>
      <w:r>
        <w:rPr>
          <w:rFonts w:ascii="仿宋_GB2312" w:eastAsia="仿宋_GB2312" w:hAnsi="仿宋_GB2312" w:cs="仿宋_GB2312" w:hint="eastAsia"/>
          <w:sz w:val="32"/>
          <w:szCs w:val="32"/>
        </w:rPr>
        <w:t>77.91</w:t>
      </w:r>
      <w:r>
        <w:rPr>
          <w:rFonts w:ascii="仿宋_GB2312" w:eastAsia="仿宋_GB2312" w:hAnsi="仿宋_GB2312" w:cs="仿宋_GB2312" w:hint="eastAsia"/>
          <w:sz w:val="32"/>
          <w:szCs w:val="32"/>
        </w:rPr>
        <w:t>万元，执行率</w:t>
      </w:r>
      <w:r>
        <w:rPr>
          <w:rFonts w:ascii="仿宋_GB2312" w:eastAsia="仿宋_GB2312" w:hAnsi="仿宋_GB2312" w:cs="仿宋_GB2312" w:hint="eastAsia"/>
          <w:sz w:val="32"/>
          <w:szCs w:val="32"/>
        </w:rPr>
        <w:t>99.88%</w:t>
      </w:r>
      <w:r>
        <w:rPr>
          <w:rFonts w:ascii="仿宋_GB2312" w:eastAsia="仿宋_GB2312" w:hAnsi="仿宋_GB2312" w:cs="仿宋_GB2312" w:hint="eastAsia"/>
          <w:sz w:val="32"/>
          <w:szCs w:val="32"/>
        </w:rPr>
        <w:t>，相应在预算执行率上进行扣分。</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青岛市海水淡化专业规划编制项目资金</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年预算共安排资金</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万元，实际执行</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万元，该项目未扣分。</w:t>
      </w:r>
    </w:p>
    <w:p w:rsidR="00E2574D" w:rsidRDefault="00CE6617">
      <w:pPr>
        <w:adjustRightInd w:val="0"/>
        <w:snapToGrid w:val="0"/>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项城市维护专项资金绩效评价打分结果</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、河道生态景观补水服务项目</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年度河道生态景观补水服务项目绩效评价总得分</w:t>
      </w:r>
      <w:r>
        <w:rPr>
          <w:rFonts w:ascii="仿宋_GB2312" w:eastAsia="仿宋_GB2312" w:hAnsi="仿宋_GB2312" w:cs="仿宋_GB2312" w:hint="eastAsia"/>
          <w:sz w:val="32"/>
          <w:szCs w:val="32"/>
        </w:rPr>
        <w:t>92.49</w:t>
      </w:r>
      <w:r>
        <w:rPr>
          <w:rFonts w:ascii="仿宋_GB2312" w:eastAsia="仿宋_GB2312" w:hAnsi="仿宋_GB2312" w:cs="仿宋_GB2312" w:hint="eastAsia"/>
          <w:sz w:val="32"/>
          <w:szCs w:val="32"/>
        </w:rPr>
        <w:t>分，评价等级为“优”。</w:t>
      </w:r>
    </w:p>
    <w:tbl>
      <w:tblPr>
        <w:tblW w:w="8291" w:type="dxa"/>
        <w:jc w:val="center"/>
        <w:tblLayout w:type="fixed"/>
        <w:tblCellMar>
          <w:top w:w="15" w:type="dxa"/>
          <w:left w:w="15" w:type="dxa"/>
          <w:bottom w:w="15" w:type="dxa"/>
          <w:right w:w="15" w:type="dxa"/>
        </w:tblCellMar>
        <w:tblLook w:val="04A0" w:firstRow="1" w:lastRow="0" w:firstColumn="1" w:lastColumn="0" w:noHBand="0" w:noVBand="1"/>
      </w:tblPr>
      <w:tblGrid>
        <w:gridCol w:w="1483"/>
        <w:gridCol w:w="1119"/>
        <w:gridCol w:w="1372"/>
        <w:gridCol w:w="1447"/>
        <w:gridCol w:w="737"/>
        <w:gridCol w:w="1099"/>
        <w:gridCol w:w="1034"/>
      </w:tblGrid>
      <w:tr w:rsidR="00E2574D">
        <w:trPr>
          <w:trHeight w:val="555"/>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一级</w:t>
            </w:r>
            <w:r>
              <w:rPr>
                <w:rFonts w:ascii="仿宋_GB2312" w:eastAsia="仿宋_GB2312" w:hAnsi="Tahoma" w:cs="仿宋_GB2312" w:hint="eastAsia"/>
                <w:b/>
                <w:color w:val="000000"/>
                <w:kern w:val="0"/>
                <w:sz w:val="22"/>
                <w:szCs w:val="22"/>
              </w:rPr>
              <w:br/>
            </w:r>
            <w:r>
              <w:rPr>
                <w:rFonts w:ascii="仿宋_GB2312" w:eastAsia="仿宋_GB2312" w:hAnsi="Tahoma" w:cs="仿宋_GB2312" w:hint="eastAsia"/>
                <w:b/>
                <w:color w:val="000000"/>
                <w:kern w:val="0"/>
                <w:sz w:val="22"/>
                <w:szCs w:val="22"/>
              </w:rPr>
              <w:t>指标</w:t>
            </w: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二级指标</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三级指标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四级指标</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权重</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得分率</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决策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项目立项（</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立项依据</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充分性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立项程序</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规范性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绩效指标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明确性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资金投入（</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预算编制</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科学性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75.00%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资金分配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过程</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资金管理（</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资金到位率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预算执行率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1.99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99.50%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资金使用</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合规性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组织实施（</w:t>
            </w:r>
            <w:r>
              <w:rPr>
                <w:rFonts w:ascii="仿宋_GB2312" w:eastAsia="仿宋_GB2312" w:hAnsi="Tahoma" w:cs="仿宋_GB2312" w:hint="eastAsia"/>
                <w:color w:val="000000"/>
                <w:kern w:val="0"/>
                <w:sz w:val="22"/>
                <w:szCs w:val="22"/>
              </w:rPr>
              <w:t>12</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 xml:space="preserve"> </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 </w:t>
            </w:r>
            <w:r>
              <w:rPr>
                <w:rFonts w:ascii="仿宋_GB2312" w:eastAsia="仿宋_GB2312" w:hAnsi="Tahoma" w:cs="仿宋_GB2312" w:hint="eastAsia"/>
                <w:color w:val="000000"/>
                <w:kern w:val="0"/>
                <w:sz w:val="22"/>
                <w:szCs w:val="22"/>
              </w:rPr>
              <w:t>管理制度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健全性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制度执行</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有效性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w:t>
            </w:r>
            <w:r>
              <w:rPr>
                <w:rFonts w:ascii="仿宋_GB2312" w:eastAsia="仿宋_GB2312" w:hAnsi="Tahoma" w:cs="仿宋_GB2312" w:hint="eastAsia"/>
                <w:color w:val="000000"/>
                <w:kern w:val="0"/>
                <w:sz w:val="22"/>
                <w:szCs w:val="22"/>
              </w:rPr>
              <w:br/>
              <w:t>(25</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产出数量（</w:t>
            </w:r>
            <w:r>
              <w:rPr>
                <w:rFonts w:ascii="仿宋_GB2312" w:eastAsia="仿宋_GB2312" w:hAnsi="Tahoma" w:cs="仿宋_GB2312" w:hint="eastAsia"/>
                <w:color w:val="000000"/>
                <w:kern w:val="0"/>
                <w:sz w:val="22"/>
                <w:szCs w:val="22"/>
              </w:rPr>
              <w:t>10</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实际完成率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0</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数量变动率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产出质量（</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质量达标率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产出时效</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完成及时率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产出成本</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成本节约率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效益</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35</w:t>
            </w:r>
            <w:r>
              <w:rPr>
                <w:rFonts w:ascii="仿宋_GB2312" w:eastAsia="仿宋_GB2312" w:hAnsi="Tahoma" w:cs="仿宋_GB2312" w:hint="eastAsia"/>
                <w:color w:val="000000"/>
                <w:kern w:val="0"/>
                <w:sz w:val="22"/>
                <w:szCs w:val="22"/>
              </w:rPr>
              <w:t>分）</w:t>
            </w: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项目效益（</w:t>
            </w:r>
            <w:r>
              <w:rPr>
                <w:rFonts w:ascii="仿宋_GB2312" w:eastAsia="仿宋_GB2312" w:hAnsi="Tahoma" w:cs="仿宋_GB2312" w:hint="eastAsia"/>
                <w:color w:val="000000"/>
                <w:kern w:val="0"/>
                <w:sz w:val="22"/>
                <w:szCs w:val="22"/>
              </w:rPr>
              <w:t>25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生态效益</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河道生态改善情况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可持续</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影响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政策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可持续性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项目后续运行情况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项目发展机制可持续性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项目可持续发展情况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满意度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服务对象</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满意度</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受益群众满意度</w:t>
            </w:r>
          </w:p>
        </w:tc>
        <w:tc>
          <w:tcPr>
            <w:tcW w:w="737"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5421" w:type="dxa"/>
            <w:gridSpan w:val="4"/>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合计</w:t>
            </w:r>
          </w:p>
        </w:tc>
        <w:tc>
          <w:tcPr>
            <w:tcW w:w="737"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100</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92.49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92.49%</w:t>
            </w:r>
          </w:p>
        </w:tc>
      </w:tr>
    </w:tbl>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、李村河入海口挡潮闸、中水管网设备设施维护资金</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年度李村河入海口挡潮闸、中水管网设备设施维护资金绩效评价总得分</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分，评价等级为“优”。</w:t>
      </w:r>
    </w:p>
    <w:tbl>
      <w:tblPr>
        <w:tblW w:w="8291" w:type="dxa"/>
        <w:jc w:val="center"/>
        <w:tblLayout w:type="fixed"/>
        <w:tblCellMar>
          <w:top w:w="15" w:type="dxa"/>
          <w:left w:w="15" w:type="dxa"/>
          <w:bottom w:w="15" w:type="dxa"/>
          <w:right w:w="15" w:type="dxa"/>
        </w:tblCellMar>
        <w:tblLook w:val="04A0" w:firstRow="1" w:lastRow="0" w:firstColumn="1" w:lastColumn="0" w:noHBand="0" w:noVBand="1"/>
      </w:tblPr>
      <w:tblGrid>
        <w:gridCol w:w="1483"/>
        <w:gridCol w:w="1119"/>
        <w:gridCol w:w="1372"/>
        <w:gridCol w:w="1447"/>
        <w:gridCol w:w="737"/>
        <w:gridCol w:w="1099"/>
        <w:gridCol w:w="1034"/>
      </w:tblGrid>
      <w:tr w:rsidR="00E2574D">
        <w:trPr>
          <w:trHeight w:val="555"/>
          <w:jc w:val="center"/>
        </w:trPr>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一级</w:t>
            </w:r>
            <w:r>
              <w:rPr>
                <w:rFonts w:ascii="仿宋_GB2312" w:eastAsia="仿宋_GB2312" w:hAnsi="Tahoma" w:cs="仿宋_GB2312" w:hint="eastAsia"/>
                <w:b/>
                <w:color w:val="000000"/>
                <w:kern w:val="0"/>
                <w:sz w:val="22"/>
                <w:szCs w:val="22"/>
              </w:rPr>
              <w:br/>
            </w:r>
            <w:r>
              <w:rPr>
                <w:rFonts w:ascii="仿宋_GB2312" w:eastAsia="仿宋_GB2312" w:hAnsi="Tahoma" w:cs="仿宋_GB2312" w:hint="eastAsia"/>
                <w:b/>
                <w:color w:val="000000"/>
                <w:kern w:val="0"/>
                <w:sz w:val="22"/>
                <w:szCs w:val="22"/>
              </w:rPr>
              <w:t>指标</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二级指标</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三级指标</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四级指标</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权重</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得分率</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决策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项目立项（</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立项依据</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充分性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立项程序</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规范性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lastRenderedPageBreak/>
              <w:t>（</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绩效目标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lastRenderedPageBreak/>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绩效指标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明确性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资金投入（</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预算编制</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科学性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资金分配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过程</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资金管理（</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资金到位率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预算执行率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1.99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99.50%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资金使用</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合规性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组织实施（</w:t>
            </w:r>
            <w:r>
              <w:rPr>
                <w:rFonts w:ascii="仿宋_GB2312" w:eastAsia="仿宋_GB2312" w:hAnsi="Tahoma" w:cs="仿宋_GB2312" w:hint="eastAsia"/>
                <w:color w:val="000000"/>
                <w:kern w:val="0"/>
                <w:sz w:val="22"/>
                <w:szCs w:val="22"/>
              </w:rPr>
              <w:t>12</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 xml:space="preserve"> </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 </w:t>
            </w:r>
            <w:r>
              <w:rPr>
                <w:rFonts w:ascii="仿宋_GB2312" w:eastAsia="仿宋_GB2312" w:hAnsi="Tahoma" w:cs="仿宋_GB2312" w:hint="eastAsia"/>
                <w:color w:val="000000"/>
                <w:kern w:val="0"/>
                <w:sz w:val="22"/>
                <w:szCs w:val="22"/>
              </w:rPr>
              <w:t>管理制度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健全性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制度执行</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有效性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w:t>
            </w:r>
            <w:r>
              <w:rPr>
                <w:rFonts w:ascii="仿宋_GB2312" w:eastAsia="仿宋_GB2312" w:hAnsi="Tahoma" w:cs="仿宋_GB2312" w:hint="eastAsia"/>
                <w:color w:val="000000"/>
                <w:kern w:val="0"/>
                <w:sz w:val="22"/>
                <w:szCs w:val="22"/>
              </w:rPr>
              <w:br/>
              <w:t>(25</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产出数量（</w:t>
            </w:r>
            <w:r>
              <w:rPr>
                <w:rFonts w:ascii="仿宋_GB2312" w:eastAsia="仿宋_GB2312" w:hAnsi="Tahoma" w:cs="仿宋_GB2312" w:hint="eastAsia"/>
                <w:color w:val="000000"/>
                <w:kern w:val="0"/>
                <w:sz w:val="22"/>
                <w:szCs w:val="22"/>
              </w:rPr>
              <w:t>10</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实际完成率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数量变动率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产出质量（</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质量达标率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产出时效</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完成及时率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产出成本</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成本节约率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效益</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35</w:t>
            </w:r>
            <w:r>
              <w:rPr>
                <w:rFonts w:ascii="仿宋_GB2312" w:eastAsia="仿宋_GB2312" w:hAnsi="Tahoma" w:cs="仿宋_GB2312" w:hint="eastAsia"/>
                <w:color w:val="000000"/>
                <w:kern w:val="0"/>
                <w:sz w:val="22"/>
                <w:szCs w:val="22"/>
              </w:rPr>
              <w:t>分）</w:t>
            </w: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项目效益（</w:t>
            </w:r>
            <w:r>
              <w:rPr>
                <w:rFonts w:ascii="仿宋_GB2312" w:eastAsia="仿宋_GB2312" w:hAnsi="Tahoma" w:cs="仿宋_GB2312" w:hint="eastAsia"/>
                <w:color w:val="000000"/>
                <w:kern w:val="0"/>
                <w:sz w:val="22"/>
                <w:szCs w:val="22"/>
              </w:rPr>
              <w:t>25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无</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jc w:val="center"/>
              <w:rPr>
                <w:rFonts w:ascii="仿宋_GB2312" w:eastAsia="仿宋_GB2312" w:hAnsi="Tahoma" w:cs="仿宋_GB2312"/>
                <w:color w:val="000000"/>
                <w:sz w:val="22"/>
                <w:szCs w:val="22"/>
              </w:rPr>
            </w:pPr>
            <w:r>
              <w:rPr>
                <w:rFonts w:ascii="仿宋_GB2312" w:eastAsia="仿宋_GB2312" w:hAnsi="Tahoma" w:cs="仿宋_GB2312" w:hint="eastAsia"/>
                <w:color w:val="000000"/>
                <w:sz w:val="22"/>
                <w:szCs w:val="22"/>
              </w:rPr>
              <w:t>25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6"/>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可持续</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影响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政策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可持续性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项目后续运行情况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6"/>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项目发展机制可持续性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项目可持续发展情况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满意度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服务对象</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满意度</w:t>
            </w:r>
          </w:p>
        </w:tc>
        <w:tc>
          <w:tcPr>
            <w:tcW w:w="1447"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受益群众满意度</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85"/>
          <w:jc w:val="center"/>
        </w:trPr>
        <w:tc>
          <w:tcPr>
            <w:tcW w:w="5421" w:type="dxa"/>
            <w:gridSpan w:val="4"/>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合计</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100</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99.99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99.99%</w:t>
            </w:r>
          </w:p>
        </w:tc>
      </w:tr>
    </w:tbl>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、城市防汛经费</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年度城市防汛经费绩效评价总得分</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分，评价等级为“优”。</w:t>
      </w:r>
    </w:p>
    <w:tbl>
      <w:tblPr>
        <w:tblW w:w="8291" w:type="dxa"/>
        <w:jc w:val="center"/>
        <w:tblLayout w:type="fixed"/>
        <w:tblCellMar>
          <w:top w:w="15" w:type="dxa"/>
          <w:left w:w="15" w:type="dxa"/>
          <w:bottom w:w="15" w:type="dxa"/>
          <w:right w:w="15" w:type="dxa"/>
        </w:tblCellMar>
        <w:tblLook w:val="04A0" w:firstRow="1" w:lastRow="0" w:firstColumn="1" w:lastColumn="0" w:noHBand="0" w:noVBand="1"/>
      </w:tblPr>
      <w:tblGrid>
        <w:gridCol w:w="1483"/>
        <w:gridCol w:w="1119"/>
        <w:gridCol w:w="1372"/>
        <w:gridCol w:w="1447"/>
        <w:gridCol w:w="737"/>
        <w:gridCol w:w="1099"/>
        <w:gridCol w:w="1034"/>
      </w:tblGrid>
      <w:tr w:rsidR="00E2574D">
        <w:trPr>
          <w:trHeight w:val="555"/>
          <w:jc w:val="center"/>
        </w:trPr>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lastRenderedPageBreak/>
              <w:t>一级</w:t>
            </w:r>
            <w:r>
              <w:rPr>
                <w:rFonts w:ascii="仿宋_GB2312" w:eastAsia="仿宋_GB2312" w:hAnsi="Tahoma" w:cs="仿宋_GB2312" w:hint="eastAsia"/>
                <w:b/>
                <w:color w:val="000000"/>
                <w:kern w:val="0"/>
                <w:sz w:val="22"/>
                <w:szCs w:val="22"/>
              </w:rPr>
              <w:br/>
            </w:r>
            <w:r>
              <w:rPr>
                <w:rFonts w:ascii="仿宋_GB2312" w:eastAsia="仿宋_GB2312" w:hAnsi="Tahoma" w:cs="仿宋_GB2312" w:hint="eastAsia"/>
                <w:b/>
                <w:color w:val="000000"/>
                <w:kern w:val="0"/>
                <w:sz w:val="22"/>
                <w:szCs w:val="22"/>
              </w:rPr>
              <w:t>指标</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二级指标</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三级指标</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四级指标</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权重</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得分率</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决策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项目立项（</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立项依据</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充分性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立项程序</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规范性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绩效指标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明确性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资金投入（</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预算编制</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科学性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资金分配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过程</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资金管理（</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资金到位率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预算执行率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1.99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99.50%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资金使用</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合规性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组织实施（</w:t>
            </w:r>
            <w:r>
              <w:rPr>
                <w:rFonts w:ascii="仿宋_GB2312" w:eastAsia="仿宋_GB2312" w:hAnsi="Tahoma" w:cs="仿宋_GB2312" w:hint="eastAsia"/>
                <w:color w:val="000000"/>
                <w:kern w:val="0"/>
                <w:sz w:val="22"/>
                <w:szCs w:val="22"/>
              </w:rPr>
              <w:t>12</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 xml:space="preserve"> </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 </w:t>
            </w:r>
            <w:r>
              <w:rPr>
                <w:rFonts w:ascii="仿宋_GB2312" w:eastAsia="仿宋_GB2312" w:hAnsi="Tahoma" w:cs="仿宋_GB2312" w:hint="eastAsia"/>
                <w:color w:val="000000"/>
                <w:kern w:val="0"/>
                <w:sz w:val="22"/>
                <w:szCs w:val="22"/>
              </w:rPr>
              <w:t>管理制度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健全性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制度执行</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有效性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w:t>
            </w:r>
            <w:r>
              <w:rPr>
                <w:rFonts w:ascii="仿宋_GB2312" w:eastAsia="仿宋_GB2312" w:hAnsi="Tahoma" w:cs="仿宋_GB2312" w:hint="eastAsia"/>
                <w:color w:val="000000"/>
                <w:kern w:val="0"/>
                <w:sz w:val="22"/>
                <w:szCs w:val="22"/>
              </w:rPr>
              <w:br/>
              <w:t>(25</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产出数量（</w:t>
            </w:r>
            <w:r>
              <w:rPr>
                <w:rFonts w:ascii="仿宋_GB2312" w:eastAsia="仿宋_GB2312" w:hAnsi="Tahoma" w:cs="仿宋_GB2312" w:hint="eastAsia"/>
                <w:color w:val="000000"/>
                <w:kern w:val="0"/>
                <w:sz w:val="22"/>
                <w:szCs w:val="22"/>
              </w:rPr>
              <w:t>10</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实际完成率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数量变动率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产出质量（</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质量达标率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产出时效</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完成及时率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产出成本</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成本节约率</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效益</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35</w:t>
            </w:r>
            <w:r>
              <w:rPr>
                <w:rFonts w:ascii="仿宋_GB2312" w:eastAsia="仿宋_GB2312" w:hAnsi="Tahoma" w:cs="仿宋_GB2312" w:hint="eastAsia"/>
                <w:color w:val="000000"/>
                <w:kern w:val="0"/>
                <w:sz w:val="22"/>
                <w:szCs w:val="22"/>
              </w:rPr>
              <w:t>分）</w:t>
            </w: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项目效益（</w:t>
            </w:r>
            <w:r>
              <w:rPr>
                <w:rFonts w:ascii="仿宋_GB2312" w:eastAsia="仿宋_GB2312" w:hAnsi="Tahoma" w:cs="仿宋_GB2312" w:hint="eastAsia"/>
                <w:color w:val="000000"/>
                <w:kern w:val="0"/>
                <w:sz w:val="22"/>
                <w:szCs w:val="22"/>
              </w:rPr>
              <w:t>25</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社会效益</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城市内涝灾害事故发生情况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可持续</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影响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政策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可持续性</w:t>
            </w:r>
          </w:p>
        </w:tc>
        <w:tc>
          <w:tcPr>
            <w:tcW w:w="144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项目后续运行情况</w:t>
            </w:r>
          </w:p>
        </w:tc>
        <w:tc>
          <w:tcPr>
            <w:tcW w:w="737"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项目发展机制可持续性</w:t>
            </w:r>
          </w:p>
        </w:tc>
        <w:tc>
          <w:tcPr>
            <w:tcW w:w="1447"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项目可持续发展情况</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3"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满意度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lastRenderedPageBreak/>
              <w:t>（</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服务对象</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lastRenderedPageBreak/>
              <w:t>满意度</w:t>
            </w:r>
          </w:p>
        </w:tc>
        <w:tc>
          <w:tcPr>
            <w:tcW w:w="1447"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受益群众满意</w:t>
            </w:r>
            <w:r>
              <w:rPr>
                <w:rFonts w:ascii="仿宋_GB2312" w:eastAsia="仿宋_GB2312" w:hAnsi="Tahoma" w:cs="仿宋_GB2312" w:hint="eastAsia"/>
                <w:color w:val="000000"/>
                <w:kern w:val="0"/>
                <w:sz w:val="22"/>
                <w:szCs w:val="22"/>
              </w:rPr>
              <w:lastRenderedPageBreak/>
              <w:t>度</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8</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85"/>
          <w:jc w:val="center"/>
        </w:trPr>
        <w:tc>
          <w:tcPr>
            <w:tcW w:w="5421" w:type="dxa"/>
            <w:gridSpan w:val="4"/>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合计</w:t>
            </w:r>
          </w:p>
        </w:tc>
        <w:tc>
          <w:tcPr>
            <w:tcW w:w="73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100</w:t>
            </w:r>
          </w:p>
        </w:tc>
        <w:tc>
          <w:tcPr>
            <w:tcW w:w="109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99.99</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99.99%</w:t>
            </w:r>
          </w:p>
        </w:tc>
      </w:tr>
    </w:tbl>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、青岛市海水淡化专业规划编制项目资金</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年度青岛市海水淡化专业规划编制项目资金绩效评价总得分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分，评价等级为“优”。</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490"/>
        <w:gridCol w:w="1123"/>
        <w:gridCol w:w="1380"/>
        <w:gridCol w:w="1455"/>
        <w:gridCol w:w="740"/>
        <w:gridCol w:w="1068"/>
        <w:gridCol w:w="1036"/>
      </w:tblGrid>
      <w:tr w:rsidR="00E2574D">
        <w:trPr>
          <w:trHeight w:val="555"/>
          <w:jc w:val="center"/>
        </w:trPr>
        <w:tc>
          <w:tcPr>
            <w:tcW w:w="1490" w:type="dxa"/>
            <w:tcBorders>
              <w:tl2br w:val="nil"/>
              <w:tr2bl w:val="nil"/>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一级</w:t>
            </w:r>
            <w:r>
              <w:rPr>
                <w:rFonts w:ascii="仿宋_GB2312" w:eastAsia="仿宋_GB2312" w:hAnsi="Tahoma" w:cs="仿宋_GB2312" w:hint="eastAsia"/>
                <w:b/>
                <w:color w:val="000000"/>
                <w:kern w:val="0"/>
                <w:sz w:val="22"/>
                <w:szCs w:val="22"/>
              </w:rPr>
              <w:br/>
            </w:r>
            <w:r>
              <w:rPr>
                <w:rFonts w:ascii="仿宋_GB2312" w:eastAsia="仿宋_GB2312" w:hAnsi="Tahoma" w:cs="仿宋_GB2312" w:hint="eastAsia"/>
                <w:b/>
                <w:color w:val="000000"/>
                <w:kern w:val="0"/>
                <w:sz w:val="22"/>
                <w:szCs w:val="22"/>
              </w:rPr>
              <w:t>指标</w:t>
            </w:r>
          </w:p>
        </w:tc>
        <w:tc>
          <w:tcPr>
            <w:tcW w:w="1123" w:type="dxa"/>
            <w:tcBorders>
              <w:tl2br w:val="nil"/>
              <w:tr2bl w:val="nil"/>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二级指标</w:t>
            </w:r>
          </w:p>
        </w:tc>
        <w:tc>
          <w:tcPr>
            <w:tcW w:w="1380" w:type="dxa"/>
            <w:tcBorders>
              <w:tl2br w:val="nil"/>
              <w:tr2bl w:val="nil"/>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三级指标</w:t>
            </w:r>
          </w:p>
        </w:tc>
        <w:tc>
          <w:tcPr>
            <w:tcW w:w="1455" w:type="dxa"/>
            <w:tcBorders>
              <w:tl2br w:val="nil"/>
              <w:tr2bl w:val="nil"/>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四级指标</w:t>
            </w:r>
          </w:p>
        </w:tc>
        <w:tc>
          <w:tcPr>
            <w:tcW w:w="740" w:type="dxa"/>
            <w:tcBorders>
              <w:tl2br w:val="nil"/>
              <w:tr2bl w:val="nil"/>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权重</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得分率</w:t>
            </w:r>
          </w:p>
        </w:tc>
      </w:tr>
      <w:tr w:rsidR="00E2574D">
        <w:trPr>
          <w:trHeight w:val="555"/>
          <w:jc w:val="center"/>
        </w:trPr>
        <w:tc>
          <w:tcPr>
            <w:tcW w:w="1490"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决策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项目立项（</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立项依据</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充分性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立项程序</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规范性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绩效指标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明确性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资金投入（</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预算编制</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科学性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资金分配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90"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过程</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资金管理（</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资金到位率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预算执行率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资金使用</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合规性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组织实施（</w:t>
            </w:r>
            <w:r>
              <w:rPr>
                <w:rFonts w:ascii="仿宋_GB2312" w:eastAsia="仿宋_GB2312" w:hAnsi="Tahoma" w:cs="仿宋_GB2312" w:hint="eastAsia"/>
                <w:color w:val="000000"/>
                <w:kern w:val="0"/>
                <w:sz w:val="22"/>
                <w:szCs w:val="22"/>
              </w:rPr>
              <w:t>12</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 xml:space="preserve"> </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 </w:t>
            </w:r>
            <w:r>
              <w:rPr>
                <w:rFonts w:ascii="仿宋_GB2312" w:eastAsia="仿宋_GB2312" w:hAnsi="Tahoma" w:cs="仿宋_GB2312" w:hint="eastAsia"/>
                <w:color w:val="000000"/>
                <w:kern w:val="0"/>
                <w:sz w:val="22"/>
                <w:szCs w:val="22"/>
              </w:rPr>
              <w:t>管理制度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健全性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制度执行</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有效性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90"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w:t>
            </w:r>
            <w:r>
              <w:rPr>
                <w:rFonts w:ascii="仿宋_GB2312" w:eastAsia="仿宋_GB2312" w:hAnsi="Tahoma" w:cs="仿宋_GB2312" w:hint="eastAsia"/>
                <w:color w:val="000000"/>
                <w:kern w:val="0"/>
                <w:sz w:val="22"/>
                <w:szCs w:val="22"/>
              </w:rPr>
              <w:br/>
              <w:t>(25</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w:t>
            </w: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产出数量（</w:t>
            </w:r>
            <w:r>
              <w:rPr>
                <w:rFonts w:ascii="仿宋_GB2312" w:eastAsia="仿宋_GB2312" w:hAnsi="Tahoma" w:cs="仿宋_GB2312" w:hint="eastAsia"/>
                <w:color w:val="000000"/>
                <w:kern w:val="0"/>
                <w:sz w:val="22"/>
                <w:szCs w:val="22"/>
              </w:rPr>
              <w:t>10</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实际完成率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数量变动率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tcBorders>
              <w:tl2br w:val="nil"/>
              <w:tr2bl w:val="nil"/>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产出质量（</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质量达标率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tcBorders>
              <w:tl2br w:val="nil"/>
              <w:tr2bl w:val="nil"/>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产出时效</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完成及时率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tcBorders>
              <w:tl2br w:val="nil"/>
              <w:tr2bl w:val="nil"/>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产出成本</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成本节约率</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效益</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35</w:t>
            </w:r>
            <w:r>
              <w:rPr>
                <w:rFonts w:ascii="仿宋_GB2312" w:eastAsia="仿宋_GB2312" w:hAnsi="Tahoma" w:cs="仿宋_GB2312" w:hint="eastAsia"/>
                <w:color w:val="000000"/>
                <w:kern w:val="0"/>
                <w:sz w:val="22"/>
                <w:szCs w:val="22"/>
              </w:rPr>
              <w:t>分）</w:t>
            </w:r>
          </w:p>
        </w:tc>
        <w:tc>
          <w:tcPr>
            <w:tcW w:w="1123"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项目效益（</w:t>
            </w:r>
            <w:r>
              <w:rPr>
                <w:rFonts w:ascii="仿宋_GB2312" w:eastAsia="仿宋_GB2312" w:hAnsi="Tahoma" w:cs="仿宋_GB2312" w:hint="eastAsia"/>
                <w:color w:val="000000"/>
                <w:kern w:val="0"/>
                <w:sz w:val="22"/>
                <w:szCs w:val="22"/>
              </w:rPr>
              <w:t>25</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25</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val="restart"/>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可持续</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影响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政策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可持续性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项目后续运行情况</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项目发展机制可持续性</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项目可持续发展情况</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90" w:type="dxa"/>
            <w:vMerge/>
            <w:tcBorders>
              <w:tl2br w:val="nil"/>
              <w:tr2bl w:val="nil"/>
            </w:tcBorders>
            <w:vAlign w:val="center"/>
          </w:tcPr>
          <w:p w:rsidR="00E2574D" w:rsidRDefault="00E2574D">
            <w:pPr>
              <w:jc w:val="center"/>
              <w:rPr>
                <w:rFonts w:ascii="仿宋_GB2312" w:eastAsia="仿宋_GB2312" w:hAnsi="Tahoma" w:cs="仿宋_GB2312"/>
                <w:color w:val="000000"/>
                <w:sz w:val="22"/>
                <w:szCs w:val="22"/>
              </w:rPr>
            </w:pPr>
          </w:p>
        </w:tc>
        <w:tc>
          <w:tcPr>
            <w:tcW w:w="1123"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满意度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8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服务对象</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满意度</w:t>
            </w:r>
          </w:p>
        </w:tc>
        <w:tc>
          <w:tcPr>
            <w:tcW w:w="1455"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受益群众满意度</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85"/>
          <w:jc w:val="center"/>
        </w:trPr>
        <w:tc>
          <w:tcPr>
            <w:tcW w:w="5448" w:type="dxa"/>
            <w:gridSpan w:val="4"/>
            <w:tcBorders>
              <w:tl2br w:val="nil"/>
              <w:tr2bl w:val="nil"/>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合计</w:t>
            </w:r>
          </w:p>
        </w:tc>
        <w:tc>
          <w:tcPr>
            <w:tcW w:w="740" w:type="dxa"/>
            <w:tcBorders>
              <w:tl2br w:val="nil"/>
              <w:tr2bl w:val="nil"/>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100</w:t>
            </w:r>
          </w:p>
        </w:tc>
        <w:tc>
          <w:tcPr>
            <w:tcW w:w="1068"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w:t>
            </w:r>
          </w:p>
        </w:tc>
        <w:tc>
          <w:tcPr>
            <w:tcW w:w="1036" w:type="dxa"/>
            <w:tcBorders>
              <w:tl2br w:val="nil"/>
              <w:tr2bl w:val="nil"/>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bl>
    <w:p w:rsidR="00E2574D" w:rsidRDefault="00CE6617">
      <w:pPr>
        <w:adjustRightInd w:val="0"/>
        <w:snapToGrid w:val="0"/>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（三）城市维护专项资金整体综合绩效评价打分结果</w:t>
      </w:r>
    </w:p>
    <w:p w:rsidR="00E2574D" w:rsidRDefault="00CE661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年度青岛市水务管理局城市维护专项资金绩效评价总得分</w:t>
      </w:r>
      <w:r>
        <w:rPr>
          <w:rFonts w:ascii="仿宋_GB2312" w:eastAsia="仿宋_GB2312" w:hAnsi="仿宋_GB2312" w:cs="仿宋_GB2312" w:hint="eastAsia"/>
          <w:sz w:val="32"/>
          <w:szCs w:val="32"/>
        </w:rPr>
        <w:t>98.12</w:t>
      </w:r>
      <w:r>
        <w:rPr>
          <w:rFonts w:ascii="仿宋_GB2312" w:eastAsia="仿宋_GB2312" w:hAnsi="仿宋_GB2312" w:cs="仿宋_GB2312" w:hint="eastAsia"/>
          <w:sz w:val="32"/>
          <w:szCs w:val="32"/>
        </w:rPr>
        <w:t>分，评价等级为“优”。</w:t>
      </w:r>
    </w:p>
    <w:tbl>
      <w:tblPr>
        <w:tblW w:w="8216" w:type="dxa"/>
        <w:jc w:val="center"/>
        <w:tblLayout w:type="fixed"/>
        <w:tblCellMar>
          <w:top w:w="15" w:type="dxa"/>
          <w:left w:w="15" w:type="dxa"/>
          <w:bottom w:w="15" w:type="dxa"/>
          <w:right w:w="15" w:type="dxa"/>
        </w:tblCellMar>
        <w:tblLook w:val="04A0" w:firstRow="1" w:lastRow="0" w:firstColumn="1" w:lastColumn="0" w:noHBand="0" w:noVBand="1"/>
      </w:tblPr>
      <w:tblGrid>
        <w:gridCol w:w="1481"/>
        <w:gridCol w:w="1117"/>
        <w:gridCol w:w="1369"/>
        <w:gridCol w:w="1444"/>
        <w:gridCol w:w="736"/>
        <w:gridCol w:w="1035"/>
        <w:gridCol w:w="1034"/>
      </w:tblGrid>
      <w:tr w:rsidR="00E2574D">
        <w:trPr>
          <w:trHeight w:val="555"/>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一级</w:t>
            </w:r>
            <w:r>
              <w:rPr>
                <w:rFonts w:ascii="仿宋_GB2312" w:eastAsia="仿宋_GB2312" w:hAnsi="Tahoma" w:cs="仿宋_GB2312" w:hint="eastAsia"/>
                <w:b/>
                <w:color w:val="000000"/>
                <w:kern w:val="0"/>
                <w:sz w:val="22"/>
                <w:szCs w:val="22"/>
              </w:rPr>
              <w:br/>
            </w:r>
            <w:r>
              <w:rPr>
                <w:rFonts w:ascii="仿宋_GB2312" w:eastAsia="仿宋_GB2312" w:hAnsi="Tahoma" w:cs="仿宋_GB2312" w:hint="eastAsia"/>
                <w:b/>
                <w:color w:val="000000"/>
                <w:kern w:val="0"/>
                <w:sz w:val="22"/>
                <w:szCs w:val="22"/>
              </w:rPr>
              <w:t>指标</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二级指标</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三级指标</w:t>
            </w:r>
          </w:p>
        </w:tc>
        <w:tc>
          <w:tcPr>
            <w:tcW w:w="14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四级指标</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权重</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得分率</w:t>
            </w:r>
          </w:p>
        </w:tc>
      </w:tr>
      <w:tr w:rsidR="00E2574D">
        <w:trPr>
          <w:trHeight w:val="555"/>
          <w:jc w:val="center"/>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决策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项目立项（</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立项依据</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充分性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立项程序</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规范性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t>6</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绩效目标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2.63 </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87.50%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绩效指标</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明确性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资金投入（</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预算编制</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科学性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3.75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93.75%</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资金分配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合理性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过程</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20</w:t>
            </w:r>
            <w:r>
              <w:rPr>
                <w:rFonts w:ascii="仿宋_GB2312" w:eastAsia="仿宋_GB2312" w:hAnsi="Tahoma" w:cs="仿宋_GB2312" w:hint="eastAsia"/>
                <w:color w:val="000000"/>
                <w:kern w:val="0"/>
                <w:sz w:val="22"/>
                <w:szCs w:val="22"/>
              </w:rPr>
              <w:t>分）</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资金管理（</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资金到位率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预算执行率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1.99 </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99.63%</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资金使用</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合规性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4</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组织实施（</w:t>
            </w:r>
            <w:r>
              <w:rPr>
                <w:rFonts w:ascii="仿宋_GB2312" w:eastAsia="仿宋_GB2312" w:hAnsi="Tahoma" w:cs="仿宋_GB2312" w:hint="eastAsia"/>
                <w:color w:val="000000"/>
                <w:kern w:val="0"/>
                <w:sz w:val="22"/>
                <w:szCs w:val="22"/>
              </w:rPr>
              <w:t>12</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 xml:space="preserve"> </w:t>
            </w:r>
            <w:r>
              <w:rPr>
                <w:rFonts w:ascii="仿宋_GB2312" w:eastAsia="仿宋_GB2312" w:hAnsi="Tahoma" w:cs="仿宋_GB2312" w:hint="eastAsia"/>
                <w:color w:val="000000"/>
                <w:kern w:val="0"/>
                <w:sz w:val="22"/>
                <w:szCs w:val="22"/>
              </w:rPr>
              <w:t>管理制度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健全性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制度执行</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有效性</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6</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lastRenderedPageBreak/>
              <w:t>(25</w:t>
            </w:r>
            <w:r>
              <w:rPr>
                <w:rFonts w:ascii="仿宋_GB2312" w:eastAsia="仿宋_GB2312" w:hAnsi="Tahoma" w:cs="仿宋_GB2312" w:hint="eastAsia"/>
                <w:color w:val="000000"/>
                <w:kern w:val="0"/>
                <w:sz w:val="22"/>
                <w:szCs w:val="22"/>
              </w:rPr>
              <w:t>分</w:t>
            </w:r>
            <w:r>
              <w:rPr>
                <w:rFonts w:ascii="仿宋_GB2312" w:eastAsia="仿宋_GB2312" w:hAnsi="Tahoma" w:cs="仿宋_GB2312" w:hint="eastAsia"/>
                <w:color w:val="000000"/>
                <w:kern w:val="0"/>
                <w:sz w:val="22"/>
                <w:szCs w:val="22"/>
              </w:rPr>
              <w:t>)</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产出数量</w:t>
            </w:r>
            <w:r>
              <w:rPr>
                <w:rFonts w:ascii="仿宋_GB2312" w:eastAsia="仿宋_GB2312" w:hAnsi="Tahoma" w:cs="仿宋_GB2312" w:hint="eastAsia"/>
                <w:color w:val="000000"/>
                <w:kern w:val="0"/>
                <w:sz w:val="22"/>
                <w:szCs w:val="22"/>
              </w:rPr>
              <w:lastRenderedPageBreak/>
              <w:t>（</w:t>
            </w:r>
            <w:r>
              <w:rPr>
                <w:rFonts w:ascii="仿宋_GB2312" w:eastAsia="仿宋_GB2312" w:hAnsi="Tahoma" w:cs="仿宋_GB2312" w:hint="eastAsia"/>
                <w:color w:val="000000"/>
                <w:kern w:val="0"/>
                <w:sz w:val="22"/>
                <w:szCs w:val="22"/>
              </w:rPr>
              <w:t>10</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lastRenderedPageBreak/>
              <w:t>实际完成率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3.75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75.00%</w:t>
            </w:r>
          </w:p>
        </w:tc>
      </w:tr>
      <w:tr w:rsidR="00E2574D">
        <w:trPr>
          <w:trHeight w:val="270"/>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数量变动率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产出质量（</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质量达标率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产出时效</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完成及时率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left"/>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产出成本</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5</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成本节约率</w:t>
            </w:r>
          </w:p>
        </w:tc>
        <w:tc>
          <w:tcPr>
            <w:tcW w:w="144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w:t>
            </w:r>
          </w:p>
        </w:tc>
        <w:tc>
          <w:tcPr>
            <w:tcW w:w="736"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5"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5</w:t>
            </w:r>
          </w:p>
        </w:tc>
        <w:tc>
          <w:tcPr>
            <w:tcW w:w="1034" w:type="dxa"/>
            <w:tcBorders>
              <w:top w:val="single" w:sz="4" w:space="0" w:color="000000"/>
              <w:left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效益</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35</w:t>
            </w:r>
            <w:r>
              <w:rPr>
                <w:rFonts w:ascii="仿宋_GB2312" w:eastAsia="仿宋_GB2312" w:hAnsi="Tahoma" w:cs="仿宋_GB2312" w:hint="eastAsia"/>
                <w:color w:val="000000"/>
                <w:kern w:val="0"/>
                <w:sz w:val="22"/>
                <w:szCs w:val="22"/>
              </w:rPr>
              <w:t>分）</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项目效益（</w:t>
            </w:r>
            <w:r>
              <w:rPr>
                <w:rFonts w:ascii="仿宋_GB2312" w:eastAsia="仿宋_GB2312" w:hAnsi="Tahoma" w:cs="仿宋_GB2312" w:hint="eastAsia"/>
                <w:color w:val="000000"/>
                <w:kern w:val="0"/>
                <w:sz w:val="22"/>
                <w:szCs w:val="22"/>
              </w:rPr>
              <w:t>25</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社会效益</w:t>
            </w:r>
          </w:p>
        </w:tc>
        <w:tc>
          <w:tcPr>
            <w:tcW w:w="1444"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城市内涝灾害事故发生情况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生态效益</w:t>
            </w:r>
          </w:p>
        </w:tc>
        <w:tc>
          <w:tcPr>
            <w:tcW w:w="1444"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河道生态改善情况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15</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15</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可持续</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影响</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2</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政策</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可持续性</w:t>
            </w:r>
          </w:p>
        </w:tc>
        <w:tc>
          <w:tcPr>
            <w:tcW w:w="1444"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项目后续运行情况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项目发展机制可持续性</w:t>
            </w:r>
          </w:p>
        </w:tc>
        <w:tc>
          <w:tcPr>
            <w:tcW w:w="1444"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项目可持续发展情况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555"/>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rsidR="00E2574D" w:rsidRDefault="00E2574D">
            <w:pPr>
              <w:jc w:val="center"/>
              <w:rPr>
                <w:rFonts w:ascii="仿宋_GB2312" w:eastAsia="仿宋_GB2312" w:hAnsi="Tahoma" w:cs="仿宋_GB2312"/>
                <w:color w:val="000000"/>
                <w:sz w:val="22"/>
                <w:szCs w:val="22"/>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满意度</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w:t>
            </w:r>
            <w:r>
              <w:rPr>
                <w:rFonts w:ascii="仿宋_GB2312" w:eastAsia="仿宋_GB2312" w:hAnsi="Tahoma" w:cs="仿宋_GB2312" w:hint="eastAsia"/>
                <w:color w:val="000000"/>
                <w:kern w:val="0"/>
                <w:sz w:val="22"/>
                <w:szCs w:val="22"/>
              </w:rPr>
              <w:t>8</w:t>
            </w:r>
            <w:r>
              <w:rPr>
                <w:rFonts w:ascii="仿宋_GB2312" w:eastAsia="仿宋_GB2312" w:hAnsi="Tahoma" w:cs="仿宋_GB2312" w:hint="eastAsia"/>
                <w:color w:val="000000"/>
                <w:kern w:val="0"/>
                <w:sz w:val="22"/>
                <w:szCs w:val="22"/>
              </w:rPr>
              <w:t>分）</w:t>
            </w:r>
          </w:p>
        </w:tc>
        <w:tc>
          <w:tcPr>
            <w:tcW w:w="1369"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服务对象</w:t>
            </w:r>
            <w:r>
              <w:rPr>
                <w:rFonts w:ascii="仿宋_GB2312" w:eastAsia="仿宋_GB2312" w:hAnsi="Tahoma" w:cs="仿宋_GB2312" w:hint="eastAsia"/>
                <w:color w:val="000000"/>
                <w:kern w:val="0"/>
                <w:sz w:val="22"/>
                <w:szCs w:val="22"/>
              </w:rPr>
              <w:br/>
            </w:r>
            <w:r>
              <w:rPr>
                <w:rFonts w:ascii="仿宋_GB2312" w:eastAsia="仿宋_GB2312" w:hAnsi="Tahoma" w:cs="仿宋_GB2312" w:hint="eastAsia"/>
                <w:color w:val="000000"/>
                <w:kern w:val="0"/>
                <w:sz w:val="22"/>
                <w:szCs w:val="22"/>
              </w:rPr>
              <w:t>满意度</w:t>
            </w:r>
          </w:p>
        </w:tc>
        <w:tc>
          <w:tcPr>
            <w:tcW w:w="1444" w:type="dxa"/>
            <w:tcBorders>
              <w:top w:val="single" w:sz="4" w:space="0" w:color="000000"/>
              <w:left w:val="single" w:sz="4" w:space="0" w:color="000000"/>
              <w:bottom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受益群众满意度</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8</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100.00%</w:t>
            </w:r>
          </w:p>
        </w:tc>
      </w:tr>
      <w:tr w:rsidR="00E2574D">
        <w:trPr>
          <w:trHeight w:val="270"/>
          <w:jc w:val="center"/>
        </w:trPr>
        <w:tc>
          <w:tcPr>
            <w:tcW w:w="5411" w:type="dxa"/>
            <w:gridSpan w:val="4"/>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合计</w:t>
            </w:r>
          </w:p>
        </w:tc>
        <w:tc>
          <w:tcPr>
            <w:tcW w:w="736"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b/>
                <w:color w:val="000000"/>
                <w:sz w:val="22"/>
                <w:szCs w:val="22"/>
              </w:rPr>
            </w:pPr>
            <w:r>
              <w:rPr>
                <w:rFonts w:ascii="仿宋_GB2312" w:eastAsia="仿宋_GB2312" w:hAnsi="Tahoma" w:cs="仿宋_GB2312" w:hint="eastAsia"/>
                <w:b/>
                <w:color w:val="000000"/>
                <w:kern w:val="0"/>
                <w:sz w:val="22"/>
                <w:szCs w:val="22"/>
              </w:rPr>
              <w:t>100</w:t>
            </w:r>
          </w:p>
        </w:tc>
        <w:tc>
          <w:tcPr>
            <w:tcW w:w="1035"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98.12</w:t>
            </w:r>
          </w:p>
        </w:tc>
        <w:tc>
          <w:tcPr>
            <w:tcW w:w="1034" w:type="dxa"/>
            <w:tcBorders>
              <w:top w:val="single" w:sz="4" w:space="0" w:color="000000"/>
              <w:left w:val="single" w:sz="4" w:space="0" w:color="000000"/>
              <w:bottom w:val="single" w:sz="4" w:space="0" w:color="000000"/>
              <w:right w:val="single" w:sz="4" w:space="0" w:color="000000"/>
            </w:tcBorders>
            <w:vAlign w:val="center"/>
          </w:tcPr>
          <w:p w:rsidR="00E2574D" w:rsidRDefault="00CE6617">
            <w:pPr>
              <w:widowControl/>
              <w:jc w:val="center"/>
              <w:textAlignment w:val="center"/>
              <w:rPr>
                <w:rFonts w:ascii="仿宋_GB2312" w:eastAsia="仿宋_GB2312" w:hAnsi="Tahoma" w:cs="仿宋_GB2312"/>
                <w:color w:val="000000"/>
                <w:sz w:val="22"/>
                <w:szCs w:val="22"/>
              </w:rPr>
            </w:pPr>
            <w:r>
              <w:rPr>
                <w:rFonts w:ascii="仿宋_GB2312" w:eastAsia="仿宋_GB2312" w:hAnsi="Tahoma" w:cs="仿宋_GB2312" w:hint="eastAsia"/>
                <w:color w:val="000000"/>
                <w:kern w:val="0"/>
                <w:sz w:val="22"/>
                <w:szCs w:val="22"/>
              </w:rPr>
              <w:t>98.12%</w:t>
            </w:r>
          </w:p>
        </w:tc>
      </w:tr>
    </w:tbl>
    <w:p w:rsidR="00E2574D" w:rsidRDefault="00CE661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四、绩效评价发现问题与建议</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河道生态景观补水服务项目补水量指标未完成，未完成原因是绩效目标申报值未根据市财政批复预算数进行及时调整。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年市住房城乡建设局年初提报预算为</w:t>
      </w:r>
      <w:r>
        <w:rPr>
          <w:rFonts w:ascii="仿宋_GB2312" w:eastAsia="仿宋_GB2312" w:hAnsi="仿宋_GB2312" w:cs="仿宋_GB2312" w:hint="eastAsia"/>
          <w:sz w:val="32"/>
          <w:szCs w:val="32"/>
        </w:rPr>
        <w:t>5600</w:t>
      </w:r>
      <w:r>
        <w:rPr>
          <w:rFonts w:ascii="仿宋_GB2312" w:eastAsia="仿宋_GB2312" w:hAnsi="仿宋_GB2312" w:cs="仿宋_GB2312" w:hint="eastAsia"/>
          <w:sz w:val="32"/>
          <w:szCs w:val="32"/>
        </w:rPr>
        <w:t>万元，估算补水量为</w:t>
      </w:r>
      <w:r>
        <w:rPr>
          <w:rFonts w:ascii="仿宋_GB2312" w:eastAsia="仿宋_GB2312" w:hAnsi="仿宋_GB2312" w:cs="仿宋_GB2312" w:hint="eastAsia"/>
          <w:sz w:val="32"/>
          <w:szCs w:val="32"/>
        </w:rPr>
        <w:t>7900</w:t>
      </w:r>
      <w:r>
        <w:rPr>
          <w:rFonts w:ascii="仿宋_GB2312" w:eastAsia="仿宋_GB2312" w:hAnsi="仿宋_GB2312" w:cs="仿宋_GB2312" w:hint="eastAsia"/>
          <w:sz w:val="32"/>
          <w:szCs w:val="32"/>
        </w:rPr>
        <w:t>万吨，最终财政预算批复为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万元，但市住房城乡建设局未及时调整项目绩效指标。</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年全年实际向李村河、海泊河补水</w:t>
      </w:r>
      <w:r>
        <w:rPr>
          <w:rFonts w:ascii="仿宋_GB2312" w:eastAsia="仿宋_GB2312" w:hAnsi="仿宋_GB2312" w:cs="仿宋_GB2312" w:hint="eastAsia"/>
          <w:sz w:val="32"/>
          <w:szCs w:val="32"/>
        </w:rPr>
        <w:t>5058</w:t>
      </w:r>
      <w:r>
        <w:rPr>
          <w:rFonts w:ascii="仿宋_GB2312" w:eastAsia="仿宋_GB2312" w:hAnsi="仿宋_GB2312" w:cs="仿宋_GB2312" w:hint="eastAsia"/>
          <w:sz w:val="32"/>
          <w:szCs w:val="32"/>
        </w:rPr>
        <w:t>万吨，完成财政预算批复</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万元的绩效指标。下一步改进措施：我局将加强绩效目标管理，根据市财政批复预算数对申报绩效目标进行及时调整。</w:t>
      </w:r>
    </w:p>
    <w:p w:rsidR="00E2574D" w:rsidRDefault="00CE661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五、附件</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年度青岛市水务管理局城市维护专项资金绩效评</w:t>
      </w:r>
      <w:r>
        <w:rPr>
          <w:rFonts w:ascii="仿宋_GB2312" w:eastAsia="仿宋_GB2312" w:hAnsi="仿宋_GB2312" w:cs="仿宋_GB2312" w:hint="eastAsia"/>
          <w:sz w:val="32"/>
          <w:szCs w:val="32"/>
        </w:rPr>
        <w:lastRenderedPageBreak/>
        <w:t>价指标</w:t>
      </w:r>
      <w:r>
        <w:rPr>
          <w:rFonts w:ascii="仿宋_GB2312" w:eastAsia="仿宋_GB2312" w:hAnsi="仿宋_GB2312" w:cs="仿宋_GB2312" w:hint="eastAsia"/>
          <w:sz w:val="32"/>
          <w:szCs w:val="32"/>
        </w:rPr>
        <w:t>体系</w:t>
      </w:r>
    </w:p>
    <w:p w:rsidR="00E2574D" w:rsidRDefault="00CE661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年度青岛市水务管理局城市维护专项资金绩效评价打分表</w:t>
      </w:r>
    </w:p>
    <w:p w:rsidR="00E2574D" w:rsidRDefault="00E2574D">
      <w:pPr>
        <w:adjustRightInd w:val="0"/>
        <w:snapToGrid w:val="0"/>
        <w:spacing w:line="560" w:lineRule="exact"/>
        <w:ind w:firstLineChars="200" w:firstLine="640"/>
        <w:rPr>
          <w:rFonts w:ascii="仿宋_GB2312" w:eastAsia="仿宋_GB2312" w:hAnsi="仿宋_GB2312" w:cs="仿宋_GB2312"/>
          <w:sz w:val="32"/>
          <w:szCs w:val="32"/>
        </w:rPr>
      </w:pPr>
    </w:p>
    <w:sectPr w:rsidR="00E2574D">
      <w:headerReference w:type="default" r:id="rId8"/>
      <w:footerReference w:type="default" r:id="rId9"/>
      <w:pgSz w:w="11906" w:h="16838"/>
      <w:pgMar w:top="2098" w:right="1474" w:bottom="204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17" w:rsidRDefault="00CE6617">
      <w:r>
        <w:separator/>
      </w:r>
    </w:p>
  </w:endnote>
  <w:endnote w:type="continuationSeparator" w:id="0">
    <w:p w:rsidR="00CE6617" w:rsidRDefault="00CE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4D" w:rsidRDefault="00627AB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09550" cy="162560"/>
              <wp:effectExtent l="635"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4D" w:rsidRDefault="00CE661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7ABE" w:rsidRPr="00627ABE">
                            <w:rPr>
                              <w:noProof/>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34.7pt;margin-top:0;width:16.5pt;height:12.8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" filled="f" stroked="f">
              <v:textbox style="mso-fit-shape-to-text:t" inset="0,0,0,0">
                <w:txbxContent>
                  <w:p w:rsidR="00E2574D" w:rsidRDefault="00CE661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7ABE" w:rsidRPr="00627ABE">
                      <w:rPr>
                        <w:noProof/>
                      </w:rPr>
                      <w:t>- 1 -</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17" w:rsidRDefault="00CE6617">
      <w:r>
        <w:separator/>
      </w:r>
    </w:p>
  </w:footnote>
  <w:footnote w:type="continuationSeparator" w:id="0">
    <w:p w:rsidR="00CE6617" w:rsidRDefault="00CE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4D" w:rsidRDefault="00E257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3"/>
      <w:numFmt w:val="chineseCounting"/>
      <w:suff w:val="nothing"/>
      <w:lvlText w:val="%1、"/>
      <w:lvlJc w:val="left"/>
    </w:lvl>
  </w:abstractNum>
  <w:abstractNum w:abstractNumId="2" w15:restartNumberingAfterBreak="0">
    <w:nsid w:val="00000004"/>
    <w:multiLevelType w:val="singleLevel"/>
    <w:tmpl w:val="0000000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627ABE"/>
    <w:rsid w:val="00CE6617"/>
    <w:rsid w:val="00E2574D"/>
    <w:rsid w:val="0B036EA1"/>
    <w:rsid w:val="196562B6"/>
    <w:rsid w:val="1F173C0E"/>
    <w:rsid w:val="300A706F"/>
    <w:rsid w:val="32A30E22"/>
    <w:rsid w:val="3C14629D"/>
    <w:rsid w:val="3C1B5BAC"/>
    <w:rsid w:val="3FF9081F"/>
    <w:rsid w:val="49E30645"/>
    <w:rsid w:val="4C302C88"/>
    <w:rsid w:val="4D711B1B"/>
    <w:rsid w:val="68806B01"/>
    <w:rsid w:val="716749AD"/>
    <w:rsid w:val="72DC78C7"/>
    <w:rsid w:val="773D3A1E"/>
    <w:rsid w:val="7F9E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6F14ADF-E11F-4394-BD8A-45B9A482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6232</Characters>
  <Application>Microsoft Office Word</Application>
  <DocSecurity>0</DocSecurity>
  <Lines>51</Lines>
  <Paragraphs>14</Paragraphs>
  <ScaleCrop>false</ScaleCrop>
  <Company>水</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DELL</dc:creator>
  <cp:lastModifiedBy>ss</cp:lastModifiedBy>
  <cp:revision>3</cp:revision>
  <cp:lastPrinted>2020-09-25T09:43:00Z</cp:lastPrinted>
  <dcterms:created xsi:type="dcterms:W3CDTF">2020-09-30T01:25:00Z</dcterms:created>
  <dcterms:modified xsi:type="dcterms:W3CDTF">2020-09-30T01:25:00Z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