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632" w:firstLineChars="200"/>
        <w:jc w:val="right"/>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方正小标宋简体" w:eastAsia="方正小标宋简体"/>
          <w:spacing w:val="60"/>
          <w:sz w:val="74"/>
        </w:rPr>
      </w:pPr>
      <w:r>
        <w:rPr>
          <w:rFonts w:hint="eastAsia" w:ascii="方正小标宋简体" w:eastAsia="方正小标宋简体"/>
          <w:spacing w:val="60"/>
          <w:sz w:val="74"/>
        </w:rPr>
        <w:t>2021年度</w:t>
      </w:r>
    </w:p>
    <w:p>
      <w:pPr>
        <w:jc w:val="center"/>
        <w:rPr>
          <w:rFonts w:ascii="方正小标宋简体" w:eastAsia="方正小标宋简体"/>
          <w:spacing w:val="60"/>
          <w:sz w:val="74"/>
        </w:rPr>
      </w:pPr>
      <w:r>
        <w:rPr>
          <w:rFonts w:hint="eastAsia" w:ascii="方正小标宋简体" w:eastAsia="方正小标宋简体"/>
          <w:spacing w:val="60"/>
          <w:sz w:val="74"/>
        </w:rPr>
        <w:t>青岛市司法局部门决算</w:t>
      </w:r>
    </w:p>
    <w:p>
      <w:pPr>
        <w:jc w:val="center"/>
        <w:rPr>
          <w:rFonts w:ascii="楷体_GB2312" w:eastAsia="楷体_GB2312"/>
          <w:b/>
          <w:sz w:val="42"/>
        </w:rPr>
      </w:pPr>
    </w:p>
    <w:p>
      <w:pPr>
        <w:jc w:val="center"/>
        <w:rPr>
          <w:rFonts w:ascii="楷体_GB2312" w:eastAsia="楷体_GB2312"/>
          <w:b/>
          <w:sz w:val="42"/>
        </w:rPr>
      </w:pPr>
    </w:p>
    <w:p>
      <w:pPr>
        <w:jc w:val="center"/>
        <w:rPr>
          <w:rFonts w:ascii="仿宋_GB2312" w:eastAsia="仿宋_GB2312"/>
        </w:rPr>
      </w:pPr>
    </w:p>
    <w:p>
      <w:pPr>
        <w:rPr>
          <w:rFonts w:ascii="仿宋_GB2312" w:eastAsia="仿宋_GB2312"/>
        </w:rPr>
      </w:pPr>
    </w:p>
    <w:p>
      <w:pPr>
        <w:spacing w:after="305" w:afterLines="50" w:line="580" w:lineRule="exact"/>
        <w:jc w:val="center"/>
        <w:rPr>
          <w:rFonts w:ascii="方正小标宋简体" w:eastAsia="方正小标宋简体"/>
          <w:sz w:val="44"/>
          <w:szCs w:val="44"/>
        </w:rPr>
      </w:pPr>
    </w:p>
    <w:p>
      <w:pPr>
        <w:spacing w:after="305" w:afterLines="50" w:line="580" w:lineRule="exact"/>
        <w:jc w:val="center"/>
        <w:rPr>
          <w:rFonts w:ascii="方正小标宋简体" w:eastAsia="方正小标宋简体"/>
          <w:sz w:val="44"/>
          <w:szCs w:val="44"/>
        </w:rPr>
      </w:pPr>
    </w:p>
    <w:p>
      <w:pPr>
        <w:spacing w:after="305" w:afterLines="50" w:line="580" w:lineRule="exact"/>
        <w:jc w:val="center"/>
        <w:rPr>
          <w:rFonts w:ascii="方正小标宋简体" w:eastAsia="方正小标宋简体"/>
          <w:sz w:val="44"/>
          <w:szCs w:val="44"/>
        </w:rPr>
      </w:pPr>
    </w:p>
    <w:p>
      <w:pPr>
        <w:spacing w:after="305" w:afterLines="50" w:line="580" w:lineRule="exact"/>
        <w:jc w:val="center"/>
        <w:rPr>
          <w:rFonts w:ascii="方正小标宋简体" w:eastAsia="方正小标宋简体"/>
          <w:sz w:val="44"/>
          <w:szCs w:val="44"/>
        </w:rPr>
      </w:pPr>
    </w:p>
    <w:p>
      <w:pPr>
        <w:spacing w:after="305" w:afterLines="50" w:line="580" w:lineRule="exact"/>
        <w:jc w:val="center"/>
        <w:rPr>
          <w:rFonts w:ascii="方正小标宋简体" w:eastAsia="方正小标宋简体"/>
          <w:sz w:val="44"/>
          <w:szCs w:val="44"/>
        </w:rPr>
      </w:pPr>
    </w:p>
    <w:p>
      <w:pPr>
        <w:spacing w:after="305" w:afterLines="50" w:line="580" w:lineRule="exact"/>
        <w:jc w:val="center"/>
        <w:rPr>
          <w:rFonts w:ascii="方正小标宋简体" w:eastAsia="方正小标宋简体"/>
          <w:sz w:val="44"/>
          <w:szCs w:val="44"/>
        </w:rPr>
      </w:pPr>
    </w:p>
    <w:p>
      <w:pPr>
        <w:spacing w:after="305" w:afterLines="50" w:line="580" w:lineRule="exact"/>
        <w:jc w:val="center"/>
        <w:rPr>
          <w:rFonts w:ascii="方正小标宋简体" w:eastAsia="方正小标宋简体"/>
          <w:sz w:val="44"/>
          <w:szCs w:val="44"/>
        </w:rPr>
      </w:pPr>
    </w:p>
    <w:p>
      <w:pPr>
        <w:spacing w:after="305" w:afterLines="50" w:line="580" w:lineRule="exact"/>
        <w:jc w:val="center"/>
        <w:rPr>
          <w:rFonts w:ascii="方正小标宋简体" w:eastAsia="方正小标宋简体"/>
          <w:sz w:val="44"/>
          <w:szCs w:val="44"/>
        </w:rPr>
      </w:pPr>
      <w:r>
        <w:rPr>
          <w:rFonts w:hint="eastAsia" w:ascii="方正小标宋简体" w:eastAsia="方正小标宋简体"/>
          <w:sz w:val="44"/>
          <w:szCs w:val="44"/>
        </w:rPr>
        <w:t>目  录</w:t>
      </w:r>
    </w:p>
    <w:p>
      <w:pPr>
        <w:spacing w:line="580" w:lineRule="exact"/>
        <w:ind w:firstLine="316" w:firstLineChars="100"/>
        <w:rPr>
          <w:rFonts w:ascii="黑体" w:hAnsi="黑体" w:eastAsia="黑体"/>
        </w:rPr>
      </w:pPr>
      <w:r>
        <w:rPr>
          <w:rFonts w:hint="eastAsia" w:ascii="黑体" w:hAnsi="黑体" w:eastAsia="黑体"/>
        </w:rPr>
        <w:t>第一部分  部门概况</w:t>
      </w:r>
    </w:p>
    <w:p>
      <w:pPr>
        <w:spacing w:line="580" w:lineRule="exact"/>
        <w:ind w:firstLine="632" w:firstLineChars="200"/>
        <w:rPr>
          <w:rFonts w:ascii="仿宋_GB2312" w:eastAsia="仿宋_GB2312"/>
        </w:rPr>
      </w:pPr>
      <w:r>
        <w:rPr>
          <w:rFonts w:hint="eastAsia" w:ascii="仿宋_GB2312" w:eastAsia="仿宋_GB2312"/>
        </w:rPr>
        <w:t>一、部门职责</w:t>
      </w:r>
    </w:p>
    <w:p>
      <w:pPr>
        <w:spacing w:line="580" w:lineRule="exact"/>
        <w:ind w:firstLine="632" w:firstLineChars="200"/>
        <w:rPr>
          <w:rFonts w:ascii="仿宋_GB2312" w:eastAsia="仿宋_GB2312"/>
        </w:rPr>
      </w:pPr>
      <w:r>
        <w:rPr>
          <w:rFonts w:hint="eastAsia" w:ascii="仿宋_GB2312" w:eastAsia="仿宋_GB2312"/>
        </w:rPr>
        <w:t>二、机构设置</w:t>
      </w:r>
    </w:p>
    <w:p>
      <w:pPr>
        <w:spacing w:line="580" w:lineRule="exact"/>
        <w:ind w:firstLine="316" w:firstLineChars="100"/>
        <w:rPr>
          <w:rFonts w:ascii="黑体" w:hAnsi="黑体" w:eastAsia="黑体"/>
        </w:rPr>
      </w:pPr>
      <w:r>
        <w:rPr>
          <w:rFonts w:hint="eastAsia" w:ascii="黑体" w:hAnsi="黑体" w:eastAsia="黑体"/>
        </w:rPr>
        <w:t>第二部分  2021年度部门决算表</w:t>
      </w:r>
    </w:p>
    <w:p>
      <w:pPr>
        <w:spacing w:line="580" w:lineRule="exact"/>
        <w:ind w:firstLine="632" w:firstLineChars="200"/>
        <w:rPr>
          <w:rFonts w:ascii="仿宋_GB2312" w:eastAsia="仿宋_GB2312"/>
        </w:rPr>
      </w:pPr>
      <w:r>
        <w:rPr>
          <w:rFonts w:hint="eastAsia" w:ascii="仿宋_GB2312" w:eastAsia="仿宋_GB2312"/>
        </w:rPr>
        <w:t>一、收入支出决算总表</w:t>
      </w:r>
    </w:p>
    <w:p>
      <w:pPr>
        <w:spacing w:line="580" w:lineRule="exact"/>
        <w:ind w:firstLine="632" w:firstLineChars="200"/>
        <w:rPr>
          <w:rFonts w:ascii="仿宋_GB2312" w:eastAsia="仿宋_GB2312"/>
        </w:rPr>
      </w:pPr>
      <w:r>
        <w:rPr>
          <w:rFonts w:hint="eastAsia" w:ascii="仿宋_GB2312" w:eastAsia="仿宋_GB2312"/>
        </w:rPr>
        <w:t>二、收入决算表</w:t>
      </w:r>
    </w:p>
    <w:p>
      <w:pPr>
        <w:spacing w:line="580" w:lineRule="exact"/>
        <w:ind w:firstLine="632" w:firstLineChars="200"/>
        <w:rPr>
          <w:rFonts w:ascii="仿宋_GB2312" w:eastAsia="仿宋_GB2312"/>
        </w:rPr>
      </w:pPr>
      <w:r>
        <w:rPr>
          <w:rFonts w:hint="eastAsia" w:ascii="仿宋_GB2312" w:eastAsia="仿宋_GB2312"/>
        </w:rPr>
        <w:t>三、支出决算表</w:t>
      </w:r>
    </w:p>
    <w:p>
      <w:pPr>
        <w:spacing w:line="580" w:lineRule="exact"/>
        <w:ind w:firstLine="632" w:firstLineChars="200"/>
        <w:rPr>
          <w:rFonts w:ascii="仿宋_GB2312" w:eastAsia="仿宋_GB2312"/>
        </w:rPr>
      </w:pPr>
      <w:r>
        <w:rPr>
          <w:rFonts w:hint="eastAsia" w:ascii="仿宋_GB2312" w:eastAsia="仿宋_GB2312"/>
        </w:rPr>
        <w:t>四、财政拨款收入支出决算总表</w:t>
      </w:r>
    </w:p>
    <w:p>
      <w:pPr>
        <w:spacing w:line="580" w:lineRule="exact"/>
        <w:ind w:firstLine="632" w:firstLineChars="200"/>
        <w:rPr>
          <w:rFonts w:ascii="仿宋_GB2312" w:eastAsia="仿宋_GB2312"/>
        </w:rPr>
      </w:pPr>
      <w:r>
        <w:rPr>
          <w:rFonts w:hint="eastAsia" w:ascii="仿宋_GB2312" w:eastAsia="仿宋_GB2312"/>
        </w:rPr>
        <w:t>五、一般公共预算财政拨款支出决算表</w:t>
      </w:r>
    </w:p>
    <w:p>
      <w:pPr>
        <w:spacing w:line="580" w:lineRule="exact"/>
        <w:ind w:firstLine="632" w:firstLineChars="200"/>
        <w:rPr>
          <w:rFonts w:ascii="仿宋_GB2312" w:eastAsia="仿宋_GB2312"/>
        </w:rPr>
      </w:pPr>
      <w:r>
        <w:rPr>
          <w:rFonts w:hint="eastAsia" w:ascii="仿宋_GB2312" w:eastAsia="仿宋_GB2312"/>
        </w:rPr>
        <w:t>六、一般公共预算财政拨款基本支出决算表</w:t>
      </w:r>
    </w:p>
    <w:p>
      <w:pPr>
        <w:spacing w:line="580" w:lineRule="exact"/>
        <w:ind w:firstLine="632" w:firstLineChars="200"/>
        <w:rPr>
          <w:rFonts w:ascii="仿宋_GB2312" w:eastAsia="仿宋_GB2312"/>
        </w:rPr>
      </w:pPr>
      <w:r>
        <w:rPr>
          <w:rFonts w:hint="eastAsia" w:ascii="仿宋_GB2312" w:eastAsia="仿宋_GB2312"/>
        </w:rPr>
        <w:t>七、一般公共预算财政拨款“三公”经费支出决算表</w:t>
      </w:r>
    </w:p>
    <w:p>
      <w:pPr>
        <w:spacing w:line="580" w:lineRule="exact"/>
        <w:ind w:firstLine="632" w:firstLineChars="200"/>
        <w:rPr>
          <w:rFonts w:ascii="仿宋_GB2312" w:eastAsia="仿宋_GB2312"/>
        </w:rPr>
      </w:pPr>
      <w:r>
        <w:rPr>
          <w:rFonts w:hint="eastAsia" w:ascii="仿宋_GB2312" w:eastAsia="仿宋_GB2312"/>
        </w:rPr>
        <w:t>八、政府性基金预算财政拨款收入支出决算表</w:t>
      </w:r>
    </w:p>
    <w:p>
      <w:pPr>
        <w:spacing w:line="580" w:lineRule="exact"/>
        <w:ind w:firstLine="632" w:firstLineChars="200"/>
        <w:rPr>
          <w:rFonts w:ascii="仿宋_GB2312" w:eastAsia="仿宋_GB2312"/>
        </w:rPr>
      </w:pPr>
      <w:r>
        <w:rPr>
          <w:rFonts w:hint="eastAsia" w:ascii="仿宋_GB2312" w:eastAsia="仿宋_GB2312"/>
        </w:rPr>
        <w:t>九、国有资本经营预算财政拨款支出决算表</w:t>
      </w:r>
    </w:p>
    <w:p>
      <w:pPr>
        <w:spacing w:line="580" w:lineRule="exact"/>
        <w:ind w:firstLine="316" w:firstLineChars="100"/>
        <w:rPr>
          <w:rFonts w:ascii="黑体" w:hAnsi="黑体" w:eastAsia="黑体"/>
        </w:rPr>
      </w:pPr>
      <w:r>
        <w:rPr>
          <w:rFonts w:hint="eastAsia" w:ascii="黑体" w:hAnsi="黑体" w:eastAsia="黑体"/>
        </w:rPr>
        <w:t>第三部分  2021年度部门决算情况说明</w:t>
      </w:r>
    </w:p>
    <w:p>
      <w:pPr>
        <w:spacing w:line="580" w:lineRule="exact"/>
        <w:ind w:firstLine="316" w:firstLineChars="100"/>
        <w:rPr>
          <w:rFonts w:ascii="黑体" w:hAnsi="黑体" w:eastAsia="黑体"/>
        </w:rPr>
      </w:pPr>
      <w:r>
        <w:rPr>
          <w:rFonts w:hint="eastAsia" w:ascii="黑体" w:hAnsi="黑体" w:eastAsia="黑体"/>
        </w:rPr>
        <w:t>第四部分  名词解释</w:t>
      </w:r>
    </w:p>
    <w:p>
      <w:pPr>
        <w:spacing w:line="580" w:lineRule="exact"/>
        <w:ind w:firstLine="316" w:firstLineChars="100"/>
        <w:rPr>
          <w:rFonts w:ascii="黑体" w:hAnsi="黑体" w:eastAsia="黑体"/>
        </w:rPr>
      </w:pPr>
      <w:r>
        <w:rPr>
          <w:rFonts w:hint="eastAsia" w:ascii="黑体" w:hAnsi="黑体" w:eastAsia="黑体"/>
        </w:rPr>
        <w:t>第五部分  附件</w:t>
      </w:r>
    </w:p>
    <w:p>
      <w:pPr>
        <w:spacing w:line="580" w:lineRule="exact"/>
        <w:ind w:firstLine="316" w:firstLineChars="100"/>
        <w:rPr>
          <w:rFonts w:ascii="黑体" w:hAnsi="黑体" w:eastAsia="黑体"/>
        </w:rPr>
      </w:pPr>
    </w:p>
    <w:p>
      <w:pPr>
        <w:spacing w:line="580" w:lineRule="exact"/>
        <w:ind w:firstLine="316" w:firstLineChars="100"/>
        <w:rPr>
          <w:rFonts w:ascii="黑体" w:hAnsi="黑体" w:eastAsia="黑体"/>
        </w:rPr>
      </w:pPr>
    </w:p>
    <w:p>
      <w:pPr>
        <w:rPr>
          <w:rFonts w:ascii="方正小标宋简体" w:eastAsia="方正小标宋简体"/>
          <w:sz w:val="42"/>
        </w:rPr>
      </w:pPr>
    </w:p>
    <w:p>
      <w:pPr>
        <w:jc w:val="center"/>
        <w:rPr>
          <w:rFonts w:ascii="方正小标宋简体" w:eastAsia="方正小标宋简体"/>
          <w:sz w:val="42"/>
        </w:rPr>
      </w:pPr>
    </w:p>
    <w:p>
      <w:pPr>
        <w:ind w:firstLine="536" w:firstLineChars="100"/>
        <w:rPr>
          <w:rFonts w:ascii="方正小标宋简体" w:eastAsia="方正小标宋简体"/>
          <w:spacing w:val="60"/>
          <w:sz w:val="42"/>
        </w:rPr>
      </w:pPr>
    </w:p>
    <w:p>
      <w:pPr>
        <w:ind w:firstLine="536" w:firstLineChars="100"/>
        <w:rPr>
          <w:rFonts w:ascii="方正小标宋简体" w:eastAsia="方正小标宋简体"/>
          <w:spacing w:val="60"/>
          <w:sz w:val="42"/>
        </w:rPr>
      </w:pPr>
    </w:p>
    <w:p>
      <w:pPr>
        <w:ind w:firstLine="536" w:firstLineChars="100"/>
        <w:rPr>
          <w:rFonts w:ascii="方正小标宋简体" w:eastAsia="方正小标宋简体"/>
          <w:spacing w:val="60"/>
          <w:sz w:val="42"/>
        </w:rPr>
      </w:pPr>
      <w:r>
        <w:rPr>
          <w:rFonts w:hint="eastAsia" w:ascii="方正小标宋简体" w:eastAsia="方正小标宋简体"/>
          <w:spacing w:val="60"/>
          <w:sz w:val="42"/>
        </w:rPr>
        <w:t>第一部分</w:t>
      </w:r>
    </w:p>
    <w:p>
      <w:pPr>
        <w:jc w:val="center"/>
        <w:rPr>
          <w:rFonts w:ascii="方正小标宋简体" w:eastAsia="方正小标宋简体"/>
          <w:spacing w:val="60"/>
          <w:sz w:val="48"/>
        </w:rPr>
      </w:pPr>
    </w:p>
    <w:p>
      <w:pPr>
        <w:jc w:val="center"/>
        <w:rPr>
          <w:rFonts w:ascii="方正小标宋简体" w:eastAsia="方正小标宋简体"/>
          <w:spacing w:val="60"/>
          <w:sz w:val="48"/>
        </w:rPr>
      </w:pPr>
      <w:r>
        <w:rPr>
          <w:rFonts w:hint="eastAsia" w:ascii="方正小标宋简体" w:eastAsia="方正小标宋简体"/>
          <w:spacing w:val="60"/>
          <w:sz w:val="48"/>
        </w:rPr>
        <w:t>部门概况</w:t>
      </w:r>
    </w:p>
    <w:p>
      <w:pPr>
        <w:jc w:val="center"/>
        <w:rPr>
          <w:rFonts w:ascii="仿宋_GB2312" w:eastAsia="仿宋_GB2312"/>
        </w:rPr>
        <w:sectPr>
          <w:headerReference r:id="rId4" w:type="default"/>
          <w:footerReference r:id="rId5" w:type="default"/>
          <w:footerReference r:id="rId6" w:type="even"/>
          <w:pgSz w:w="11906" w:h="16838"/>
          <w:pgMar w:top="1701" w:right="1531" w:bottom="1701" w:left="1531" w:header="0" w:footer="1418" w:gutter="0"/>
          <w:cols w:space="720" w:num="1"/>
          <w:docGrid w:type="linesAndChars" w:linePitch="610" w:charSpace="-849"/>
        </w:sectPr>
      </w:pPr>
    </w:p>
    <w:p>
      <w:pPr>
        <w:spacing w:line="580" w:lineRule="exact"/>
        <w:ind w:firstLine="632" w:firstLineChars="200"/>
        <w:rPr>
          <w:rFonts w:ascii="黑体" w:hAnsi="黑体" w:eastAsia="黑体"/>
        </w:rPr>
      </w:pPr>
      <w:r>
        <w:rPr>
          <w:rFonts w:hint="eastAsia" w:ascii="黑体" w:hAnsi="黑体" w:eastAsia="黑体"/>
        </w:rPr>
        <w:t>一、部门职责</w:t>
      </w:r>
    </w:p>
    <w:p>
      <w:pPr>
        <w:spacing w:line="580" w:lineRule="exact"/>
        <w:ind w:firstLine="632" w:firstLineChars="200"/>
        <w:rPr>
          <w:rFonts w:ascii="仿宋_GB2312" w:eastAsia="仿宋_GB2312"/>
        </w:rPr>
      </w:pPr>
      <w:r>
        <w:rPr>
          <w:rFonts w:hint="eastAsia" w:ascii="仿宋_GB2312" w:eastAsia="仿宋_GB2312"/>
        </w:rPr>
        <w:t>青岛市司法局是市政府组</w:t>
      </w:r>
      <w:r>
        <w:rPr>
          <w:rFonts w:hint="eastAsia" w:ascii="仿宋_GB2312" w:eastAsia="仿宋_GB2312"/>
          <w:lang w:val="en-US" w:eastAsia="zh-CN"/>
        </w:rPr>
        <w:t>成</w:t>
      </w:r>
      <w:r>
        <w:rPr>
          <w:rFonts w:hint="eastAsia" w:ascii="仿宋_GB2312" w:eastAsia="仿宋_GB2312"/>
        </w:rPr>
        <w:t>部门，为一级预算单位，主要职能为：</w:t>
      </w:r>
    </w:p>
    <w:p>
      <w:pPr>
        <w:spacing w:line="580" w:lineRule="exact"/>
        <w:ind w:firstLine="632" w:firstLineChars="200"/>
        <w:rPr>
          <w:rFonts w:ascii="仿宋_GB2312" w:eastAsia="仿宋_GB2312"/>
        </w:rPr>
      </w:pPr>
      <w:r>
        <w:rPr>
          <w:rFonts w:hint="eastAsia" w:ascii="仿宋_GB2312" w:eastAsia="仿宋_GB2312"/>
        </w:rPr>
        <w:t>（一）承担市委依法治市委员会办公室的日常工作。统筹推进法治政府建设。</w:t>
      </w:r>
    </w:p>
    <w:p>
      <w:pPr>
        <w:spacing w:line="580" w:lineRule="exact"/>
        <w:ind w:firstLine="632" w:firstLineChars="200"/>
        <w:rPr>
          <w:rFonts w:ascii="仿宋_GB2312" w:eastAsia="仿宋_GB2312"/>
        </w:rPr>
      </w:pPr>
      <w:r>
        <w:rPr>
          <w:rFonts w:hint="eastAsia" w:ascii="仿宋_GB2312" w:eastAsia="仿宋_GB2312"/>
        </w:rPr>
        <w:t>（二）向社会征集地方立法建议，编制行政立法规划和计划。起草或者组织起草、审查地方性法规草案、政府规章草案，负责立法协调工作。承办市政府规章的立法解释工作。</w:t>
      </w:r>
    </w:p>
    <w:p>
      <w:pPr>
        <w:spacing w:line="580" w:lineRule="exact"/>
        <w:ind w:firstLine="632" w:firstLineChars="200"/>
        <w:rPr>
          <w:rFonts w:ascii="仿宋_GB2312" w:eastAsia="仿宋_GB2312"/>
        </w:rPr>
      </w:pPr>
      <w:r>
        <w:rPr>
          <w:rFonts w:hint="eastAsia" w:ascii="仿宋_GB2312" w:eastAsia="仿宋_GB2312"/>
        </w:rPr>
        <w:t>（三）负责区（市）政府、市政府部门规范性文件备案审查工作。</w:t>
      </w:r>
    </w:p>
    <w:p>
      <w:pPr>
        <w:spacing w:line="580" w:lineRule="exact"/>
        <w:ind w:firstLine="632" w:firstLineChars="200"/>
        <w:rPr>
          <w:rFonts w:ascii="仿宋_GB2312" w:eastAsia="仿宋_GB2312"/>
        </w:rPr>
      </w:pPr>
      <w:r>
        <w:rPr>
          <w:rFonts w:hint="eastAsia" w:ascii="仿宋_GB2312" w:eastAsia="仿宋_GB2312"/>
        </w:rPr>
        <w:t>（四）负责市政府文件和重大行政决策合法性审查工作。</w:t>
      </w:r>
    </w:p>
    <w:p>
      <w:pPr>
        <w:spacing w:line="580" w:lineRule="exact"/>
        <w:ind w:firstLine="632" w:firstLineChars="200"/>
        <w:rPr>
          <w:rFonts w:ascii="仿宋_GB2312" w:eastAsia="仿宋_GB2312"/>
        </w:rPr>
      </w:pPr>
      <w:r>
        <w:rPr>
          <w:rFonts w:hint="eastAsia" w:ascii="仿宋_GB2312" w:eastAsia="仿宋_GB2312"/>
        </w:rPr>
        <w:t>（五）承担市政府法律顾问工作。</w:t>
      </w:r>
    </w:p>
    <w:p>
      <w:pPr>
        <w:spacing w:line="580" w:lineRule="exact"/>
        <w:ind w:firstLine="632" w:firstLineChars="200"/>
        <w:rPr>
          <w:rFonts w:ascii="仿宋_GB2312" w:eastAsia="仿宋_GB2312"/>
        </w:rPr>
      </w:pPr>
      <w:r>
        <w:rPr>
          <w:rFonts w:hint="eastAsia" w:ascii="仿宋_GB2312" w:eastAsia="仿宋_GB2312"/>
        </w:rPr>
        <w:t>（六）负责市政府行政复议、行政应诉工作。指导监督全市行政复议、行政赔偿、行政应诉、行政裁决工作。</w:t>
      </w:r>
    </w:p>
    <w:p>
      <w:pPr>
        <w:spacing w:line="580" w:lineRule="exact"/>
        <w:ind w:firstLine="632" w:firstLineChars="200"/>
        <w:rPr>
          <w:rFonts w:ascii="仿宋_GB2312" w:eastAsia="仿宋_GB2312"/>
        </w:rPr>
      </w:pPr>
      <w:r>
        <w:rPr>
          <w:rFonts w:hint="eastAsia" w:ascii="仿宋_GB2312" w:eastAsia="仿宋_GB2312"/>
        </w:rPr>
        <w:t>（七）负责行政执法监督工作。</w:t>
      </w:r>
    </w:p>
    <w:p>
      <w:pPr>
        <w:spacing w:line="580" w:lineRule="exact"/>
        <w:ind w:firstLine="632" w:firstLineChars="200"/>
        <w:rPr>
          <w:rFonts w:ascii="仿宋_GB2312" w:eastAsia="仿宋_GB2312"/>
        </w:rPr>
      </w:pPr>
      <w:r>
        <w:rPr>
          <w:rFonts w:hint="eastAsia" w:ascii="仿宋_GB2312" w:eastAsia="仿宋_GB2312"/>
        </w:rPr>
        <w:t>（八）承担统筹规划全市法治社会建设的具体工作。组织普法宣传，推动人民参与和促进法治建设。指导人民调解、行政调解和行业性专业性调解工作。指导人民陪审员选任工作，负责人民监督员选任工作。指导、监督司法所、社区司法行政工作室建设和基层法律服务、安置帮教工作。</w:t>
      </w:r>
    </w:p>
    <w:p>
      <w:pPr>
        <w:spacing w:line="580" w:lineRule="exact"/>
        <w:ind w:firstLine="632" w:firstLineChars="200"/>
        <w:rPr>
          <w:rFonts w:ascii="仿宋_GB2312" w:eastAsia="仿宋_GB2312"/>
        </w:rPr>
      </w:pPr>
      <w:r>
        <w:rPr>
          <w:rFonts w:hint="eastAsia" w:ascii="仿宋_GB2312" w:eastAsia="仿宋_GB2312"/>
        </w:rPr>
        <w:t>（九）负责全市公共法律服务体系建设，指导、监督律师、法律援助、司法鉴定、公证工作。</w:t>
      </w:r>
    </w:p>
    <w:p>
      <w:pPr>
        <w:spacing w:line="580" w:lineRule="exact"/>
        <w:ind w:firstLine="632" w:firstLineChars="200"/>
        <w:rPr>
          <w:rFonts w:ascii="仿宋_GB2312" w:eastAsia="仿宋_GB2312"/>
        </w:rPr>
      </w:pPr>
      <w:r>
        <w:rPr>
          <w:rFonts w:hint="eastAsia" w:ascii="仿宋_GB2312" w:eastAsia="仿宋_GB2312"/>
        </w:rPr>
        <w:t>（十）负责全市国家统一法律职业资格考试的组织实施工作。负责法律职业人员入职前培训工作。</w:t>
      </w:r>
    </w:p>
    <w:p>
      <w:pPr>
        <w:spacing w:line="580" w:lineRule="exact"/>
        <w:ind w:firstLine="632" w:firstLineChars="200"/>
        <w:rPr>
          <w:rFonts w:ascii="仿宋_GB2312" w:eastAsia="仿宋_GB2312"/>
        </w:rPr>
      </w:pPr>
      <w:r>
        <w:rPr>
          <w:rFonts w:hint="eastAsia" w:ascii="仿宋_GB2312" w:eastAsia="仿宋_GB2312"/>
        </w:rPr>
        <w:t>（十一）负责全市监狱管理工作。</w:t>
      </w:r>
    </w:p>
    <w:p>
      <w:pPr>
        <w:spacing w:line="580" w:lineRule="exact"/>
        <w:ind w:firstLine="632" w:firstLineChars="200"/>
        <w:rPr>
          <w:rFonts w:ascii="仿宋_GB2312" w:eastAsia="仿宋_GB2312"/>
        </w:rPr>
      </w:pPr>
      <w:r>
        <w:rPr>
          <w:rFonts w:hint="eastAsia" w:ascii="仿宋_GB2312" w:eastAsia="仿宋_GB2312"/>
        </w:rPr>
        <w:t>（十二）负责并指导监督全市社区矫正工作。</w:t>
      </w:r>
    </w:p>
    <w:p>
      <w:pPr>
        <w:spacing w:line="580" w:lineRule="exact"/>
        <w:ind w:firstLine="632" w:firstLineChars="200"/>
        <w:rPr>
          <w:rFonts w:ascii="仿宋_GB2312" w:eastAsia="仿宋_GB2312"/>
        </w:rPr>
      </w:pPr>
      <w:r>
        <w:rPr>
          <w:rFonts w:hint="eastAsia" w:ascii="仿宋_GB2312" w:eastAsia="仿宋_GB2312"/>
        </w:rPr>
        <w:t>（十三）负责全市司法行政系统强制隔离戒毒管理工作。</w:t>
      </w:r>
    </w:p>
    <w:p>
      <w:pPr>
        <w:spacing w:line="580" w:lineRule="exact"/>
        <w:ind w:firstLine="632" w:firstLineChars="200"/>
        <w:rPr>
          <w:rFonts w:ascii="仿宋_GB2312" w:eastAsia="仿宋_GB2312"/>
        </w:rPr>
      </w:pPr>
      <w:r>
        <w:rPr>
          <w:rFonts w:hint="eastAsia" w:ascii="仿宋_GB2312" w:eastAsia="仿宋_GB2312"/>
        </w:rPr>
        <w:t>（十四）负责规划、协调、指导全市法治人才队伍建设工作，推进招才引智相关工作。</w:t>
      </w:r>
    </w:p>
    <w:p>
      <w:pPr>
        <w:spacing w:line="580" w:lineRule="exact"/>
        <w:ind w:firstLine="632" w:firstLineChars="200"/>
        <w:rPr>
          <w:rFonts w:ascii="仿宋_GB2312" w:eastAsia="仿宋_GB2312"/>
        </w:rPr>
      </w:pPr>
      <w:r>
        <w:rPr>
          <w:rFonts w:hint="eastAsia" w:ascii="仿宋_GB2312" w:eastAsia="仿宋_GB2312"/>
        </w:rPr>
        <w:t>（十五）完成市委、市政府交办的其他任务。</w:t>
      </w:r>
    </w:p>
    <w:p>
      <w:pPr>
        <w:spacing w:line="580" w:lineRule="exact"/>
        <w:ind w:firstLine="632" w:firstLineChars="200"/>
        <w:rPr>
          <w:rFonts w:ascii="黑体" w:hAnsi="黑体" w:eastAsia="黑体"/>
        </w:rPr>
      </w:pPr>
      <w:r>
        <w:rPr>
          <w:rFonts w:hint="eastAsia" w:ascii="黑体" w:hAnsi="黑体" w:eastAsia="黑体"/>
        </w:rPr>
        <w:t>二、机构设置</w:t>
      </w:r>
    </w:p>
    <w:p>
      <w:pPr>
        <w:snapToGrid w:val="0"/>
        <w:spacing w:line="560" w:lineRule="exact"/>
        <w:ind w:firstLine="632" w:firstLineChars="200"/>
        <w:rPr>
          <w:rFonts w:ascii="仿宋_GB2312" w:eastAsia="仿宋_GB2312" w:cs="Courier New"/>
          <w:szCs w:val="32"/>
        </w:rPr>
      </w:pPr>
      <w:r>
        <w:rPr>
          <w:rFonts w:hint="eastAsia" w:ascii="仿宋_GB2312" w:hAnsi="宋体" w:eastAsia="仿宋_GB2312" w:cs="Courier New"/>
          <w:szCs w:val="32"/>
        </w:rPr>
        <w:t>从决算单位构成看，青岛市司法局部门决算包括：局本级决算、局属行政单位决算、局属事业单位决算。</w:t>
      </w:r>
    </w:p>
    <w:p>
      <w:pPr>
        <w:spacing w:line="560" w:lineRule="exact"/>
        <w:ind w:firstLine="632" w:firstLineChars="200"/>
        <w:rPr>
          <w:rFonts w:ascii="仿宋_GB2312" w:hAnsi="宋体" w:eastAsia="仿宋_GB2312" w:cs="Courier New"/>
          <w:szCs w:val="32"/>
        </w:rPr>
      </w:pPr>
      <w:r>
        <w:rPr>
          <w:rFonts w:hint="eastAsia" w:ascii="仿宋_GB2312" w:hAnsi="宋体" w:eastAsia="仿宋_GB2312" w:cs="Courier New"/>
          <w:szCs w:val="32"/>
        </w:rPr>
        <w:t>纳入青岛市司法局2021年度部门决算汇编范围的单位共6个，包括：</w:t>
      </w:r>
    </w:p>
    <w:p>
      <w:pPr>
        <w:spacing w:line="580" w:lineRule="exact"/>
        <w:ind w:firstLine="474" w:firstLineChars="150"/>
        <w:rPr>
          <w:rFonts w:ascii="仿宋_GB2312" w:hAnsi="宋体" w:eastAsia="仿宋_GB2312" w:cs="Courier New"/>
          <w:szCs w:val="32"/>
        </w:rPr>
      </w:pPr>
      <w:r>
        <w:rPr>
          <w:rFonts w:hint="eastAsia" w:ascii="仿宋_GB2312" w:hAnsi="宋体" w:eastAsia="仿宋_GB2312" w:cs="Courier New"/>
          <w:szCs w:val="32"/>
        </w:rPr>
        <w:t>1.青岛市司法局本级</w:t>
      </w:r>
    </w:p>
    <w:p>
      <w:pPr>
        <w:spacing w:line="580" w:lineRule="exact"/>
        <w:ind w:firstLine="474" w:firstLineChars="150"/>
        <w:rPr>
          <w:rFonts w:ascii="仿宋_GB2312" w:hAnsi="宋体" w:eastAsia="仿宋_GB2312" w:cs="Courier New"/>
          <w:szCs w:val="32"/>
        </w:rPr>
      </w:pPr>
      <w:r>
        <w:rPr>
          <w:rFonts w:hint="eastAsia" w:ascii="仿宋_GB2312" w:hAnsi="宋体" w:eastAsia="仿宋_GB2312" w:cs="Courier New"/>
          <w:szCs w:val="32"/>
        </w:rPr>
        <w:t>2.青岛监狱</w:t>
      </w:r>
    </w:p>
    <w:p>
      <w:pPr>
        <w:spacing w:line="580" w:lineRule="exact"/>
        <w:ind w:firstLine="474" w:firstLineChars="150"/>
        <w:rPr>
          <w:rFonts w:ascii="仿宋_GB2312" w:hAnsi="宋体" w:eastAsia="仿宋_GB2312" w:cs="Courier New"/>
          <w:szCs w:val="32"/>
        </w:rPr>
      </w:pPr>
      <w:r>
        <w:rPr>
          <w:rFonts w:hint="eastAsia" w:ascii="仿宋_GB2312" w:hAnsi="宋体" w:eastAsia="仿宋_GB2312" w:cs="Courier New"/>
          <w:szCs w:val="32"/>
        </w:rPr>
        <w:t>3.北墅监狱</w:t>
      </w:r>
    </w:p>
    <w:p>
      <w:pPr>
        <w:spacing w:line="580" w:lineRule="exact"/>
        <w:ind w:firstLine="474" w:firstLineChars="150"/>
        <w:rPr>
          <w:rFonts w:ascii="仿宋_GB2312" w:hAnsi="宋体" w:eastAsia="仿宋_GB2312" w:cs="Courier New"/>
          <w:szCs w:val="32"/>
        </w:rPr>
      </w:pPr>
      <w:r>
        <w:rPr>
          <w:rFonts w:hint="eastAsia" w:ascii="仿宋_GB2312" w:hAnsi="宋体" w:eastAsia="仿宋_GB2312" w:cs="Courier New"/>
          <w:szCs w:val="32"/>
        </w:rPr>
        <w:t>4.青岛市强制隔离戒毒所</w:t>
      </w:r>
    </w:p>
    <w:p>
      <w:pPr>
        <w:spacing w:line="580" w:lineRule="exact"/>
        <w:ind w:firstLine="474" w:firstLineChars="150"/>
        <w:rPr>
          <w:rFonts w:ascii="仿宋_GB2312" w:hAnsi="宋体" w:eastAsia="仿宋_GB2312" w:cs="Courier New"/>
          <w:szCs w:val="32"/>
        </w:rPr>
      </w:pPr>
      <w:r>
        <w:rPr>
          <w:rFonts w:hint="eastAsia" w:ascii="仿宋_GB2312" w:hAnsi="宋体" w:eastAsia="仿宋_GB2312" w:cs="Courier New"/>
          <w:szCs w:val="32"/>
        </w:rPr>
        <w:t>5.青岛市法律援助中心</w:t>
      </w:r>
    </w:p>
    <w:p>
      <w:pPr>
        <w:spacing w:line="580" w:lineRule="exact"/>
        <w:ind w:firstLine="474" w:firstLineChars="150"/>
        <w:rPr>
          <w:rFonts w:ascii="仿宋_GB2312" w:hAnsi="宋体" w:eastAsia="仿宋_GB2312" w:cs="Courier New"/>
          <w:szCs w:val="32"/>
        </w:rPr>
      </w:pPr>
      <w:r>
        <w:rPr>
          <w:rFonts w:hint="eastAsia" w:ascii="仿宋_GB2312" w:hAnsi="宋体" w:eastAsia="仿宋_GB2312" w:cs="Courier New"/>
          <w:szCs w:val="32"/>
        </w:rPr>
        <w:t>6.青岛市政府法治研究中心</w:t>
      </w:r>
    </w:p>
    <w:p>
      <w:pPr>
        <w:jc w:val="center"/>
        <w:rPr>
          <w:rFonts w:ascii="方正小标宋简体" w:eastAsia="方正小标宋简体"/>
          <w:sz w:val="42"/>
        </w:rPr>
      </w:pPr>
    </w:p>
    <w:p>
      <w:pPr>
        <w:jc w:val="center"/>
        <w:rPr>
          <w:rFonts w:ascii="方正小标宋简体" w:eastAsia="方正小标宋简体"/>
          <w:sz w:val="42"/>
        </w:rPr>
      </w:pPr>
    </w:p>
    <w:p>
      <w:pPr>
        <w:jc w:val="center"/>
        <w:rPr>
          <w:rFonts w:ascii="方正小标宋简体" w:eastAsia="方正小标宋简体"/>
          <w:sz w:val="42"/>
        </w:rPr>
      </w:pPr>
    </w:p>
    <w:p>
      <w:pPr>
        <w:jc w:val="center"/>
        <w:rPr>
          <w:rFonts w:ascii="方正小标宋简体" w:eastAsia="方正小标宋简体"/>
          <w:sz w:val="42"/>
        </w:rPr>
      </w:pPr>
    </w:p>
    <w:p>
      <w:pPr>
        <w:jc w:val="center"/>
        <w:rPr>
          <w:rFonts w:ascii="方正小标宋简体" w:eastAsia="方正小标宋简体"/>
          <w:sz w:val="42"/>
        </w:rPr>
      </w:pPr>
    </w:p>
    <w:p>
      <w:pPr>
        <w:ind w:firstLine="536" w:firstLineChars="100"/>
        <w:rPr>
          <w:rFonts w:ascii="方正小标宋简体" w:eastAsia="方正小标宋简体"/>
          <w:spacing w:val="60"/>
          <w:sz w:val="42"/>
        </w:rPr>
      </w:pPr>
      <w:r>
        <w:rPr>
          <w:rFonts w:hint="eastAsia" w:ascii="方正小标宋简体" w:eastAsia="方正小标宋简体"/>
          <w:spacing w:val="60"/>
          <w:sz w:val="42"/>
        </w:rPr>
        <w:t>第二部分</w:t>
      </w:r>
    </w:p>
    <w:p>
      <w:pPr>
        <w:jc w:val="center"/>
        <w:rPr>
          <w:rFonts w:ascii="方正小标宋简体" w:eastAsia="方正小标宋简体"/>
          <w:spacing w:val="60"/>
          <w:sz w:val="42"/>
        </w:rPr>
      </w:pPr>
    </w:p>
    <w:p>
      <w:pPr>
        <w:jc w:val="center"/>
        <w:rPr>
          <w:rFonts w:ascii="方正小标宋简体" w:eastAsia="方正小标宋简体"/>
          <w:spacing w:val="60"/>
          <w:sz w:val="42"/>
        </w:rPr>
      </w:pPr>
      <w:r>
        <w:rPr>
          <w:rFonts w:hint="eastAsia" w:ascii="方正小标宋简体" w:eastAsia="方正小标宋简体"/>
          <w:spacing w:val="60"/>
          <w:sz w:val="48"/>
        </w:rPr>
        <w:t>2021年度部门决算表</w:t>
      </w:r>
    </w:p>
    <w:p>
      <w:pPr>
        <w:spacing w:line="520" w:lineRule="exact"/>
        <w:rPr>
          <w:rFonts w:ascii="仿宋_GB2312" w:eastAsia="仿宋_GB2312"/>
          <w:b/>
          <w:sz w:val="28"/>
          <w:szCs w:val="28"/>
          <w:highlight w:val="yellow"/>
        </w:rPr>
      </w:pPr>
    </w:p>
    <w:p>
      <w:pPr>
        <w:jc w:val="center"/>
        <w:rPr>
          <w:rFonts w:ascii="方正小标宋简体" w:eastAsia="方正小标宋简体"/>
          <w:spacing w:val="60"/>
          <w:sz w:val="42"/>
          <w:highlight w:val="lightGray"/>
        </w:rPr>
        <w:sectPr>
          <w:pgSz w:w="11906" w:h="16838"/>
          <w:pgMar w:top="1701" w:right="1531" w:bottom="1701" w:left="1531" w:header="0" w:footer="1418" w:gutter="0"/>
          <w:cols w:space="720" w:num="1"/>
          <w:docGrid w:type="linesAndChars" w:linePitch="610" w:charSpace="-849"/>
        </w:sectPr>
      </w:pPr>
    </w:p>
    <w:p>
      <w:pPr>
        <w:jc w:val="center"/>
        <w:rPr>
          <w:rFonts w:ascii="方正小标宋简体" w:eastAsia="方正小标宋简体"/>
          <w:sz w:val="44"/>
          <w:szCs w:val="44"/>
        </w:rPr>
      </w:pPr>
      <w:r>
        <w:rPr>
          <w:rFonts w:hint="eastAsia" w:ascii="方正小标宋简体" w:eastAsia="方正小标宋简体"/>
          <w:sz w:val="44"/>
          <w:szCs w:val="44"/>
        </w:rPr>
        <w:t>收入支出决算总表</w:t>
      </w:r>
    </w:p>
    <w:p>
      <w:pPr>
        <w:wordWrap w:val="0"/>
        <w:spacing w:line="400" w:lineRule="exact"/>
        <w:jc w:val="right"/>
        <w:rPr>
          <w:rFonts w:ascii="楷体_GB2312" w:eastAsia="楷体_GB2312"/>
          <w:sz w:val="28"/>
          <w:szCs w:val="28"/>
        </w:rPr>
      </w:pPr>
      <w:r>
        <w:rPr>
          <w:rFonts w:hint="eastAsia" w:ascii="楷体_GB2312" w:eastAsia="楷体_GB2312"/>
          <w:sz w:val="28"/>
          <w:szCs w:val="28"/>
        </w:rPr>
        <w:t xml:space="preserve"> 公开01表</w:t>
      </w:r>
    </w:p>
    <w:p>
      <w:pPr>
        <w:wordWrap w:val="0"/>
        <w:spacing w:line="400" w:lineRule="exact"/>
        <w:ind w:firstLine="138" w:firstLineChars="50"/>
        <w:jc w:val="right"/>
        <w:rPr>
          <w:rFonts w:ascii="楷体_GB2312" w:eastAsia="楷体_GB2312"/>
          <w:sz w:val="28"/>
          <w:szCs w:val="28"/>
        </w:rPr>
      </w:pPr>
      <w:r>
        <w:rPr>
          <w:rFonts w:hint="eastAsia" w:ascii="楷体_GB2312" w:eastAsia="楷体_GB2312"/>
          <w:sz w:val="28"/>
          <w:szCs w:val="28"/>
        </w:rPr>
        <w:t>部门：青岛市司法局                                金额单位：万元</w:t>
      </w:r>
    </w:p>
    <w:tbl>
      <w:tblPr>
        <w:tblStyle w:val="15"/>
        <w:tblW w:w="90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27"/>
        <w:gridCol w:w="685"/>
        <w:gridCol w:w="935"/>
        <w:gridCol w:w="2595"/>
        <w:gridCol w:w="855"/>
        <w:gridCol w:w="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464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收 入</w:t>
            </w:r>
          </w:p>
        </w:tc>
        <w:tc>
          <w:tcPr>
            <w:tcW w:w="440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exact"/>
        </w:trPr>
        <w:tc>
          <w:tcPr>
            <w:tcW w:w="302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项  目</w:t>
            </w: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行次</w:t>
            </w:r>
          </w:p>
        </w:tc>
        <w:tc>
          <w:tcPr>
            <w:tcW w:w="93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金额</w:t>
            </w:r>
          </w:p>
        </w:tc>
        <w:tc>
          <w:tcPr>
            <w:tcW w:w="259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项  目</w:t>
            </w:r>
          </w:p>
        </w:tc>
        <w:tc>
          <w:tcPr>
            <w:tcW w:w="855"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行次</w:t>
            </w:r>
          </w:p>
        </w:tc>
        <w:tc>
          <w:tcPr>
            <w:tcW w:w="958"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栏  次</w:t>
            </w: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93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w:t>
            </w:r>
          </w:p>
        </w:tc>
        <w:tc>
          <w:tcPr>
            <w:tcW w:w="259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栏  次</w:t>
            </w:r>
          </w:p>
        </w:tc>
        <w:tc>
          <w:tcPr>
            <w:tcW w:w="85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958"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一、一般公共预算财政拨款收入</w:t>
            </w: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81950.46</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一、一般公共服务支出</w:t>
            </w:r>
          </w:p>
        </w:tc>
        <w:tc>
          <w:tcPr>
            <w:tcW w:w="85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31</w:t>
            </w:r>
          </w:p>
        </w:tc>
        <w:tc>
          <w:tcPr>
            <w:tcW w:w="958"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189.49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二、政府性基金预算财政拨款收入</w:t>
            </w: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二、外交支出</w:t>
            </w:r>
          </w:p>
        </w:tc>
        <w:tc>
          <w:tcPr>
            <w:tcW w:w="85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32</w:t>
            </w:r>
          </w:p>
        </w:tc>
        <w:tc>
          <w:tcPr>
            <w:tcW w:w="958"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4"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三、国有资本经营预算财政拨款收入</w:t>
            </w: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3</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三、国防支出</w:t>
            </w:r>
          </w:p>
        </w:tc>
        <w:tc>
          <w:tcPr>
            <w:tcW w:w="85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33</w:t>
            </w:r>
          </w:p>
        </w:tc>
        <w:tc>
          <w:tcPr>
            <w:tcW w:w="958"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2"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四、上级补助收入</w:t>
            </w: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4</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四、公共安全支出</w:t>
            </w:r>
          </w:p>
        </w:tc>
        <w:tc>
          <w:tcPr>
            <w:tcW w:w="855"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34</w:t>
            </w:r>
          </w:p>
        </w:tc>
        <w:tc>
          <w:tcPr>
            <w:tcW w:w="958" w:type="dxa"/>
            <w:tcBorders>
              <w:top w:val="nil"/>
              <w:left w:val="single" w:color="auto" w:sz="4" w:space="0"/>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76381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五、事业收入</w:t>
            </w: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5</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五、教育支出</w:t>
            </w:r>
          </w:p>
        </w:tc>
        <w:tc>
          <w:tcPr>
            <w:tcW w:w="855"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35</w:t>
            </w:r>
          </w:p>
        </w:tc>
        <w:tc>
          <w:tcPr>
            <w:tcW w:w="958" w:type="dxa"/>
            <w:tcBorders>
              <w:top w:val="nil"/>
              <w:left w:val="single" w:color="auto" w:sz="4" w:space="0"/>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六、经营收入</w:t>
            </w: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6</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六、科学技术支出</w:t>
            </w:r>
          </w:p>
        </w:tc>
        <w:tc>
          <w:tcPr>
            <w:tcW w:w="855"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36</w:t>
            </w:r>
          </w:p>
        </w:tc>
        <w:tc>
          <w:tcPr>
            <w:tcW w:w="958" w:type="dxa"/>
            <w:tcBorders>
              <w:top w:val="nil"/>
              <w:left w:val="single" w:color="auto" w:sz="4" w:space="0"/>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七、附属单位上缴收入</w:t>
            </w: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7</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七、文化旅游体育与传媒支出</w:t>
            </w:r>
          </w:p>
        </w:tc>
        <w:tc>
          <w:tcPr>
            <w:tcW w:w="855"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37</w:t>
            </w:r>
          </w:p>
        </w:tc>
        <w:tc>
          <w:tcPr>
            <w:tcW w:w="958" w:type="dxa"/>
            <w:tcBorders>
              <w:top w:val="nil"/>
              <w:left w:val="single" w:color="auto" w:sz="4" w:space="0"/>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478.06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八、其他收入</w:t>
            </w: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8</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3539.14</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八、社会保障和就业支出</w:t>
            </w:r>
          </w:p>
        </w:tc>
        <w:tc>
          <w:tcPr>
            <w:tcW w:w="855"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38</w:t>
            </w:r>
          </w:p>
        </w:tc>
        <w:tc>
          <w:tcPr>
            <w:tcW w:w="958" w:type="dxa"/>
            <w:tcBorders>
              <w:top w:val="nil"/>
              <w:left w:val="single" w:color="auto" w:sz="4" w:space="0"/>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4902.15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9</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九、卫生健康支出</w:t>
            </w:r>
          </w:p>
        </w:tc>
        <w:tc>
          <w:tcPr>
            <w:tcW w:w="855"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39</w:t>
            </w:r>
          </w:p>
        </w:tc>
        <w:tc>
          <w:tcPr>
            <w:tcW w:w="958" w:type="dxa"/>
            <w:tcBorders>
              <w:top w:val="nil"/>
              <w:left w:val="single" w:color="auto" w:sz="4" w:space="0"/>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10</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十、节能环保支出</w:t>
            </w:r>
          </w:p>
        </w:tc>
        <w:tc>
          <w:tcPr>
            <w:tcW w:w="855"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40</w:t>
            </w:r>
          </w:p>
        </w:tc>
        <w:tc>
          <w:tcPr>
            <w:tcW w:w="958" w:type="dxa"/>
            <w:tcBorders>
              <w:top w:val="nil"/>
              <w:left w:val="single" w:color="auto" w:sz="4" w:space="0"/>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11</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十一、城乡社区支出</w:t>
            </w:r>
          </w:p>
        </w:tc>
        <w:tc>
          <w:tcPr>
            <w:tcW w:w="855"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41</w:t>
            </w:r>
          </w:p>
        </w:tc>
        <w:tc>
          <w:tcPr>
            <w:tcW w:w="958" w:type="dxa"/>
            <w:tcBorders>
              <w:top w:val="nil"/>
              <w:left w:val="single" w:color="auto" w:sz="4" w:space="0"/>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12</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十二、农林水支出</w:t>
            </w:r>
          </w:p>
        </w:tc>
        <w:tc>
          <w:tcPr>
            <w:tcW w:w="855"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42</w:t>
            </w:r>
          </w:p>
        </w:tc>
        <w:tc>
          <w:tcPr>
            <w:tcW w:w="958" w:type="dxa"/>
            <w:tcBorders>
              <w:top w:val="nil"/>
              <w:left w:val="single" w:color="auto" w:sz="4" w:space="0"/>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13</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十三、交通运输支出</w:t>
            </w:r>
          </w:p>
        </w:tc>
        <w:tc>
          <w:tcPr>
            <w:tcW w:w="855"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43</w:t>
            </w:r>
          </w:p>
        </w:tc>
        <w:tc>
          <w:tcPr>
            <w:tcW w:w="958" w:type="dxa"/>
            <w:tcBorders>
              <w:top w:val="nil"/>
              <w:left w:val="single" w:color="auto" w:sz="4" w:space="0"/>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14</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十四、资源勘探工业信息等支出</w:t>
            </w:r>
          </w:p>
        </w:tc>
        <w:tc>
          <w:tcPr>
            <w:tcW w:w="85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44</w:t>
            </w:r>
          </w:p>
        </w:tc>
        <w:tc>
          <w:tcPr>
            <w:tcW w:w="958"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15</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十五、商业服务业等支出</w:t>
            </w:r>
          </w:p>
        </w:tc>
        <w:tc>
          <w:tcPr>
            <w:tcW w:w="85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45</w:t>
            </w:r>
          </w:p>
        </w:tc>
        <w:tc>
          <w:tcPr>
            <w:tcW w:w="958"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16</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十六、金融支出</w:t>
            </w:r>
          </w:p>
        </w:tc>
        <w:tc>
          <w:tcPr>
            <w:tcW w:w="85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46</w:t>
            </w:r>
          </w:p>
        </w:tc>
        <w:tc>
          <w:tcPr>
            <w:tcW w:w="958"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17</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十七、援助其他地区支出</w:t>
            </w:r>
          </w:p>
        </w:tc>
        <w:tc>
          <w:tcPr>
            <w:tcW w:w="85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47</w:t>
            </w:r>
          </w:p>
        </w:tc>
        <w:tc>
          <w:tcPr>
            <w:tcW w:w="958"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18</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十八、自然资源海洋气象等支出</w:t>
            </w:r>
          </w:p>
        </w:tc>
        <w:tc>
          <w:tcPr>
            <w:tcW w:w="85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48</w:t>
            </w:r>
          </w:p>
        </w:tc>
        <w:tc>
          <w:tcPr>
            <w:tcW w:w="958"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19</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十九、住房保障支出</w:t>
            </w:r>
          </w:p>
        </w:tc>
        <w:tc>
          <w:tcPr>
            <w:tcW w:w="85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49</w:t>
            </w:r>
          </w:p>
        </w:tc>
        <w:tc>
          <w:tcPr>
            <w:tcW w:w="958"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2985.4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20</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二十、粮油物资储备支出</w:t>
            </w:r>
          </w:p>
        </w:tc>
        <w:tc>
          <w:tcPr>
            <w:tcW w:w="85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50</w:t>
            </w:r>
          </w:p>
        </w:tc>
        <w:tc>
          <w:tcPr>
            <w:tcW w:w="958"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21</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二十一、国有资本经营预算支出</w:t>
            </w:r>
          </w:p>
        </w:tc>
        <w:tc>
          <w:tcPr>
            <w:tcW w:w="85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51</w:t>
            </w:r>
          </w:p>
        </w:tc>
        <w:tc>
          <w:tcPr>
            <w:tcW w:w="958"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22</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二十二、灾害防治及应急管理支出</w:t>
            </w:r>
          </w:p>
        </w:tc>
        <w:tc>
          <w:tcPr>
            <w:tcW w:w="85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52</w:t>
            </w:r>
          </w:p>
        </w:tc>
        <w:tc>
          <w:tcPr>
            <w:tcW w:w="958"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23</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二十三、其他支出</w:t>
            </w:r>
          </w:p>
        </w:tc>
        <w:tc>
          <w:tcPr>
            <w:tcW w:w="85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53</w:t>
            </w:r>
          </w:p>
        </w:tc>
        <w:tc>
          <w:tcPr>
            <w:tcW w:w="958"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60.48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24</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二十四、债务还本支出</w:t>
            </w:r>
          </w:p>
        </w:tc>
        <w:tc>
          <w:tcPr>
            <w:tcW w:w="85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54</w:t>
            </w:r>
          </w:p>
        </w:tc>
        <w:tc>
          <w:tcPr>
            <w:tcW w:w="958"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25</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二十五、债务付息支出</w:t>
            </w:r>
          </w:p>
        </w:tc>
        <w:tc>
          <w:tcPr>
            <w:tcW w:w="85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55</w:t>
            </w:r>
          </w:p>
        </w:tc>
        <w:tc>
          <w:tcPr>
            <w:tcW w:w="958"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26</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二十六、抗疫特别国债安排的支出</w:t>
            </w:r>
          </w:p>
        </w:tc>
        <w:tc>
          <w:tcPr>
            <w:tcW w:w="85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56</w:t>
            </w:r>
          </w:p>
        </w:tc>
        <w:tc>
          <w:tcPr>
            <w:tcW w:w="958"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b/>
                <w:bCs/>
                <w:sz w:val="18"/>
                <w:szCs w:val="18"/>
              </w:rPr>
              <w:t>本年收入合计</w:t>
            </w: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27</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b/>
                <w:bCs/>
                <w:kern w:val="0"/>
                <w:sz w:val="18"/>
                <w:szCs w:val="18"/>
              </w:rPr>
              <w:t>85489.6</w:t>
            </w:r>
          </w:p>
        </w:tc>
        <w:tc>
          <w:tcPr>
            <w:tcW w:w="259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b/>
                <w:bCs/>
                <w:sz w:val="18"/>
                <w:szCs w:val="18"/>
              </w:rPr>
              <w:t>本年支出合计</w:t>
            </w:r>
          </w:p>
        </w:tc>
        <w:tc>
          <w:tcPr>
            <w:tcW w:w="85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57</w:t>
            </w:r>
          </w:p>
        </w:tc>
        <w:tc>
          <w:tcPr>
            <w:tcW w:w="958"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b/>
                <w:bCs/>
                <w:kern w:val="0"/>
                <w:sz w:val="18"/>
                <w:szCs w:val="18"/>
              </w:rPr>
            </w:pPr>
            <w:r>
              <w:rPr>
                <w:rFonts w:hint="eastAsia" w:ascii="仿宋_GB2312" w:hAnsi="Arial" w:eastAsia="仿宋_GB2312" w:cs="仿宋_GB2312"/>
                <w:b/>
                <w:bCs/>
                <w:kern w:val="0"/>
                <w:sz w:val="18"/>
                <w:szCs w:val="18"/>
              </w:rPr>
              <w:t>85046.59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b/>
                <w:bCs/>
                <w:sz w:val="18"/>
                <w:szCs w:val="18"/>
              </w:rPr>
            </w:pPr>
            <w:r>
              <w:rPr>
                <w:rFonts w:hint="eastAsia" w:ascii="仿宋_GB2312" w:eastAsia="仿宋_GB2312"/>
                <w:sz w:val="18"/>
                <w:szCs w:val="18"/>
              </w:rPr>
              <w:t>使用非财政拨款结余</w:t>
            </w: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28</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结余分配</w:t>
            </w:r>
          </w:p>
        </w:tc>
        <w:tc>
          <w:tcPr>
            <w:tcW w:w="85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58</w:t>
            </w:r>
          </w:p>
        </w:tc>
        <w:tc>
          <w:tcPr>
            <w:tcW w:w="958"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年初结转和结余</w:t>
            </w: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29</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309.66</w:t>
            </w:r>
          </w:p>
        </w:tc>
        <w:tc>
          <w:tcPr>
            <w:tcW w:w="2595"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年末结转和结余</w:t>
            </w:r>
          </w:p>
        </w:tc>
        <w:tc>
          <w:tcPr>
            <w:tcW w:w="85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59</w:t>
            </w:r>
          </w:p>
        </w:tc>
        <w:tc>
          <w:tcPr>
            <w:tcW w:w="958"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kern w:val="0"/>
                <w:sz w:val="18"/>
                <w:szCs w:val="18"/>
              </w:rPr>
              <w:t>752.68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exact"/>
        </w:trPr>
        <w:tc>
          <w:tcPr>
            <w:tcW w:w="302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b/>
                <w:bCs/>
                <w:sz w:val="18"/>
                <w:szCs w:val="18"/>
              </w:rPr>
              <w:t>总计</w:t>
            </w:r>
          </w:p>
        </w:tc>
        <w:tc>
          <w:tcPr>
            <w:tcW w:w="68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30</w:t>
            </w:r>
          </w:p>
        </w:tc>
        <w:tc>
          <w:tcPr>
            <w:tcW w:w="935"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b/>
                <w:bCs/>
                <w:kern w:val="0"/>
                <w:sz w:val="18"/>
                <w:szCs w:val="18"/>
              </w:rPr>
            </w:pPr>
            <w:r>
              <w:rPr>
                <w:rFonts w:hint="eastAsia" w:ascii="仿宋_GB2312" w:hAnsi="Arial" w:eastAsia="仿宋_GB2312" w:cs="仿宋_GB2312"/>
                <w:b/>
                <w:bCs/>
                <w:kern w:val="0"/>
                <w:sz w:val="18"/>
                <w:szCs w:val="18"/>
              </w:rPr>
              <w:t>85799.26</w:t>
            </w:r>
          </w:p>
        </w:tc>
        <w:tc>
          <w:tcPr>
            <w:tcW w:w="259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b/>
                <w:bCs/>
                <w:sz w:val="18"/>
                <w:szCs w:val="18"/>
              </w:rPr>
              <w:t>总计</w:t>
            </w:r>
          </w:p>
        </w:tc>
        <w:tc>
          <w:tcPr>
            <w:tcW w:w="85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60</w:t>
            </w:r>
          </w:p>
        </w:tc>
        <w:tc>
          <w:tcPr>
            <w:tcW w:w="958" w:type="dxa"/>
            <w:tcBorders>
              <w:top w:val="nil"/>
              <w:left w:val="nil"/>
              <w:bottom w:val="single" w:color="auto" w:sz="4" w:space="0"/>
              <w:right w:val="single" w:color="auto" w:sz="4" w:space="0"/>
            </w:tcBorders>
            <w:vAlign w:val="center"/>
          </w:tcPr>
          <w:p>
            <w:pPr>
              <w:spacing w:line="240" w:lineRule="exact"/>
              <w:rPr>
                <w:rFonts w:ascii="仿宋_GB2312" w:hAnsi="Arial" w:eastAsia="仿宋_GB2312" w:cs="仿宋_GB2312"/>
                <w:kern w:val="0"/>
                <w:sz w:val="18"/>
                <w:szCs w:val="18"/>
              </w:rPr>
            </w:pPr>
            <w:r>
              <w:rPr>
                <w:rFonts w:hint="eastAsia" w:ascii="仿宋_GB2312" w:hAnsi="Arial" w:eastAsia="仿宋_GB2312" w:cs="仿宋_GB2312"/>
                <w:b/>
                <w:bCs/>
                <w:kern w:val="0"/>
                <w:sz w:val="18"/>
                <w:szCs w:val="18"/>
              </w:rPr>
              <w:t>85799.26</w:t>
            </w:r>
          </w:p>
        </w:tc>
      </w:tr>
    </w:tbl>
    <w:p>
      <w:pPr>
        <w:rPr>
          <w:rFonts w:ascii="仿宋_GB2312" w:hAnsi="宋体" w:eastAsia="仿宋_GB2312"/>
          <w:sz w:val="18"/>
          <w:szCs w:val="18"/>
        </w:rPr>
      </w:pPr>
      <w:r>
        <w:rPr>
          <w:rFonts w:hint="eastAsia" w:ascii="仿宋_GB2312" w:hAnsi="宋体" w:eastAsia="仿宋_GB2312"/>
          <w:sz w:val="18"/>
          <w:szCs w:val="18"/>
        </w:rPr>
        <w:t>注：1.本表反映部门本年度的总收支和年末结转结余情况。2.本套报表金额单位转换时可能存在尾数误差。</w:t>
      </w:r>
    </w:p>
    <w:p>
      <w:pPr>
        <w:rPr>
          <w:rFonts w:ascii="仿宋_GB2312" w:hAnsi="宋体" w:eastAsia="仿宋_GB2312"/>
          <w:sz w:val="18"/>
          <w:szCs w:val="18"/>
        </w:rPr>
        <w:sectPr>
          <w:pgSz w:w="11906" w:h="16838"/>
          <w:pgMar w:top="1701" w:right="1531" w:bottom="1701" w:left="1531" w:header="0" w:footer="1418" w:gutter="0"/>
          <w:cols w:space="720" w:num="1"/>
          <w:docGrid w:type="linesAndChars" w:linePitch="610" w:charSpace="-849"/>
        </w:sectPr>
      </w:pPr>
    </w:p>
    <w:p>
      <w:pPr>
        <w:jc w:val="center"/>
        <w:rPr>
          <w:rFonts w:ascii="方正小标宋简体" w:eastAsia="方正小标宋简体"/>
          <w:sz w:val="44"/>
          <w:szCs w:val="44"/>
        </w:rPr>
      </w:pPr>
      <w:r>
        <w:rPr>
          <w:rFonts w:hint="eastAsia" w:ascii="方正小标宋简体" w:eastAsia="方正小标宋简体"/>
          <w:sz w:val="44"/>
          <w:szCs w:val="44"/>
        </w:rPr>
        <w:t>收入决算表</w:t>
      </w:r>
    </w:p>
    <w:p>
      <w:pPr>
        <w:wordWrap w:val="0"/>
        <w:spacing w:line="400" w:lineRule="exact"/>
        <w:jc w:val="right"/>
        <w:rPr>
          <w:rFonts w:ascii="楷体_GB2312" w:eastAsia="楷体_GB2312"/>
          <w:sz w:val="28"/>
          <w:szCs w:val="28"/>
        </w:rPr>
      </w:pPr>
      <w:r>
        <w:rPr>
          <w:rFonts w:hint="eastAsia" w:ascii="楷体_GB2312" w:eastAsia="楷体_GB2312"/>
          <w:sz w:val="28"/>
          <w:szCs w:val="28"/>
        </w:rPr>
        <w:t xml:space="preserve"> 公开02表 </w:t>
      </w:r>
    </w:p>
    <w:p>
      <w:pPr>
        <w:tabs>
          <w:tab w:val="left" w:pos="13467"/>
        </w:tabs>
        <w:wordWrap w:val="0"/>
        <w:spacing w:line="400" w:lineRule="exact"/>
        <w:ind w:right="107"/>
        <w:jc w:val="right"/>
        <w:rPr>
          <w:rFonts w:ascii="楷体_GB2312" w:eastAsia="楷体_GB2312"/>
          <w:sz w:val="28"/>
          <w:szCs w:val="28"/>
        </w:rPr>
      </w:pPr>
      <w:r>
        <w:rPr>
          <w:rFonts w:hint="eastAsia" w:ascii="楷体_GB2312" w:eastAsia="楷体_GB2312"/>
          <w:sz w:val="28"/>
          <w:szCs w:val="28"/>
        </w:rPr>
        <w:t xml:space="preserve">部门：青岛市司法局                                               </w:t>
      </w:r>
      <w:r>
        <w:rPr>
          <w:rFonts w:ascii="楷体_GB2312" w:eastAsia="楷体_GB2312"/>
          <w:sz w:val="28"/>
          <w:szCs w:val="28"/>
        </w:rPr>
        <w:t xml:space="preserve">  </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金额单位：万元</w:t>
      </w:r>
    </w:p>
    <w:tbl>
      <w:tblPr>
        <w:tblStyle w:val="15"/>
        <w:tblW w:w="1398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27"/>
        <w:gridCol w:w="2455"/>
        <w:gridCol w:w="1560"/>
        <w:gridCol w:w="1662"/>
        <w:gridCol w:w="1353"/>
        <w:gridCol w:w="1256"/>
        <w:gridCol w:w="1355"/>
        <w:gridCol w:w="1509"/>
        <w:gridCol w:w="1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Header/>
        </w:trPr>
        <w:tc>
          <w:tcPr>
            <w:tcW w:w="3682" w:type="dxa"/>
            <w:gridSpan w:val="2"/>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项       目</w:t>
            </w:r>
          </w:p>
        </w:tc>
        <w:tc>
          <w:tcPr>
            <w:tcW w:w="156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本年收入合计</w:t>
            </w:r>
          </w:p>
        </w:tc>
        <w:tc>
          <w:tcPr>
            <w:tcW w:w="1662" w:type="dxa"/>
            <w:vMerge w:val="restart"/>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财政拨款收入</w:t>
            </w:r>
          </w:p>
        </w:tc>
        <w:tc>
          <w:tcPr>
            <w:tcW w:w="1353" w:type="dxa"/>
            <w:vMerge w:val="restart"/>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上级补助收入</w:t>
            </w:r>
          </w:p>
        </w:tc>
        <w:tc>
          <w:tcPr>
            <w:tcW w:w="1256" w:type="dxa"/>
            <w:vMerge w:val="restart"/>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事业收入</w:t>
            </w:r>
          </w:p>
        </w:tc>
        <w:tc>
          <w:tcPr>
            <w:tcW w:w="1355" w:type="dxa"/>
            <w:vMerge w:val="restart"/>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经营收入</w:t>
            </w:r>
          </w:p>
        </w:tc>
        <w:tc>
          <w:tcPr>
            <w:tcW w:w="1509" w:type="dxa"/>
            <w:tcBorders>
              <w:top w:val="single" w:color="auto" w:sz="4" w:space="0"/>
              <w:left w:val="nil"/>
              <w:bottom w:val="nil"/>
              <w:right w:val="single" w:color="auto"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附属单位    </w:t>
            </w:r>
          </w:p>
        </w:tc>
        <w:tc>
          <w:tcPr>
            <w:tcW w:w="1611" w:type="dxa"/>
            <w:vMerge w:val="restart"/>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blHeader/>
        </w:trPr>
        <w:tc>
          <w:tcPr>
            <w:tcW w:w="1227"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功能分类</w:t>
            </w:r>
            <w:r>
              <w:rPr>
                <w:rFonts w:hint="eastAsia" w:ascii="仿宋_GB2312" w:hAnsi="宋体" w:eastAsia="仿宋_GB2312" w:cs="宋体"/>
                <w:kern w:val="0"/>
                <w:sz w:val="22"/>
                <w:szCs w:val="22"/>
              </w:rPr>
              <w:br/>
            </w:r>
            <w:r>
              <w:rPr>
                <w:rFonts w:hint="eastAsia" w:ascii="仿宋_GB2312" w:hAnsi="宋体" w:eastAsia="仿宋_GB2312" w:cs="宋体"/>
                <w:kern w:val="0"/>
                <w:sz w:val="22"/>
                <w:szCs w:val="22"/>
              </w:rPr>
              <w:t>科目编码</w:t>
            </w:r>
          </w:p>
        </w:tc>
        <w:tc>
          <w:tcPr>
            <w:tcW w:w="2455" w:type="dxa"/>
            <w:tcBorders>
              <w:top w:val="nil"/>
              <w:left w:val="nil"/>
              <w:bottom w:val="single" w:color="auto" w:sz="4" w:space="0"/>
              <w:right w:val="single" w:color="auto"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科目名称</w:t>
            </w:r>
          </w:p>
        </w:tc>
        <w:tc>
          <w:tcPr>
            <w:tcW w:w="156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p>
        </w:tc>
        <w:tc>
          <w:tcPr>
            <w:tcW w:w="1662" w:type="dxa"/>
            <w:vMerge w:val="continue"/>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p>
        </w:tc>
        <w:tc>
          <w:tcPr>
            <w:tcW w:w="1353" w:type="dxa"/>
            <w:vMerge w:val="continue"/>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p>
        </w:tc>
        <w:tc>
          <w:tcPr>
            <w:tcW w:w="1256" w:type="dxa"/>
            <w:vMerge w:val="continue"/>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p>
        </w:tc>
        <w:tc>
          <w:tcPr>
            <w:tcW w:w="1355" w:type="dxa"/>
            <w:vMerge w:val="continue"/>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p>
        </w:tc>
        <w:tc>
          <w:tcPr>
            <w:tcW w:w="1509" w:type="dxa"/>
            <w:tcBorders>
              <w:top w:val="nil"/>
              <w:left w:val="nil"/>
              <w:bottom w:val="nil"/>
              <w:right w:val="single" w:color="auto"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上缴收入</w:t>
            </w:r>
          </w:p>
        </w:tc>
        <w:tc>
          <w:tcPr>
            <w:tcW w:w="1611" w:type="dxa"/>
            <w:vMerge w:val="continue"/>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Header/>
        </w:trPr>
        <w:tc>
          <w:tcPr>
            <w:tcW w:w="3682" w:type="dxa"/>
            <w:gridSpan w:val="2"/>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栏 次</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3</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4</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w:t>
            </w:r>
          </w:p>
        </w:tc>
        <w:tc>
          <w:tcPr>
            <w:tcW w:w="150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6</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682" w:type="dxa"/>
            <w:gridSpan w:val="2"/>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合 计</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85489.6</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81950.47</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3539.14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201</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一般公共服务支出</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189.49</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189.49</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20103</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政府办公厅（室）及相关机构事务</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167.46</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167.46</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2010350</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事业运行</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167.46</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167.46</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20132</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组织事务</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22.03</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22.03</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2013299</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其他组织事务支出</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22.03</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22.03</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公共安全支出</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76817.9</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73278.77</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3539.14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20406</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司法</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5698.05</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5694.44</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2040601</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行政运行</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4178.52</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4174.98</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2040602</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一般行政管理事务</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902.04</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902.04</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2040607</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公共法律服务</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250.14</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250.14</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2040650</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事业运行</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367.35</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367.28</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20407</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监狱</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59859.11</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56323.95</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3535.17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20408</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强制隔离戒毒</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11260.74</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11260.38</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207</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文化旅游体育与传媒支出</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478.06</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478.06</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20702</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文物</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478.06</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478.06</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2070204</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文物保护</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413</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413</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2070299</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其他文物支出</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65.06</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65.06</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208</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社会保障和就业支出</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4902.15</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4902.15</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20805</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行政事业单位养老支出</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4901.85</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4901.85</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2080505</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机关事业单位基本养老保险缴费支出</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3267.9</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3267.9</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2080506</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机关事业单位职业年金缴费支出</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1633.95</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1633.95</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20808</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抚恤</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0.3</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0.3</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2080899</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其他优抚支出</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0.3</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0.3</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210</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卫生健康支出</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50</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50</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21099</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其他卫生健康支出</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50</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50</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2109999</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其他卫生健康支出</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50</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50</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221</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住房保障支出</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2985.4</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2985.4</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22102</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住房改革支出</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2985.4</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2985.4</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2210201</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住房公积金</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2985.4</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2985.4</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229</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其他支出</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66.6</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66.6</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22999</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其他支出</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66.6</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66.6</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2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2299999</w:t>
            </w:r>
          </w:p>
        </w:tc>
        <w:tc>
          <w:tcPr>
            <w:tcW w:w="2455"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其他支出</w:t>
            </w:r>
          </w:p>
        </w:tc>
        <w:tc>
          <w:tcPr>
            <w:tcW w:w="156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66.6</w:t>
            </w:r>
          </w:p>
        </w:tc>
        <w:tc>
          <w:tcPr>
            <w:tcW w:w="166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66.6</w:t>
            </w:r>
          </w:p>
        </w:tc>
        <w:tc>
          <w:tcPr>
            <w:tcW w:w="135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5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0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61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bl>
    <w:p>
      <w:pPr>
        <w:rPr>
          <w:rFonts w:ascii="仿宋_GB2312" w:hAnsi="宋体" w:eastAsia="仿宋_GB2312"/>
          <w:sz w:val="22"/>
          <w:szCs w:val="22"/>
        </w:rPr>
      </w:pPr>
      <w:r>
        <w:rPr>
          <w:rFonts w:hint="eastAsia" w:ascii="仿宋_GB2312" w:hAnsi="宋体" w:eastAsia="仿宋_GB2312"/>
          <w:sz w:val="22"/>
          <w:szCs w:val="22"/>
        </w:rPr>
        <w:t>注：本表反映部门本年度取得的各项收入情况。</w:t>
      </w:r>
    </w:p>
    <w:p>
      <w:pPr>
        <w:jc w:val="center"/>
        <w:rPr>
          <w:rFonts w:ascii="方正小标宋简体" w:eastAsia="方正小标宋简体"/>
          <w:sz w:val="44"/>
          <w:szCs w:val="44"/>
        </w:rPr>
        <w:sectPr>
          <w:pgSz w:w="16838" w:h="11906" w:orient="landscape"/>
          <w:pgMar w:top="1531" w:right="1701" w:bottom="1531" w:left="1701" w:header="0" w:footer="1418" w:gutter="0"/>
          <w:cols w:space="720" w:num="1"/>
          <w:docGrid w:type="linesAndChars" w:linePitch="610" w:charSpace="-849"/>
        </w:sectPr>
      </w:pPr>
    </w:p>
    <w:p>
      <w:pPr>
        <w:jc w:val="center"/>
        <w:rPr>
          <w:rFonts w:ascii="方正小标宋简体" w:eastAsia="方正小标宋简体"/>
          <w:sz w:val="44"/>
          <w:szCs w:val="44"/>
        </w:rPr>
      </w:pPr>
      <w:r>
        <w:rPr>
          <w:rFonts w:hint="eastAsia" w:ascii="方正小标宋简体" w:eastAsia="方正小标宋简体"/>
          <w:sz w:val="44"/>
          <w:szCs w:val="44"/>
        </w:rPr>
        <w:t>支出决算表</w:t>
      </w:r>
    </w:p>
    <w:p>
      <w:pPr>
        <w:spacing w:line="400" w:lineRule="exact"/>
        <w:jc w:val="right"/>
        <w:rPr>
          <w:rFonts w:ascii="楷体_GB2312" w:eastAsia="楷体_GB2312"/>
          <w:sz w:val="28"/>
          <w:szCs w:val="28"/>
        </w:rPr>
      </w:pPr>
      <w:r>
        <w:rPr>
          <w:rFonts w:hint="eastAsia" w:ascii="楷体_GB2312" w:eastAsia="楷体_GB2312"/>
          <w:sz w:val="28"/>
          <w:szCs w:val="28"/>
        </w:rPr>
        <w:t xml:space="preserve">                                                                                   公开03表</w:t>
      </w:r>
    </w:p>
    <w:p>
      <w:pPr>
        <w:wordWrap w:val="0"/>
        <w:spacing w:line="400" w:lineRule="exact"/>
        <w:ind w:firstLine="138" w:firstLineChars="50"/>
        <w:jc w:val="right"/>
        <w:rPr>
          <w:rFonts w:ascii="楷体_GB2312" w:eastAsia="楷体_GB2312"/>
          <w:sz w:val="28"/>
          <w:szCs w:val="28"/>
        </w:rPr>
      </w:pPr>
      <w:r>
        <w:rPr>
          <w:rFonts w:hint="eastAsia" w:ascii="楷体_GB2312" w:eastAsia="楷体_GB2312"/>
          <w:sz w:val="28"/>
          <w:szCs w:val="28"/>
        </w:rPr>
        <w:t xml:space="preserve"> 部门：青岛市司法局                                                               金额单位：万元</w:t>
      </w:r>
    </w:p>
    <w:tbl>
      <w:tblPr>
        <w:tblStyle w:val="15"/>
        <w:tblW w:w="1346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4"/>
        <w:gridCol w:w="3472"/>
        <w:gridCol w:w="1455"/>
        <w:gridCol w:w="1485"/>
        <w:gridCol w:w="1425"/>
        <w:gridCol w:w="1365"/>
        <w:gridCol w:w="1237"/>
        <w:gridCol w:w="1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atLeast"/>
          <w:tblHeader/>
        </w:trPr>
        <w:tc>
          <w:tcPr>
            <w:tcW w:w="522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r>
              <w:rPr>
                <w:rFonts w:hint="eastAsia" w:ascii="仿宋_GB2312" w:hAnsi="宋体" w:eastAsia="仿宋_GB2312" w:cs="宋体"/>
                <w:kern w:val="0"/>
                <w:sz w:val="22"/>
                <w:szCs w:val="22"/>
              </w:rPr>
              <w:t>项       目</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r>
              <w:rPr>
                <w:rFonts w:hint="eastAsia" w:ascii="仿宋_GB2312" w:hAnsi="宋体" w:eastAsia="仿宋_GB2312" w:cs="宋体"/>
                <w:kern w:val="0"/>
                <w:sz w:val="22"/>
                <w:szCs w:val="22"/>
              </w:rPr>
              <w:t>本年支出合计</w:t>
            </w:r>
          </w:p>
        </w:tc>
        <w:tc>
          <w:tcPr>
            <w:tcW w:w="14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r>
              <w:rPr>
                <w:rFonts w:hint="eastAsia" w:ascii="仿宋_GB2312" w:hAnsi="宋体" w:eastAsia="仿宋_GB2312" w:cs="宋体"/>
                <w:kern w:val="0"/>
                <w:sz w:val="22"/>
                <w:szCs w:val="22"/>
              </w:rPr>
              <w:t>基本支出</w:t>
            </w:r>
          </w:p>
        </w:tc>
        <w:tc>
          <w:tcPr>
            <w:tcW w:w="14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r>
              <w:rPr>
                <w:rFonts w:hint="eastAsia" w:ascii="仿宋_GB2312" w:hAnsi="宋体" w:eastAsia="仿宋_GB2312" w:cs="宋体"/>
                <w:kern w:val="0"/>
                <w:sz w:val="22"/>
                <w:szCs w:val="22"/>
              </w:rPr>
              <w:t>项目支出</w:t>
            </w:r>
          </w:p>
        </w:tc>
        <w:tc>
          <w:tcPr>
            <w:tcW w:w="13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r>
              <w:rPr>
                <w:rFonts w:hint="eastAsia" w:ascii="仿宋_GB2312" w:hAnsi="宋体" w:eastAsia="仿宋_GB2312" w:cs="宋体"/>
                <w:kern w:val="0"/>
                <w:sz w:val="22"/>
                <w:szCs w:val="22"/>
              </w:rPr>
              <w:t>上缴上级支出</w:t>
            </w:r>
          </w:p>
        </w:tc>
        <w:tc>
          <w:tcPr>
            <w:tcW w:w="123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r>
              <w:rPr>
                <w:rFonts w:hint="eastAsia" w:ascii="仿宋_GB2312" w:hAnsi="宋体" w:eastAsia="仿宋_GB2312" w:cs="宋体"/>
                <w:kern w:val="0"/>
                <w:sz w:val="22"/>
                <w:szCs w:val="22"/>
              </w:rPr>
              <w:t xml:space="preserve">经营支出    </w:t>
            </w:r>
          </w:p>
        </w:tc>
        <w:tc>
          <w:tcPr>
            <w:tcW w:w="127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对附属单位</w:t>
            </w:r>
          </w:p>
          <w:p>
            <w:pPr>
              <w:widowControl/>
              <w:spacing w:line="300" w:lineRule="exact"/>
              <w:jc w:val="center"/>
              <w:rPr>
                <w:rFonts w:ascii="仿宋_GB2312" w:hAnsi="Arial" w:eastAsia="仿宋_GB2312" w:cs="仿宋_GB2312"/>
                <w:sz w:val="22"/>
                <w:szCs w:val="22"/>
              </w:rPr>
            </w:pPr>
            <w:r>
              <w:rPr>
                <w:rFonts w:hint="eastAsia" w:ascii="仿宋_GB2312" w:hAnsi="宋体" w:eastAsia="仿宋_GB2312" w:cs="宋体"/>
                <w:kern w:val="0"/>
                <w:sz w:val="22"/>
                <w:szCs w:val="22"/>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Header/>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功能分类</w:t>
            </w:r>
          </w:p>
          <w:p>
            <w:pPr>
              <w:widowControl/>
              <w:spacing w:line="300" w:lineRule="exact"/>
              <w:jc w:val="center"/>
              <w:rPr>
                <w:rFonts w:ascii="仿宋_GB2312" w:hAnsi="Arial" w:eastAsia="仿宋_GB2312" w:cs="仿宋_GB2312"/>
                <w:sz w:val="22"/>
                <w:szCs w:val="22"/>
              </w:rPr>
            </w:pPr>
            <w:r>
              <w:rPr>
                <w:rFonts w:hint="eastAsia" w:ascii="仿宋_GB2312" w:hAnsi="宋体" w:eastAsia="仿宋_GB2312" w:cs="宋体"/>
                <w:kern w:val="0"/>
                <w:sz w:val="22"/>
                <w:szCs w:val="22"/>
              </w:rPr>
              <w:t>科目编码</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r>
              <w:rPr>
                <w:rFonts w:hint="eastAsia" w:ascii="仿宋_GB2312" w:hAnsi="宋体" w:eastAsia="仿宋_GB2312" w:cs="宋体"/>
                <w:kern w:val="0"/>
                <w:sz w:val="22"/>
                <w:szCs w:val="22"/>
              </w:rPr>
              <w:t>科目名称</w:t>
            </w:r>
          </w:p>
        </w:tc>
        <w:tc>
          <w:tcPr>
            <w:tcW w:w="14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p>
        </w:tc>
        <w:tc>
          <w:tcPr>
            <w:tcW w:w="14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p>
        </w:tc>
        <w:tc>
          <w:tcPr>
            <w:tcW w:w="14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p>
        </w:tc>
        <w:tc>
          <w:tcPr>
            <w:tcW w:w="13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p>
        </w:tc>
        <w:tc>
          <w:tcPr>
            <w:tcW w:w="123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p>
        </w:tc>
        <w:tc>
          <w:tcPr>
            <w:tcW w:w="127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Header/>
        </w:trPr>
        <w:tc>
          <w:tcPr>
            <w:tcW w:w="522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r>
              <w:rPr>
                <w:rFonts w:hint="eastAsia" w:ascii="仿宋_GB2312" w:hAnsi="宋体" w:eastAsia="仿宋_GB2312" w:cs="宋体"/>
                <w:kern w:val="0"/>
                <w:sz w:val="22"/>
                <w:szCs w:val="22"/>
              </w:rPr>
              <w:t>栏  次</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r>
              <w:rPr>
                <w:rFonts w:hint="eastAsia" w:ascii="仿宋_GB2312" w:hAnsi="宋体" w:eastAsia="仿宋_GB2312" w:cs="宋体"/>
                <w:kern w:val="0"/>
                <w:sz w:val="22"/>
                <w:szCs w:val="22"/>
              </w:rPr>
              <w:t>1</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r>
              <w:rPr>
                <w:rFonts w:hint="eastAsia" w:ascii="仿宋_GB2312" w:hAnsi="宋体" w:eastAsia="仿宋_GB2312" w:cs="宋体"/>
                <w:kern w:val="0"/>
                <w:sz w:val="22"/>
                <w:szCs w:val="22"/>
              </w:rPr>
              <w:t>2</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r>
              <w:rPr>
                <w:rFonts w:hint="eastAsia" w:ascii="仿宋_GB2312" w:hAnsi="宋体" w:eastAsia="仿宋_GB2312" w:cs="宋体"/>
                <w:kern w:val="0"/>
                <w:sz w:val="22"/>
                <w:szCs w:val="22"/>
              </w:rPr>
              <w:t>3</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r>
              <w:rPr>
                <w:rFonts w:hint="eastAsia" w:ascii="仿宋_GB2312" w:hAnsi="宋体" w:eastAsia="仿宋_GB2312" w:cs="宋体"/>
                <w:kern w:val="0"/>
                <w:sz w:val="22"/>
                <w:szCs w:val="22"/>
              </w:rPr>
              <w:t>4</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r>
              <w:rPr>
                <w:rFonts w:hint="eastAsia" w:ascii="仿宋_GB2312" w:hAnsi="宋体" w:eastAsia="仿宋_GB2312" w:cs="宋体"/>
                <w:kern w:val="0"/>
                <w:sz w:val="22"/>
                <w:szCs w:val="22"/>
              </w:rPr>
              <w:t>5</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r>
              <w:rPr>
                <w:rFonts w:hint="eastAsia" w:ascii="仿宋_GB2312" w:hAnsi="宋体" w:eastAsia="仿宋_GB2312" w:cs="宋体"/>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0" w:hRule="atLeast"/>
        </w:trPr>
        <w:tc>
          <w:tcPr>
            <w:tcW w:w="522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合  计</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85046.59</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72400.03</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12646.56</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b/>
                <w:bCs/>
                <w:kern w:val="0"/>
                <w:sz w:val="22"/>
                <w:szCs w:val="22"/>
              </w:rPr>
            </w:pP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b/>
                <w:bCs/>
                <w:kern w:val="0"/>
                <w:sz w:val="22"/>
                <w:szCs w:val="22"/>
              </w:rPr>
            </w:pP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b/>
                <w:bCs/>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201</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一般公共服务支出</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189.49</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167.46</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22.03</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20103</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政府办公厅（室）及相关机构事务</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167.46</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167.46</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2010350</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事业运行</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167.46</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167.46</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20132</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组织事务</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22.03</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22.03</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2013299</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其他组织事务支出</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22.03</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22.03</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公共安全支出</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76381.01</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64345.32</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12035.69</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20406</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司法</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5694.45</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4542.27</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1152.18</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2040601</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行政运行</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4174.98</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4174.98</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2040602</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一般行政管理事务</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902.04</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902.04</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2040607</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公共法律服务</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250.14</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250.14</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2040650</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事业运行</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367.29</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367.29</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20407</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监狱</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59426.14</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52876.84</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6549.3</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20408</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强制隔离戒毒</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11260.42</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6926.21</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4334.21</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207</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文化旅游体育与传媒支出</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478.06</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478.06</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20702</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文物</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478.06</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478.06</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2070204</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文物保护</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413</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413</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2070299</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其他文物支出</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65.06</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65.06</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208</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社会保障和就业支出</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4902.15</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4901.85</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0.3</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20805</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行政事业单位养老支出</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4901.85</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4901.85</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2080505</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机关事业单位基本养老保险缴费支出</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3267.9</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3267.9</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2080506</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机关事业单位职业年金缴费支出</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1633.95</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1633.95</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20808</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抚恤</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0.3</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0.3</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2080899</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其他优抚支出</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0.3</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0.3</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210</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卫生健康支出</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50</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50</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21099</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其他卫生健康支出</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50</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50</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2109999</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其他卫生健康支出</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50</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50</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221</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住房保障支出</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2985.4</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2985.4</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22102</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住房改革支出</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2985.4</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2985.4</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2210201</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住房公积金</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2985.4</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2985.4</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229</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其他支出</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60.48</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60.48</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22999</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其他支出</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60.48</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60.48</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75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2299999</w:t>
            </w:r>
          </w:p>
        </w:tc>
        <w:tc>
          <w:tcPr>
            <w:tcW w:w="34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其他支出</w:t>
            </w:r>
          </w:p>
        </w:tc>
        <w:tc>
          <w:tcPr>
            <w:tcW w:w="14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60.48</w:t>
            </w:r>
          </w:p>
        </w:tc>
        <w:tc>
          <w:tcPr>
            <w:tcW w:w="14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2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60.48</w:t>
            </w:r>
          </w:p>
        </w:tc>
        <w:tc>
          <w:tcPr>
            <w:tcW w:w="136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3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bl>
    <w:p>
      <w:pPr>
        <w:rPr>
          <w:rFonts w:ascii="仿宋_GB2312" w:hAnsi="宋体" w:eastAsia="仿宋_GB2312"/>
          <w:sz w:val="22"/>
          <w:szCs w:val="22"/>
        </w:rPr>
      </w:pPr>
      <w:r>
        <w:rPr>
          <w:rFonts w:hint="eastAsia" w:ascii="仿宋_GB2312" w:hAnsi="宋体" w:eastAsia="仿宋_GB2312"/>
          <w:sz w:val="22"/>
          <w:szCs w:val="22"/>
        </w:rPr>
        <w:t xml:space="preserve"> 注：本表反映部门本年度各项支出情况。</w:t>
      </w:r>
    </w:p>
    <w:p>
      <w:pPr>
        <w:jc w:val="center"/>
        <w:rPr>
          <w:rFonts w:ascii="方正小标宋简体" w:eastAsia="方正小标宋简体"/>
          <w:sz w:val="44"/>
          <w:szCs w:val="44"/>
        </w:rPr>
        <w:sectPr>
          <w:pgSz w:w="16838" w:h="11906" w:orient="landscape"/>
          <w:pgMar w:top="1531" w:right="1701" w:bottom="1531" w:left="1701" w:header="0" w:footer="1418" w:gutter="0"/>
          <w:cols w:space="720" w:num="1"/>
          <w:docGrid w:type="linesAndChars" w:linePitch="610" w:charSpace="-849"/>
        </w:sectPr>
      </w:pPr>
    </w:p>
    <w:p>
      <w:pPr>
        <w:jc w:val="center"/>
        <w:rPr>
          <w:rFonts w:ascii="方正小标宋简体" w:eastAsia="方正小标宋简体"/>
          <w:sz w:val="44"/>
          <w:szCs w:val="44"/>
        </w:rPr>
      </w:pPr>
      <w:r>
        <w:rPr>
          <w:rFonts w:hint="eastAsia" w:ascii="方正小标宋简体" w:eastAsia="方正小标宋简体"/>
          <w:sz w:val="44"/>
          <w:szCs w:val="44"/>
        </w:rPr>
        <w:t>财政拨款收入支出决算总表</w:t>
      </w:r>
    </w:p>
    <w:p>
      <w:pPr>
        <w:spacing w:line="400" w:lineRule="exact"/>
        <w:jc w:val="right"/>
        <w:rPr>
          <w:rFonts w:ascii="楷体_GB2312" w:eastAsia="楷体_GB2312"/>
          <w:sz w:val="28"/>
          <w:szCs w:val="28"/>
        </w:rPr>
      </w:pPr>
      <w:r>
        <w:rPr>
          <w:rFonts w:hint="eastAsia" w:ascii="楷体_GB2312" w:eastAsia="楷体_GB2312"/>
          <w:sz w:val="28"/>
          <w:szCs w:val="28"/>
        </w:rPr>
        <w:t xml:space="preserve">     公开04表</w:t>
      </w:r>
    </w:p>
    <w:p>
      <w:pPr>
        <w:spacing w:line="400" w:lineRule="exact"/>
        <w:jc w:val="right"/>
        <w:rPr>
          <w:rFonts w:ascii="楷体_GB2312" w:eastAsia="楷体_GB2312"/>
          <w:sz w:val="28"/>
          <w:szCs w:val="28"/>
        </w:rPr>
      </w:pPr>
      <w:r>
        <w:rPr>
          <w:rFonts w:hint="eastAsia" w:ascii="楷体_GB2312" w:eastAsia="楷体_GB2312"/>
          <w:sz w:val="28"/>
          <w:szCs w:val="28"/>
        </w:rPr>
        <w:t>部门：青岛市司法局                                                                 金额单位：万元</w:t>
      </w:r>
    </w:p>
    <w:tbl>
      <w:tblPr>
        <w:tblStyle w:val="15"/>
        <w:tblW w:w="1346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01"/>
        <w:gridCol w:w="894"/>
        <w:gridCol w:w="1155"/>
        <w:gridCol w:w="2999"/>
        <w:gridCol w:w="894"/>
        <w:gridCol w:w="933"/>
        <w:gridCol w:w="1283"/>
        <w:gridCol w:w="1322"/>
        <w:gridCol w:w="1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Header/>
        </w:trPr>
        <w:tc>
          <w:tcPr>
            <w:tcW w:w="475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收 入</w:t>
            </w:r>
          </w:p>
        </w:tc>
        <w:tc>
          <w:tcPr>
            <w:tcW w:w="8716" w:type="dxa"/>
            <w:gridSpan w:val="6"/>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tblHeader/>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   目</w:t>
            </w:r>
          </w:p>
        </w:tc>
        <w:tc>
          <w:tcPr>
            <w:tcW w:w="89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行次</w:t>
            </w:r>
          </w:p>
        </w:tc>
        <w:tc>
          <w:tcPr>
            <w:tcW w:w="1155"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金额</w:t>
            </w:r>
          </w:p>
        </w:tc>
        <w:tc>
          <w:tcPr>
            <w:tcW w:w="2999"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    目</w:t>
            </w:r>
          </w:p>
        </w:tc>
        <w:tc>
          <w:tcPr>
            <w:tcW w:w="89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行次</w:t>
            </w:r>
          </w:p>
        </w:tc>
        <w:tc>
          <w:tcPr>
            <w:tcW w:w="933"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合计</w:t>
            </w:r>
          </w:p>
        </w:tc>
        <w:tc>
          <w:tcPr>
            <w:tcW w:w="12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一般公共预算</w:t>
            </w:r>
          </w:p>
          <w:p>
            <w:pPr>
              <w:widowControl/>
              <w:spacing w:line="300" w:lineRule="exact"/>
              <w:jc w:val="center"/>
              <w:rPr>
                <w:rFonts w:ascii="仿宋_GB2312" w:hAnsi="Arial" w:eastAsia="仿宋_GB2312" w:cs="仿宋_GB2312"/>
                <w:sz w:val="20"/>
                <w:szCs w:val="20"/>
              </w:rPr>
            </w:pPr>
            <w:r>
              <w:rPr>
                <w:rFonts w:hint="eastAsia" w:ascii="仿宋_GB2312" w:hAnsi="宋体" w:eastAsia="仿宋_GB2312" w:cs="宋体"/>
                <w:kern w:val="0"/>
                <w:sz w:val="20"/>
                <w:szCs w:val="20"/>
              </w:rPr>
              <w:t>财政拨款</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政府性基金</w:t>
            </w:r>
          </w:p>
          <w:p>
            <w:pPr>
              <w:widowControl/>
              <w:spacing w:line="300" w:lineRule="exact"/>
              <w:jc w:val="center"/>
              <w:rPr>
                <w:rFonts w:ascii="仿宋_GB2312" w:hAnsi="Arial" w:eastAsia="仿宋_GB2312" w:cs="仿宋_GB2312"/>
                <w:sz w:val="20"/>
                <w:szCs w:val="20"/>
              </w:rPr>
            </w:pPr>
            <w:r>
              <w:rPr>
                <w:rFonts w:hint="eastAsia" w:ascii="仿宋_GB2312" w:hAnsi="宋体" w:eastAsia="仿宋_GB2312" w:cs="宋体"/>
                <w:kern w:val="0"/>
                <w:sz w:val="20"/>
                <w:szCs w:val="20"/>
              </w:rPr>
              <w:t>预算财政拨款</w:t>
            </w:r>
          </w:p>
        </w:tc>
        <w:tc>
          <w:tcPr>
            <w:tcW w:w="1285" w:type="dxa"/>
            <w:tcBorders>
              <w:top w:val="nil"/>
              <w:left w:val="single" w:color="auto" w:sz="4" w:space="0"/>
              <w:bottom w:val="single" w:color="auto" w:sz="4" w:space="0"/>
              <w:right w:val="single" w:color="auto" w:sz="4" w:space="0"/>
            </w:tcBorders>
            <w:tcMar>
              <w:top w:w="15" w:type="dxa"/>
              <w:left w:w="15" w:type="dxa"/>
              <w:right w:w="15" w:type="dxa"/>
            </w:tcMar>
            <w:vAlign w:val="top"/>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Header/>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栏  次</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栏  次</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2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一、一般公共预算财政拨款</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81950.46</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一、一般公共服务支出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189.49</w:t>
            </w:r>
          </w:p>
        </w:tc>
        <w:tc>
          <w:tcPr>
            <w:tcW w:w="128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189.49</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二、政府性基金预算财政拨款</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二、外交支出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34</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三、国有资本经营预算财政拨款</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三、国防支出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35</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四、公共安全支出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36</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73278.76</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73278.76</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五、教育支出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37</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六、科学技术支出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38</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七、文化旅游体育与传媒支出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39</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478.06</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478.06</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八、社会保障和就业支出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40</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4902.15</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4902.15</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九、卫生健康支出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50</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50</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十、节能环保支出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42</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十一、城乡社区支出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43</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十二、农林水支出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44</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十三、交通运输支出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45</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十四、资源勘探工业信息等支出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46</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十五、商业服务业等支出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47</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十六、金融支出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48</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十七、援助其他地区支出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49</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十八、自然资源海洋气象等支出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50</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十九、住房保障支出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51</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2985.4</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2985.4</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二十、粮油物资储备支出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52</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二十一、国有资本经营预算支出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53</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二十二、灾害防治及应急管理支出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54</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二十三、其他支出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55</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60.48</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60.48</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二十四、债务还本支出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56</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二十五、债务付息支出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57</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二十六、抗疫特别国债安排的支出</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58</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b/>
                <w:bCs/>
                <w:kern w:val="0"/>
                <w:sz w:val="20"/>
                <w:szCs w:val="20"/>
              </w:rPr>
              <w:t>本年收入合计</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81950.46</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b/>
                <w:bCs/>
                <w:kern w:val="0"/>
                <w:sz w:val="20"/>
                <w:szCs w:val="20"/>
              </w:rPr>
              <w:t>本年支出合计</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59</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81944.34</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81944.34</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年初财政拨款结转和结余</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年末财政拨款结转和结余</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60</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6.12</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6.12</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一般公共预算财政拨款</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政府性基金预算财政拨款</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62</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国有资本经营预算财政拨款</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　</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63</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701"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b/>
                <w:bCs/>
                <w:kern w:val="0"/>
                <w:sz w:val="20"/>
                <w:szCs w:val="20"/>
              </w:rPr>
              <w:t>总计</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115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81950.46</w:t>
            </w:r>
          </w:p>
        </w:tc>
        <w:tc>
          <w:tcPr>
            <w:tcW w:w="2999"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b/>
                <w:bCs/>
                <w:kern w:val="0"/>
                <w:sz w:val="20"/>
                <w:szCs w:val="20"/>
              </w:rPr>
              <w:t>总计</w:t>
            </w:r>
          </w:p>
        </w:tc>
        <w:tc>
          <w:tcPr>
            <w:tcW w:w="89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64</w:t>
            </w: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81950.46</w:t>
            </w:r>
          </w:p>
        </w:tc>
        <w:tc>
          <w:tcPr>
            <w:tcW w:w="128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81950.46</w:t>
            </w:r>
          </w:p>
        </w:tc>
        <w:tc>
          <w:tcPr>
            <w:tcW w:w="132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tcMar>
              <w:top w:w="15" w:type="dxa"/>
              <w:left w:w="15" w:type="dxa"/>
              <w:right w:w="15" w:type="dxa"/>
            </w:tcMar>
            <w:vAlign w:val="top"/>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bl>
    <w:p>
      <w:pPr>
        <w:rPr>
          <w:rFonts w:ascii="仿宋_GB2312" w:hAnsi="宋体" w:eastAsia="仿宋_GB2312"/>
          <w:sz w:val="22"/>
          <w:szCs w:val="22"/>
        </w:rPr>
      </w:pPr>
    </w:p>
    <w:p>
      <w:pPr>
        <w:rPr>
          <w:rFonts w:ascii="仿宋_GB2312" w:hAnsi="宋体" w:eastAsia="仿宋_GB2312"/>
          <w:sz w:val="22"/>
          <w:szCs w:val="22"/>
        </w:rPr>
        <w:sectPr>
          <w:pgSz w:w="16838" w:h="11906" w:orient="landscape"/>
          <w:pgMar w:top="1531" w:right="1701" w:bottom="1531" w:left="1701" w:header="0" w:footer="1418" w:gutter="0"/>
          <w:cols w:space="720" w:num="1"/>
          <w:docGrid w:type="linesAndChars" w:linePitch="610" w:charSpace="-849"/>
        </w:sectPr>
      </w:pPr>
      <w:r>
        <w:rPr>
          <w:rFonts w:hint="eastAsia" w:ascii="仿宋_GB2312" w:hAnsi="宋体" w:eastAsia="仿宋_GB2312"/>
          <w:sz w:val="22"/>
          <w:szCs w:val="22"/>
        </w:rPr>
        <w:t>注：本表反映部门本年度一般公共预算财政拨款、政府性基金预算财政拨款和国有资本经营预算财政拨款的总收支和年末结转结余情况。</w:t>
      </w:r>
    </w:p>
    <w:p>
      <w:pPr>
        <w:jc w:val="center"/>
        <w:rPr>
          <w:rFonts w:ascii="方正小标宋简体" w:eastAsia="方正小标宋简体"/>
          <w:sz w:val="44"/>
          <w:szCs w:val="44"/>
        </w:rPr>
      </w:pPr>
      <w:r>
        <w:rPr>
          <w:rFonts w:hint="eastAsia" w:ascii="方正小标宋简体" w:eastAsia="方正小标宋简体"/>
          <w:sz w:val="44"/>
          <w:szCs w:val="44"/>
        </w:rPr>
        <w:t>一般公共预算财政拨款支出决算表</w:t>
      </w:r>
    </w:p>
    <w:p>
      <w:pPr>
        <w:spacing w:line="400" w:lineRule="exact"/>
        <w:jc w:val="right"/>
        <w:rPr>
          <w:rFonts w:ascii="楷体_GB2312" w:eastAsia="楷体_GB2312"/>
          <w:sz w:val="28"/>
          <w:szCs w:val="28"/>
        </w:rPr>
      </w:pPr>
      <w:r>
        <w:rPr>
          <w:rFonts w:hint="eastAsia" w:ascii="楷体_GB2312" w:eastAsia="楷体_GB2312"/>
          <w:sz w:val="28"/>
          <w:szCs w:val="28"/>
        </w:rPr>
        <w:t>公开05表</w:t>
      </w:r>
    </w:p>
    <w:p>
      <w:pPr>
        <w:wordWrap w:val="0"/>
        <w:spacing w:line="400" w:lineRule="exact"/>
        <w:ind w:firstLine="138" w:firstLineChars="50"/>
        <w:jc w:val="right"/>
        <w:rPr>
          <w:rFonts w:ascii="楷体_GB2312" w:eastAsia="楷体_GB2312"/>
          <w:sz w:val="28"/>
          <w:szCs w:val="28"/>
        </w:rPr>
      </w:pPr>
      <w:r>
        <w:rPr>
          <w:rFonts w:hint="eastAsia" w:ascii="楷体_GB2312" w:eastAsia="楷体_GB2312"/>
          <w:sz w:val="28"/>
          <w:szCs w:val="28"/>
        </w:rPr>
        <w:t xml:space="preserve">部门：青岛市司法局                                             </w:t>
      </w:r>
      <w:r>
        <w:rPr>
          <w:rFonts w:ascii="楷体_GB2312" w:eastAsia="楷体_GB2312"/>
          <w:sz w:val="28"/>
          <w:szCs w:val="28"/>
        </w:rPr>
        <w:t xml:space="preserve">  </w:t>
      </w:r>
      <w:r>
        <w:rPr>
          <w:rFonts w:hint="eastAsia" w:ascii="楷体_GB2312" w:eastAsia="楷体_GB2312"/>
          <w:sz w:val="28"/>
          <w:szCs w:val="28"/>
        </w:rPr>
        <w:t xml:space="preserve">                 金额单位：万元</w:t>
      </w:r>
    </w:p>
    <w:tbl>
      <w:tblPr>
        <w:tblStyle w:val="15"/>
        <w:tblW w:w="1346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57"/>
        <w:gridCol w:w="5154"/>
        <w:gridCol w:w="2251"/>
        <w:gridCol w:w="2252"/>
        <w:gridCol w:w="2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Header/>
        </w:trPr>
        <w:tc>
          <w:tcPr>
            <w:tcW w:w="671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r>
              <w:rPr>
                <w:rFonts w:hint="eastAsia" w:ascii="仿宋_GB2312" w:hAnsi="宋体" w:eastAsia="仿宋_GB2312" w:cs="宋体"/>
                <w:kern w:val="0"/>
                <w:sz w:val="22"/>
                <w:szCs w:val="22"/>
              </w:rPr>
              <w:t>项       目</w:t>
            </w:r>
          </w:p>
        </w:tc>
        <w:tc>
          <w:tcPr>
            <w:tcW w:w="6755" w:type="dxa"/>
            <w:gridSpan w:val="3"/>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r>
              <w:rPr>
                <w:rFonts w:hint="eastAsia" w:ascii="仿宋_GB2312" w:hAnsi="宋体" w:eastAsia="仿宋_GB2312" w:cs="宋体"/>
                <w:kern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blHeader/>
        </w:trPr>
        <w:tc>
          <w:tcPr>
            <w:tcW w:w="1557" w:type="dxa"/>
            <w:tcBorders>
              <w:top w:val="nil"/>
              <w:left w:val="single" w:color="auto" w:sz="4" w:space="0"/>
              <w:bottom w:val="nil"/>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功能分类</w:t>
            </w:r>
          </w:p>
          <w:p>
            <w:pPr>
              <w:widowControl/>
              <w:spacing w:line="300" w:lineRule="exact"/>
              <w:jc w:val="center"/>
              <w:rPr>
                <w:rFonts w:ascii="仿宋_GB2312" w:hAnsi="Arial" w:eastAsia="仿宋_GB2312" w:cs="仿宋_GB2312"/>
                <w:sz w:val="22"/>
                <w:szCs w:val="22"/>
              </w:rPr>
            </w:pPr>
            <w:r>
              <w:rPr>
                <w:rFonts w:hint="eastAsia" w:ascii="仿宋_GB2312" w:hAnsi="宋体" w:eastAsia="仿宋_GB2312" w:cs="宋体"/>
                <w:kern w:val="0"/>
                <w:sz w:val="22"/>
                <w:szCs w:val="22"/>
              </w:rPr>
              <w:t>科目编码</w:t>
            </w:r>
          </w:p>
        </w:tc>
        <w:tc>
          <w:tcPr>
            <w:tcW w:w="5154" w:type="dxa"/>
            <w:tcBorders>
              <w:top w:val="nil"/>
              <w:left w:val="nil"/>
              <w:bottom w:val="nil"/>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r>
              <w:rPr>
                <w:rFonts w:hint="eastAsia" w:ascii="仿宋_GB2312" w:hAnsi="宋体" w:eastAsia="仿宋_GB2312" w:cs="宋体"/>
                <w:kern w:val="0"/>
                <w:sz w:val="22"/>
                <w:szCs w:val="22"/>
              </w:rPr>
              <w:t>科目名称</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r>
              <w:rPr>
                <w:rFonts w:hint="eastAsia" w:ascii="仿宋_GB2312" w:hAnsi="宋体" w:eastAsia="仿宋_GB2312" w:cs="宋体"/>
                <w:kern w:val="0"/>
                <w:sz w:val="22"/>
                <w:szCs w:val="22"/>
              </w:rPr>
              <w:t>小计</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r>
              <w:rPr>
                <w:rFonts w:hint="eastAsia" w:ascii="仿宋_GB2312" w:hAnsi="宋体" w:eastAsia="仿宋_GB2312" w:cs="宋体"/>
                <w:kern w:val="0"/>
                <w:sz w:val="22"/>
                <w:szCs w:val="22"/>
              </w:rPr>
              <w:t>基本支出</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Arial" w:eastAsia="仿宋_GB2312" w:cs="仿宋_GB2312"/>
                <w:sz w:val="22"/>
                <w:szCs w:val="22"/>
              </w:rPr>
            </w:pPr>
            <w:r>
              <w:rPr>
                <w:rFonts w:hint="eastAsia" w:ascii="仿宋_GB2312" w:hAnsi="宋体" w:eastAsia="仿宋_GB2312" w:cs="宋体"/>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blHeader/>
        </w:trPr>
        <w:tc>
          <w:tcPr>
            <w:tcW w:w="6711" w:type="dxa"/>
            <w:gridSpan w:val="2"/>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栏  次</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711" w:type="dxa"/>
            <w:gridSpan w:val="2"/>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合  计</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81944.34</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72399.98</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9544.37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201</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一般公共服务支出</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189.49</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167.46</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20103</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政府办公厅（室）及相关机构事务</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167.46</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167.46</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2010350</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事业运行</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167.46</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167.46</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20132</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组织事务</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22.03</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2013299</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其他组织事务支出</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22.03</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公共安全支出</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73278.77</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64345.27</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8933.5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20406</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司法</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5694.44</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4542.26</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1152.18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2040601</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行政运行</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4174.98</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4174.98</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2040602</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一般行政管理事务</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902.04</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902.04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2040607</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公共法律服务</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250.14</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250.14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2040650</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事业运行</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367.28</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367.28</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20407</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监狱</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56323.95</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52876.84</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3447.11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20408</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强制隔离戒毒</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11260.38</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6926.17</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4334.21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207</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文化旅游体育与传媒支出</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478.06</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478.06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20702</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文物</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478.06</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478.06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2070204</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文物保护</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413</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2070299</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其他文物支出</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65.06</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208</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社会保障和就业支出</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4902.15</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4901.85</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20805</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行政事业单位养老支出</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4901.85</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4901.85</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2080505</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机关事业单位基本养老保险缴费支出</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3267.9</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3267.9</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2080506</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机关事业单位职业年金缴费支出</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1633.95</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1633.95</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20808</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抚恤</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0.3</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2080899</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其他优抚支出</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0.3</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210</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卫生健康支出</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50</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21099</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其他卫生健康支出</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50</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2109999</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其他卫生健康支出</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50</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221</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住房保障支出</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2985.4</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2985.4</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22102</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住房改革支出</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2985.4</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2985.4</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2210201</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住房公积金</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2985.4</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2985.4</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229</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其他支出</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60.48</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22999</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其他支出</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60.48</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5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2299999</w:t>
            </w:r>
          </w:p>
        </w:tc>
        <w:tc>
          <w:tcPr>
            <w:tcW w:w="515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其他支出</w:t>
            </w:r>
          </w:p>
        </w:tc>
        <w:tc>
          <w:tcPr>
            <w:tcW w:w="225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60.48</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5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60.48</w:t>
            </w:r>
          </w:p>
        </w:tc>
      </w:tr>
    </w:tbl>
    <w:p>
      <w:pPr>
        <w:spacing w:line="400" w:lineRule="exact"/>
        <w:jc w:val="left"/>
        <w:rPr>
          <w:rFonts w:ascii="仿宋_GB2312" w:hAnsi="宋体" w:eastAsia="仿宋_GB2312"/>
          <w:sz w:val="22"/>
          <w:szCs w:val="22"/>
        </w:rPr>
      </w:pPr>
    </w:p>
    <w:p>
      <w:pPr>
        <w:spacing w:line="400" w:lineRule="exact"/>
        <w:jc w:val="left"/>
        <w:rPr>
          <w:rFonts w:ascii="仿宋_GB2312" w:hAnsi="宋体" w:eastAsia="仿宋_GB2312"/>
          <w:sz w:val="22"/>
          <w:szCs w:val="22"/>
        </w:rPr>
      </w:pPr>
      <w:r>
        <w:rPr>
          <w:rFonts w:hint="eastAsia" w:ascii="仿宋_GB2312" w:hAnsi="宋体" w:eastAsia="仿宋_GB2312"/>
          <w:sz w:val="22"/>
          <w:szCs w:val="22"/>
        </w:rPr>
        <w:t>注：本表反映部门本年度一般公共预算财政拨款支出情况。</w:t>
      </w:r>
    </w:p>
    <w:p>
      <w:pPr>
        <w:spacing w:line="400" w:lineRule="exact"/>
        <w:jc w:val="left"/>
        <w:rPr>
          <w:rFonts w:ascii="仿宋_GB2312" w:hAnsi="宋体" w:eastAsia="仿宋_GB2312"/>
          <w:sz w:val="22"/>
          <w:szCs w:val="22"/>
        </w:rPr>
        <w:sectPr>
          <w:pgSz w:w="16838" w:h="11906" w:orient="landscape"/>
          <w:pgMar w:top="1531" w:right="1701" w:bottom="1531" w:left="1701" w:header="0" w:footer="1418" w:gutter="0"/>
          <w:cols w:space="720" w:num="1"/>
          <w:docGrid w:type="linesAndChars" w:linePitch="610" w:charSpace="-849"/>
        </w:sectPr>
      </w:pPr>
    </w:p>
    <w:p>
      <w:pPr>
        <w:jc w:val="center"/>
        <w:rPr>
          <w:rFonts w:ascii="方正小标宋简体" w:eastAsia="方正小标宋简体"/>
          <w:sz w:val="44"/>
          <w:szCs w:val="44"/>
        </w:rPr>
      </w:pPr>
      <w:r>
        <w:rPr>
          <w:rFonts w:hint="eastAsia" w:ascii="方正小标宋简体" w:eastAsia="方正小标宋简体"/>
          <w:sz w:val="44"/>
          <w:szCs w:val="44"/>
        </w:rPr>
        <w:t>一般公共预算财政拨款基本支出决算表</w:t>
      </w:r>
    </w:p>
    <w:p>
      <w:pPr>
        <w:spacing w:line="400" w:lineRule="exact"/>
        <w:jc w:val="right"/>
        <w:rPr>
          <w:rFonts w:ascii="楷体_GB2312" w:eastAsia="楷体_GB2312"/>
          <w:sz w:val="28"/>
          <w:szCs w:val="28"/>
        </w:rPr>
      </w:pPr>
      <w:r>
        <w:rPr>
          <w:rFonts w:hint="eastAsia" w:ascii="楷体_GB2312" w:eastAsia="楷体_GB2312"/>
          <w:sz w:val="28"/>
          <w:szCs w:val="28"/>
        </w:rPr>
        <w:t>公开06表</w:t>
      </w:r>
    </w:p>
    <w:p>
      <w:pPr>
        <w:spacing w:line="400" w:lineRule="exact"/>
        <w:ind w:firstLine="138" w:firstLineChars="50"/>
        <w:jc w:val="right"/>
        <w:rPr>
          <w:rFonts w:ascii="楷体_GB2312" w:eastAsia="楷体_GB2312"/>
          <w:sz w:val="28"/>
          <w:szCs w:val="28"/>
        </w:rPr>
      </w:pPr>
      <w:r>
        <w:rPr>
          <w:rFonts w:hint="eastAsia" w:ascii="楷体_GB2312" w:eastAsia="楷体_GB2312"/>
          <w:sz w:val="28"/>
          <w:szCs w:val="28"/>
        </w:rPr>
        <w:t xml:space="preserve">部门：青岛市司法局                                           </w:t>
      </w:r>
      <w:r>
        <w:rPr>
          <w:rFonts w:ascii="楷体_GB2312" w:eastAsia="楷体_GB2312"/>
          <w:sz w:val="28"/>
          <w:szCs w:val="28"/>
        </w:rPr>
        <w:t xml:space="preserve"> </w:t>
      </w:r>
      <w:r>
        <w:rPr>
          <w:rFonts w:hint="eastAsia" w:ascii="楷体_GB2312" w:eastAsia="楷体_GB2312"/>
          <w:sz w:val="28"/>
          <w:szCs w:val="28"/>
        </w:rPr>
        <w:t xml:space="preserve">                    金额单位：万元</w:t>
      </w:r>
    </w:p>
    <w:tbl>
      <w:tblPr>
        <w:tblStyle w:val="15"/>
        <w:tblW w:w="1346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17"/>
        <w:gridCol w:w="2930"/>
        <w:gridCol w:w="1043"/>
        <w:gridCol w:w="917"/>
        <w:gridCol w:w="2031"/>
        <w:gridCol w:w="917"/>
        <w:gridCol w:w="917"/>
        <w:gridCol w:w="2750"/>
        <w:gridCol w:w="1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blHeader/>
        </w:trPr>
        <w:tc>
          <w:tcPr>
            <w:tcW w:w="489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人员经费</w:t>
            </w:r>
          </w:p>
        </w:tc>
        <w:tc>
          <w:tcPr>
            <w:tcW w:w="8575" w:type="dxa"/>
            <w:gridSpan w:val="6"/>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Header/>
        </w:trPr>
        <w:tc>
          <w:tcPr>
            <w:tcW w:w="917"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科目编码</w:t>
            </w:r>
          </w:p>
        </w:tc>
        <w:tc>
          <w:tcPr>
            <w:tcW w:w="2930"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科目名称</w:t>
            </w:r>
          </w:p>
        </w:tc>
        <w:tc>
          <w:tcPr>
            <w:tcW w:w="104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金额</w:t>
            </w:r>
          </w:p>
        </w:tc>
        <w:tc>
          <w:tcPr>
            <w:tcW w:w="917"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科目编码</w:t>
            </w:r>
          </w:p>
        </w:tc>
        <w:tc>
          <w:tcPr>
            <w:tcW w:w="203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科目名称</w:t>
            </w:r>
          </w:p>
        </w:tc>
        <w:tc>
          <w:tcPr>
            <w:tcW w:w="917"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金额</w:t>
            </w:r>
          </w:p>
        </w:tc>
        <w:tc>
          <w:tcPr>
            <w:tcW w:w="917"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科目编码</w:t>
            </w:r>
          </w:p>
        </w:tc>
        <w:tc>
          <w:tcPr>
            <w:tcW w:w="2750"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科目名称</w:t>
            </w:r>
          </w:p>
        </w:tc>
        <w:tc>
          <w:tcPr>
            <w:tcW w:w="104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0" w:hRule="atLeast"/>
          <w:tblHeader/>
        </w:trPr>
        <w:tc>
          <w:tcPr>
            <w:tcW w:w="917"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Arial" w:eastAsia="仿宋_GB2312" w:cs="仿宋_GB2312"/>
                <w:color w:val="000000"/>
                <w:sz w:val="20"/>
                <w:szCs w:val="20"/>
              </w:rPr>
            </w:pPr>
          </w:p>
        </w:tc>
        <w:tc>
          <w:tcPr>
            <w:tcW w:w="293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Arial" w:eastAsia="仿宋_GB2312" w:cs="仿宋_GB2312"/>
                <w:color w:val="000000"/>
                <w:sz w:val="20"/>
                <w:szCs w:val="20"/>
              </w:rPr>
            </w:pPr>
          </w:p>
        </w:tc>
        <w:tc>
          <w:tcPr>
            <w:tcW w:w="104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Arial" w:eastAsia="仿宋_GB2312" w:cs="仿宋_GB2312"/>
                <w:color w:val="000000"/>
                <w:sz w:val="20"/>
                <w:szCs w:val="20"/>
              </w:rPr>
            </w:pPr>
          </w:p>
        </w:tc>
        <w:tc>
          <w:tcPr>
            <w:tcW w:w="917"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Arial" w:eastAsia="仿宋_GB2312" w:cs="仿宋_GB2312"/>
                <w:color w:val="000000"/>
                <w:sz w:val="20"/>
                <w:szCs w:val="20"/>
              </w:rPr>
            </w:pPr>
          </w:p>
        </w:tc>
        <w:tc>
          <w:tcPr>
            <w:tcW w:w="203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Arial" w:eastAsia="仿宋_GB2312" w:cs="仿宋_GB2312"/>
                <w:color w:val="000000"/>
                <w:sz w:val="20"/>
                <w:szCs w:val="20"/>
              </w:rPr>
            </w:pPr>
          </w:p>
        </w:tc>
        <w:tc>
          <w:tcPr>
            <w:tcW w:w="917"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Arial" w:eastAsia="仿宋_GB2312" w:cs="仿宋_GB2312"/>
                <w:color w:val="000000"/>
                <w:sz w:val="20"/>
                <w:szCs w:val="20"/>
              </w:rPr>
            </w:pPr>
          </w:p>
        </w:tc>
        <w:tc>
          <w:tcPr>
            <w:tcW w:w="917"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Arial" w:eastAsia="仿宋_GB2312" w:cs="仿宋_GB2312"/>
                <w:color w:val="000000"/>
                <w:sz w:val="20"/>
                <w:szCs w:val="20"/>
              </w:rPr>
            </w:pPr>
          </w:p>
        </w:tc>
        <w:tc>
          <w:tcPr>
            <w:tcW w:w="275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Arial" w:eastAsia="仿宋_GB2312" w:cs="仿宋_GB2312"/>
                <w:color w:val="000000"/>
                <w:sz w:val="20"/>
                <w:szCs w:val="20"/>
              </w:rPr>
            </w:pPr>
          </w:p>
        </w:tc>
        <w:tc>
          <w:tcPr>
            <w:tcW w:w="104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Arial" w:eastAsia="仿宋_GB2312" w:cs="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工资福利支出</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41341.58</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商品和服务支出</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25966.52</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债务利息及费用支出</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30101</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基本工资</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8298.29</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30201</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办公费</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123.09</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30701</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国内债务付息</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30102</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津贴补贴</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18433.04</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30202</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印刷费</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9.06</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30702</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国外债务付息</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30103</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奖金</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1993.61</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30203</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咨询费</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30703</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国内债务发行费用</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30106</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伙食补助费</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30204</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手续费</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0.35</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30704</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国外债务发行费用</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30107</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绩效工资</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60.82</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30205</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水费</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51.57</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资本性支出</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30108</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机关事业单位基本养老保险缴费</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3290.74</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30206</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电费</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254.6</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31001</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房屋建筑物购建</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30109</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职业年金缴费</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1633.95</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30207</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邮电费</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52.13</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31002</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办公设备购置</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30110</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职工基本医疗保险缴费</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2672.15</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30208</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取暖费</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664.24</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31003</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专用设备购置</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30111</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公务员医疗补助缴费</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30209</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物业管理费</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327.72</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31005</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基础设施建设</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30112</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其他社会保障缴费</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23.12</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30211</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差旅费</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109.41</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31006</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大型修缮</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30113</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住房公积金</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2985.4</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30212</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因公出国（境）费用</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31007</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信息网络及软件购置更新</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30114</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医疗费</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30213</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维修(护)费</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123.59</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31008</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物资储备</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30199</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其他工资福利支出</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1950.46</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30214</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租赁费</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0.48</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31009</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土地补偿</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对个人和家庭的补助</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4862.27</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30215</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会议费</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3.29</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31010</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安置补助</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30301</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离休费</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365.27</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30216</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培训费</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21.33</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31011</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地上附着物和青苗补偿</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30302</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退休费</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3457.72</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30217</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公务接待费</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9.46</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31012</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拆迁补偿</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30303</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退职（役）费</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15.82</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30218</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专用材料费</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31013</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公务用车购置</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30304</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抚恤金</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26.84</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30224</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被装购置费</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31019</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其他交通工具购置</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30305</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生活补助</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260.04</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30225</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专用燃料费</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31021</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文物和陈列品购置</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30306</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救济费</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30226</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劳务费</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5.22</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31022</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无形资产购置</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30307</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医疗费补助</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655.12</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30227</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委托业务费</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8.21</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31099</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其他资本性支出</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30308</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助学金</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30228</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工会经费</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247.23</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对企业补助</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30309</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奖励金</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30229</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福利费</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32.81</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31201</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资本金注入</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30310</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个人农业生产补贴</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30231</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公务用车运行维护费</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66.77</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31203</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政府投资基金股权投资</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30311</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代缴社会保险费</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30239</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其他交通费用</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1667.91</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31204</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费用补贴</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30399</w:t>
            </w: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其他对个人和家庭的补助</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81.45</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30240</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税金及附加费用</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31205</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利息补贴</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30299</w:t>
            </w: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其他商品和服务支出</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22188.03</w:t>
            </w: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31299</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其他对企业补助</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其他支出</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39906</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赠与</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39907</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国家赔偿费用支出</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39908</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对民间非营利组织和群众性自治组织补贴</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1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293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2031"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c>
          <w:tcPr>
            <w:tcW w:w="91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39999</w:t>
            </w:r>
          </w:p>
        </w:tc>
        <w:tc>
          <w:tcPr>
            <w:tcW w:w="275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其他支出</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84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人员经费合计</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46203.85</w:t>
            </w:r>
          </w:p>
        </w:tc>
        <w:tc>
          <w:tcPr>
            <w:tcW w:w="7532" w:type="dxa"/>
            <w:gridSpan w:val="5"/>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公用经费合计</w:t>
            </w:r>
          </w:p>
        </w:tc>
        <w:tc>
          <w:tcPr>
            <w:tcW w:w="104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26196.13</w:t>
            </w:r>
          </w:p>
        </w:tc>
      </w:tr>
    </w:tbl>
    <w:p>
      <w:pPr>
        <w:widowControl/>
        <w:spacing w:line="300" w:lineRule="exact"/>
        <w:rPr>
          <w:rFonts w:ascii="仿宋_GB2312" w:hAnsi="宋体" w:eastAsia="仿宋_GB2312" w:cs="宋体"/>
          <w:color w:val="000000"/>
          <w:kern w:val="0"/>
          <w:sz w:val="20"/>
          <w:szCs w:val="20"/>
        </w:rPr>
      </w:pPr>
    </w:p>
    <w:p>
      <w:pPr>
        <w:spacing w:line="400" w:lineRule="exact"/>
        <w:ind w:firstLine="108" w:firstLineChars="50"/>
        <w:jc w:val="left"/>
        <w:rPr>
          <w:rFonts w:ascii="仿宋_GB2312" w:hAnsi="宋体" w:eastAsia="仿宋_GB2312"/>
          <w:sz w:val="22"/>
          <w:szCs w:val="22"/>
        </w:rPr>
      </w:pPr>
      <w:r>
        <w:rPr>
          <w:rFonts w:hint="eastAsia" w:ascii="仿宋_GB2312" w:hAnsi="宋体" w:eastAsia="仿宋_GB2312"/>
          <w:sz w:val="22"/>
          <w:szCs w:val="22"/>
        </w:rPr>
        <w:t>注:本表反映部门本年度一般公共预算财政拨款基本支出明细情况。</w:t>
      </w:r>
    </w:p>
    <w:p>
      <w:pPr>
        <w:rPr>
          <w:rFonts w:ascii="仿宋_GB2312" w:hAnsi="宋体" w:eastAsia="仿宋_GB2312"/>
          <w:sz w:val="22"/>
          <w:szCs w:val="22"/>
        </w:rPr>
        <w:sectPr>
          <w:pgSz w:w="16838" w:h="11906" w:orient="landscape"/>
          <w:pgMar w:top="1531" w:right="1701" w:bottom="1531" w:left="1701" w:header="0" w:footer="1418" w:gutter="0"/>
          <w:cols w:space="720" w:num="1"/>
          <w:docGrid w:type="linesAndChars" w:linePitch="610" w:charSpace="-849"/>
        </w:sectPr>
      </w:pPr>
    </w:p>
    <w:p>
      <w:pPr>
        <w:jc w:val="center"/>
        <w:rPr>
          <w:rFonts w:ascii="方正小标宋简体" w:eastAsia="方正小标宋简体"/>
          <w:sz w:val="44"/>
          <w:szCs w:val="44"/>
        </w:rPr>
      </w:pPr>
      <w:r>
        <w:rPr>
          <w:rFonts w:hint="eastAsia" w:ascii="方正小标宋简体" w:eastAsia="方正小标宋简体"/>
          <w:sz w:val="44"/>
          <w:szCs w:val="44"/>
        </w:rPr>
        <w:t>一般公共预算财政拨款“三公”经费支出决算表</w:t>
      </w:r>
    </w:p>
    <w:p>
      <w:pPr>
        <w:wordWrap w:val="0"/>
        <w:spacing w:line="400" w:lineRule="exact"/>
        <w:jc w:val="right"/>
        <w:rPr>
          <w:rFonts w:ascii="楷体_GB2312" w:eastAsia="楷体_GB2312"/>
          <w:sz w:val="28"/>
          <w:szCs w:val="28"/>
        </w:rPr>
      </w:pPr>
      <w:r>
        <w:rPr>
          <w:rFonts w:hint="eastAsia" w:ascii="方正小标宋简体" w:eastAsia="方正小标宋简体"/>
          <w:sz w:val="44"/>
          <w:szCs w:val="44"/>
        </w:rPr>
        <w:t>　</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公开07表</w:t>
      </w:r>
    </w:p>
    <w:p>
      <w:pPr>
        <w:spacing w:line="400" w:lineRule="exact"/>
        <w:ind w:firstLine="138" w:firstLineChars="50"/>
        <w:jc w:val="right"/>
        <w:rPr>
          <w:rFonts w:ascii="楷体_GB2312" w:eastAsia="楷体_GB2312"/>
          <w:sz w:val="28"/>
          <w:szCs w:val="28"/>
        </w:rPr>
      </w:pPr>
      <w:r>
        <w:rPr>
          <w:rFonts w:hint="eastAsia" w:ascii="楷体_GB2312" w:eastAsia="楷体_GB2312"/>
          <w:sz w:val="28"/>
          <w:szCs w:val="28"/>
        </w:rPr>
        <w:t xml:space="preserve">部门：青岛市司法局                                              </w:t>
      </w:r>
      <w:r>
        <w:rPr>
          <w:rFonts w:ascii="楷体_GB2312" w:eastAsia="楷体_GB2312"/>
          <w:sz w:val="28"/>
          <w:szCs w:val="28"/>
        </w:rPr>
        <w:t xml:space="preserve"> </w:t>
      </w:r>
      <w:r>
        <w:rPr>
          <w:rFonts w:hint="eastAsia" w:ascii="楷体_GB2312" w:eastAsia="楷体_GB2312"/>
          <w:sz w:val="28"/>
          <w:szCs w:val="28"/>
        </w:rPr>
        <w:t xml:space="preserve">                 金额单位：万元</w:t>
      </w:r>
    </w:p>
    <w:tbl>
      <w:tblPr>
        <w:tblStyle w:val="15"/>
        <w:tblW w:w="132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79"/>
        <w:gridCol w:w="1195"/>
        <w:gridCol w:w="1180"/>
        <w:gridCol w:w="1180"/>
        <w:gridCol w:w="1272"/>
        <w:gridCol w:w="878"/>
        <w:gridCol w:w="1258"/>
        <w:gridCol w:w="983"/>
        <w:gridCol w:w="1147"/>
        <w:gridCol w:w="836"/>
        <w:gridCol w:w="1164"/>
        <w:gridCol w:w="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2" w:hRule="atLeast"/>
          <w:jc w:val="center"/>
        </w:trPr>
        <w:tc>
          <w:tcPr>
            <w:tcW w:w="6884" w:type="dxa"/>
            <w:gridSpan w:val="6"/>
            <w:tcBorders>
              <w:top w:val="single" w:color="auto" w:sz="8" w:space="0"/>
              <w:left w:val="single" w:color="auto" w:sz="8" w:space="0"/>
              <w:bottom w:val="single" w:color="auto" w:sz="4"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预 算 数</w:t>
            </w:r>
          </w:p>
        </w:tc>
        <w:tc>
          <w:tcPr>
            <w:tcW w:w="6372" w:type="dxa"/>
            <w:gridSpan w:val="6"/>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决 算 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2" w:hRule="atLeast"/>
          <w:jc w:val="center"/>
        </w:trPr>
        <w:tc>
          <w:tcPr>
            <w:tcW w:w="1179" w:type="dxa"/>
            <w:vMerge w:val="restart"/>
            <w:tcBorders>
              <w:top w:val="nil"/>
              <w:left w:val="single" w:color="auto" w:sz="8"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1195"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因公出国（境）费</w:t>
            </w:r>
          </w:p>
        </w:tc>
        <w:tc>
          <w:tcPr>
            <w:tcW w:w="3632"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公务用车购置及运行维护费</w:t>
            </w:r>
          </w:p>
        </w:tc>
        <w:tc>
          <w:tcPr>
            <w:tcW w:w="878" w:type="dxa"/>
            <w:vMerge w:val="restart"/>
            <w:tcBorders>
              <w:top w:val="nil"/>
              <w:left w:val="single" w:color="auto" w:sz="4" w:space="0"/>
              <w:bottom w:val="single" w:color="auto" w:sz="4"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w:t>
            </w:r>
          </w:p>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接待费</w:t>
            </w:r>
          </w:p>
        </w:tc>
        <w:tc>
          <w:tcPr>
            <w:tcW w:w="1258" w:type="dxa"/>
            <w:vMerge w:val="restart"/>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983"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因公出国（境）费</w:t>
            </w:r>
          </w:p>
        </w:tc>
        <w:tc>
          <w:tcPr>
            <w:tcW w:w="3147" w:type="dxa"/>
            <w:gridSpan w:val="3"/>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公务用车购置及运行维护费</w:t>
            </w:r>
          </w:p>
        </w:tc>
        <w:tc>
          <w:tcPr>
            <w:tcW w:w="984"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w:t>
            </w:r>
          </w:p>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2" w:hRule="atLeast"/>
          <w:jc w:val="center"/>
        </w:trPr>
        <w:tc>
          <w:tcPr>
            <w:tcW w:w="1179"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1195"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118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小计</w:t>
            </w:r>
          </w:p>
        </w:tc>
        <w:tc>
          <w:tcPr>
            <w:tcW w:w="118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公务用车购置费</w:t>
            </w:r>
          </w:p>
        </w:tc>
        <w:tc>
          <w:tcPr>
            <w:tcW w:w="127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公务用车运行维护费</w:t>
            </w:r>
          </w:p>
        </w:tc>
        <w:tc>
          <w:tcPr>
            <w:tcW w:w="878" w:type="dxa"/>
            <w:vMerge w:val="continue"/>
            <w:tcBorders>
              <w:top w:val="nil"/>
              <w:left w:val="single" w:color="auto" w:sz="4" w:space="0"/>
              <w:bottom w:val="single" w:color="auto" w:sz="4" w:space="0"/>
              <w:right w:val="single" w:color="000000" w:sz="8" w:space="0"/>
            </w:tcBorders>
            <w:vAlign w:val="center"/>
          </w:tcPr>
          <w:p>
            <w:pPr>
              <w:widowControl/>
              <w:spacing w:line="300" w:lineRule="exact"/>
              <w:jc w:val="left"/>
              <w:rPr>
                <w:rFonts w:ascii="仿宋_GB2312" w:hAnsi="宋体" w:eastAsia="仿宋_GB2312" w:cs="宋体"/>
                <w:kern w:val="0"/>
                <w:sz w:val="22"/>
                <w:szCs w:val="22"/>
              </w:rPr>
            </w:pPr>
          </w:p>
        </w:tc>
        <w:tc>
          <w:tcPr>
            <w:tcW w:w="1258" w:type="dxa"/>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宋体" w:eastAsia="仿宋_GB2312" w:cs="宋体"/>
                <w:kern w:val="0"/>
                <w:sz w:val="22"/>
                <w:szCs w:val="22"/>
              </w:rPr>
            </w:pPr>
          </w:p>
        </w:tc>
        <w:tc>
          <w:tcPr>
            <w:tcW w:w="983" w:type="dxa"/>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宋体" w:eastAsia="仿宋_GB2312" w:cs="宋体"/>
                <w:kern w:val="0"/>
                <w:sz w:val="22"/>
                <w:szCs w:val="22"/>
              </w:rPr>
            </w:pPr>
          </w:p>
        </w:tc>
        <w:tc>
          <w:tcPr>
            <w:tcW w:w="1147"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小计</w:t>
            </w:r>
          </w:p>
        </w:tc>
        <w:tc>
          <w:tcPr>
            <w:tcW w:w="836"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公务用车购置费</w:t>
            </w:r>
          </w:p>
        </w:tc>
        <w:tc>
          <w:tcPr>
            <w:tcW w:w="116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公务用车运行维护费</w:t>
            </w:r>
          </w:p>
        </w:tc>
        <w:tc>
          <w:tcPr>
            <w:tcW w:w="984"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left"/>
              <w:rPr>
                <w:rFonts w:ascii="仿宋_GB2312" w:hAnsi="宋体" w:eastAsia="仿宋_GB2312" w:cs="宋体"/>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jc w:val="center"/>
        </w:trPr>
        <w:tc>
          <w:tcPr>
            <w:tcW w:w="1179" w:type="dxa"/>
            <w:tcBorders>
              <w:top w:val="nil"/>
              <w:left w:val="single" w:color="auto" w:sz="8" w:space="0"/>
              <w:bottom w:val="single" w:color="auto" w:sz="8"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1195" w:type="dxa"/>
            <w:tcBorders>
              <w:top w:val="nil"/>
              <w:left w:val="nil"/>
              <w:bottom w:val="single" w:color="auto" w:sz="8"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1180" w:type="dxa"/>
            <w:tcBorders>
              <w:top w:val="nil"/>
              <w:left w:val="nil"/>
              <w:bottom w:val="single" w:color="auto" w:sz="8"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3</w:t>
            </w:r>
          </w:p>
        </w:tc>
        <w:tc>
          <w:tcPr>
            <w:tcW w:w="1180" w:type="dxa"/>
            <w:tcBorders>
              <w:top w:val="nil"/>
              <w:left w:val="nil"/>
              <w:bottom w:val="single" w:color="auto" w:sz="8"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4</w:t>
            </w:r>
          </w:p>
        </w:tc>
        <w:tc>
          <w:tcPr>
            <w:tcW w:w="1272" w:type="dxa"/>
            <w:tcBorders>
              <w:top w:val="nil"/>
              <w:left w:val="nil"/>
              <w:bottom w:val="single" w:color="auto" w:sz="8"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w:t>
            </w:r>
          </w:p>
        </w:tc>
        <w:tc>
          <w:tcPr>
            <w:tcW w:w="878" w:type="dxa"/>
            <w:tcBorders>
              <w:top w:val="nil"/>
              <w:left w:val="nil"/>
              <w:bottom w:val="single" w:color="auto"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6</w:t>
            </w:r>
          </w:p>
        </w:tc>
        <w:tc>
          <w:tcPr>
            <w:tcW w:w="1258"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7</w:t>
            </w:r>
          </w:p>
        </w:tc>
        <w:tc>
          <w:tcPr>
            <w:tcW w:w="983"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8</w:t>
            </w:r>
          </w:p>
        </w:tc>
        <w:tc>
          <w:tcPr>
            <w:tcW w:w="1147"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9</w:t>
            </w:r>
          </w:p>
        </w:tc>
        <w:tc>
          <w:tcPr>
            <w:tcW w:w="836"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10</w:t>
            </w:r>
          </w:p>
        </w:tc>
        <w:tc>
          <w:tcPr>
            <w:tcW w:w="116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11</w:t>
            </w:r>
          </w:p>
        </w:tc>
        <w:tc>
          <w:tcPr>
            <w:tcW w:w="98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96" w:hRule="atLeast"/>
          <w:jc w:val="center"/>
        </w:trPr>
        <w:tc>
          <w:tcPr>
            <w:tcW w:w="1179" w:type="dxa"/>
            <w:tcBorders>
              <w:top w:val="nil"/>
              <w:left w:val="single" w:color="auto" w:sz="8" w:space="0"/>
              <w:bottom w:val="single" w:color="auto" w:sz="8"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213.07</w:t>
            </w:r>
          </w:p>
        </w:tc>
        <w:tc>
          <w:tcPr>
            <w:tcW w:w="1195" w:type="dxa"/>
            <w:tcBorders>
              <w:top w:val="nil"/>
              <w:left w:val="nil"/>
              <w:bottom w:val="single" w:color="auto" w:sz="8"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9.8</w:t>
            </w:r>
          </w:p>
        </w:tc>
        <w:tc>
          <w:tcPr>
            <w:tcW w:w="1180" w:type="dxa"/>
            <w:tcBorders>
              <w:top w:val="nil"/>
              <w:left w:val="nil"/>
              <w:bottom w:val="single" w:color="auto" w:sz="8"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179.55</w:t>
            </w:r>
          </w:p>
        </w:tc>
        <w:tc>
          <w:tcPr>
            <w:tcW w:w="1180" w:type="dxa"/>
            <w:tcBorders>
              <w:top w:val="nil"/>
              <w:left w:val="nil"/>
              <w:bottom w:val="single" w:color="auto" w:sz="8"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0</w:t>
            </w:r>
          </w:p>
        </w:tc>
        <w:tc>
          <w:tcPr>
            <w:tcW w:w="1272" w:type="dxa"/>
            <w:tcBorders>
              <w:top w:val="nil"/>
              <w:left w:val="nil"/>
              <w:bottom w:val="single" w:color="auto" w:sz="8"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179.55</w:t>
            </w:r>
          </w:p>
        </w:tc>
        <w:tc>
          <w:tcPr>
            <w:tcW w:w="878" w:type="dxa"/>
            <w:tcBorders>
              <w:top w:val="nil"/>
              <w:left w:val="nil"/>
              <w:bottom w:val="single" w:color="auto"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23.72</w:t>
            </w:r>
          </w:p>
        </w:tc>
        <w:tc>
          <w:tcPr>
            <w:tcW w:w="1258"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76.226129</w:t>
            </w:r>
          </w:p>
        </w:tc>
        <w:tc>
          <w:tcPr>
            <w:tcW w:w="983"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0</w:t>
            </w:r>
          </w:p>
        </w:tc>
        <w:tc>
          <w:tcPr>
            <w:tcW w:w="1147"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66.76579</w:t>
            </w:r>
          </w:p>
        </w:tc>
        <w:tc>
          <w:tcPr>
            <w:tcW w:w="836"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0</w:t>
            </w:r>
          </w:p>
        </w:tc>
        <w:tc>
          <w:tcPr>
            <w:tcW w:w="116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66.76579</w:t>
            </w:r>
          </w:p>
        </w:tc>
        <w:tc>
          <w:tcPr>
            <w:tcW w:w="98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9.4604</w:t>
            </w:r>
          </w:p>
        </w:tc>
      </w:tr>
    </w:tbl>
    <w:p>
      <w:pPr>
        <w:spacing w:line="360" w:lineRule="exact"/>
        <w:rPr>
          <w:rFonts w:ascii="仿宋_GB2312" w:hAnsi="宋体" w:eastAsia="仿宋_GB2312"/>
          <w:sz w:val="22"/>
          <w:szCs w:val="22"/>
        </w:rPr>
      </w:pPr>
      <w:r>
        <w:rPr>
          <w:rFonts w:hint="eastAsia" w:ascii="仿宋_GB2312" w:hAnsi="宋体" w:eastAsia="仿宋_GB2312"/>
          <w:sz w:val="22"/>
          <w:szCs w:val="22"/>
        </w:rPr>
        <w:t xml:space="preserve"> 注：本表反映部门本年度“三公”经费支出预决算情况。其中，预算数为“三公”经费年初预算数；决算数是包括当年一般公共预算财政拨款和以前年度结转资金安排的实际支出。</w:t>
      </w:r>
    </w:p>
    <w:p>
      <w:pPr>
        <w:jc w:val="center"/>
        <w:rPr>
          <w:rFonts w:ascii="方正小标宋简体" w:eastAsia="方正小标宋简体"/>
          <w:sz w:val="44"/>
          <w:szCs w:val="44"/>
        </w:rPr>
        <w:sectPr>
          <w:pgSz w:w="16838" w:h="11906" w:orient="landscape"/>
          <w:pgMar w:top="1531" w:right="1701" w:bottom="1531" w:left="1701" w:header="0" w:footer="1418" w:gutter="0"/>
          <w:cols w:space="720" w:num="1"/>
          <w:docGrid w:type="linesAndChars" w:linePitch="610" w:charSpace="-849"/>
        </w:sectPr>
      </w:pPr>
    </w:p>
    <w:p>
      <w:pPr>
        <w:jc w:val="center"/>
        <w:rPr>
          <w:rFonts w:ascii="方正小标宋简体" w:eastAsia="方正小标宋简体"/>
          <w:sz w:val="44"/>
          <w:szCs w:val="44"/>
        </w:rPr>
      </w:pPr>
      <w:r>
        <w:rPr>
          <w:rFonts w:hint="eastAsia" w:ascii="方正小标宋简体" w:eastAsia="方正小标宋简体"/>
          <w:sz w:val="44"/>
          <w:szCs w:val="44"/>
        </w:rPr>
        <w:t>政府性基金预算财政拨款收入支出决算表</w:t>
      </w:r>
    </w:p>
    <w:p>
      <w:pPr>
        <w:spacing w:line="400" w:lineRule="exact"/>
        <w:jc w:val="right"/>
        <w:rPr>
          <w:rFonts w:ascii="楷体_GB2312" w:eastAsia="楷体_GB2312"/>
          <w:sz w:val="28"/>
          <w:szCs w:val="28"/>
        </w:rPr>
      </w:pPr>
      <w:r>
        <w:rPr>
          <w:rFonts w:hint="eastAsia" w:ascii="楷体_GB2312" w:eastAsia="楷体_GB2312"/>
          <w:sz w:val="28"/>
          <w:szCs w:val="28"/>
        </w:rPr>
        <w:t>公开08表</w:t>
      </w:r>
    </w:p>
    <w:p>
      <w:pPr>
        <w:spacing w:line="400" w:lineRule="exact"/>
        <w:ind w:firstLine="138" w:firstLineChars="50"/>
        <w:jc w:val="right"/>
        <w:rPr>
          <w:rFonts w:ascii="楷体_GB2312" w:eastAsia="楷体_GB2312"/>
          <w:sz w:val="28"/>
          <w:szCs w:val="28"/>
        </w:rPr>
      </w:pPr>
      <w:r>
        <w:rPr>
          <w:rFonts w:hint="eastAsia" w:ascii="楷体_GB2312" w:eastAsia="楷体_GB2312"/>
          <w:sz w:val="28"/>
          <w:szCs w:val="28"/>
        </w:rPr>
        <w:t>部门： 青岛市司法局                                                               金额单位：万元</w:t>
      </w:r>
    </w:p>
    <w:tbl>
      <w:tblPr>
        <w:tblStyle w:val="15"/>
        <w:tblpPr w:leftFromText="180" w:rightFromText="180" w:vertAnchor="text" w:tblpXSpec="center" w:tblpY="1"/>
        <w:tblOverlap w:val="never"/>
        <w:tblW w:w="132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72"/>
        <w:gridCol w:w="56"/>
        <w:gridCol w:w="1429"/>
        <w:gridCol w:w="1731"/>
        <w:gridCol w:w="1707"/>
        <w:gridCol w:w="1708"/>
        <w:gridCol w:w="1708"/>
        <w:gridCol w:w="1708"/>
        <w:gridCol w:w="1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285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项       目</w:t>
            </w:r>
          </w:p>
        </w:tc>
        <w:tc>
          <w:tcPr>
            <w:tcW w:w="173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年初结转和结余</w:t>
            </w:r>
          </w:p>
        </w:tc>
        <w:tc>
          <w:tcPr>
            <w:tcW w:w="1707" w:type="dxa"/>
            <w:vMerge w:val="restart"/>
            <w:tcBorders>
              <w:top w:val="single" w:color="auto" w:sz="4" w:space="0"/>
              <w:left w:val="nil"/>
              <w:right w:val="single" w:color="auto" w:sz="4" w:space="0"/>
            </w:tcBorders>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本年收入</w:t>
            </w:r>
          </w:p>
        </w:tc>
        <w:tc>
          <w:tcPr>
            <w:tcW w:w="5124"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本年支出</w:t>
            </w:r>
          </w:p>
        </w:tc>
        <w:tc>
          <w:tcPr>
            <w:tcW w:w="1791" w:type="dxa"/>
            <w:vMerge w:val="restart"/>
            <w:tcBorders>
              <w:top w:val="single" w:color="auto" w:sz="4" w:space="0"/>
              <w:left w:val="nil"/>
              <w:right w:val="single" w:color="auto" w:sz="4" w:space="0"/>
            </w:tcBorders>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9" w:hRule="atLeast"/>
        </w:trPr>
        <w:tc>
          <w:tcPr>
            <w:tcW w:w="142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功能分类  科目编码</w:t>
            </w:r>
          </w:p>
        </w:tc>
        <w:tc>
          <w:tcPr>
            <w:tcW w:w="14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科目名称</w:t>
            </w:r>
          </w:p>
        </w:tc>
        <w:tc>
          <w:tcPr>
            <w:tcW w:w="1731"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c>
          <w:tcPr>
            <w:tcW w:w="1707" w:type="dxa"/>
            <w:vMerge w:val="continue"/>
            <w:tcBorders>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rPr>
            </w:pPr>
          </w:p>
        </w:tc>
        <w:tc>
          <w:tcPr>
            <w:tcW w:w="1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小计</w:t>
            </w:r>
          </w:p>
        </w:tc>
        <w:tc>
          <w:tcPr>
            <w:tcW w:w="1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基本支出</w:t>
            </w:r>
          </w:p>
        </w:tc>
        <w:tc>
          <w:tcPr>
            <w:tcW w:w="1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项目支出</w:t>
            </w:r>
          </w:p>
        </w:tc>
        <w:tc>
          <w:tcPr>
            <w:tcW w:w="1791" w:type="dxa"/>
            <w:vMerge w:val="continue"/>
            <w:tcBorders>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85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栏  次</w:t>
            </w:r>
          </w:p>
        </w:tc>
        <w:tc>
          <w:tcPr>
            <w:tcW w:w="173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170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3</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4</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w:t>
            </w:r>
          </w:p>
        </w:tc>
        <w:tc>
          <w:tcPr>
            <w:tcW w:w="179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85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合  计</w:t>
            </w:r>
          </w:p>
        </w:tc>
        <w:tc>
          <w:tcPr>
            <w:tcW w:w="173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c>
          <w:tcPr>
            <w:tcW w:w="170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c>
          <w:tcPr>
            <w:tcW w:w="179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single" w:color="auto" w:sz="4" w:space="0"/>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szCs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bl>
    <w:p>
      <w:pPr>
        <w:ind w:firstLine="108" w:firstLineChars="50"/>
        <w:rPr>
          <w:rFonts w:ascii="仿宋_GB2312" w:hAnsi="宋体" w:eastAsia="仿宋_GB2312"/>
          <w:sz w:val="22"/>
          <w:szCs w:val="22"/>
        </w:rPr>
        <w:sectPr>
          <w:pgSz w:w="16838" w:h="11906" w:orient="landscape"/>
          <w:pgMar w:top="1531" w:right="1701" w:bottom="1531" w:left="1701" w:header="0" w:footer="1418" w:gutter="0"/>
          <w:cols w:space="720" w:num="1"/>
          <w:docGrid w:type="linesAndChars" w:linePitch="610" w:charSpace="-849"/>
        </w:sectPr>
      </w:pPr>
      <w:r>
        <w:rPr>
          <w:rFonts w:hint="eastAsia" w:ascii="仿宋_GB2312" w:hAnsi="宋体" w:eastAsia="仿宋_GB2312"/>
          <w:sz w:val="22"/>
          <w:szCs w:val="22"/>
        </w:rPr>
        <w:t>注：本表反映部门本年度政府性基金预算财政拨款收入、支出及结转和结余情况。本部门没有政府性基金收入，也没有使用政府性基金安排的支出，故本表无数据。</w:t>
      </w:r>
    </w:p>
    <w:p>
      <w:pPr>
        <w:jc w:val="center"/>
        <w:rPr>
          <w:rFonts w:ascii="方正小标宋简体" w:eastAsia="方正小标宋简体"/>
          <w:sz w:val="44"/>
          <w:szCs w:val="44"/>
        </w:rPr>
      </w:pPr>
      <w:r>
        <w:rPr>
          <w:rFonts w:hint="eastAsia" w:ascii="方正小标宋简体" w:eastAsia="方正小标宋简体"/>
          <w:sz w:val="44"/>
          <w:szCs w:val="44"/>
        </w:rPr>
        <w:t>国有资本经营预算财政拨款支出决算表</w:t>
      </w:r>
    </w:p>
    <w:p>
      <w:pPr>
        <w:spacing w:line="400" w:lineRule="exact"/>
        <w:jc w:val="right"/>
        <w:rPr>
          <w:rFonts w:ascii="楷体_GB2312" w:eastAsia="楷体_GB2312"/>
          <w:sz w:val="28"/>
          <w:szCs w:val="28"/>
        </w:rPr>
      </w:pPr>
      <w:r>
        <w:rPr>
          <w:rFonts w:hint="eastAsia" w:ascii="楷体_GB2312" w:eastAsia="楷体_GB2312"/>
          <w:sz w:val="28"/>
          <w:szCs w:val="28"/>
        </w:rPr>
        <w:t>公开09表</w:t>
      </w:r>
    </w:p>
    <w:p>
      <w:pPr>
        <w:wordWrap w:val="0"/>
        <w:spacing w:line="400" w:lineRule="exact"/>
        <w:ind w:firstLine="138" w:firstLineChars="50"/>
        <w:jc w:val="right"/>
        <w:rPr>
          <w:rFonts w:ascii="楷体_GB2312" w:eastAsia="楷体_GB2312"/>
          <w:sz w:val="28"/>
          <w:szCs w:val="28"/>
        </w:rPr>
      </w:pPr>
      <w:r>
        <w:rPr>
          <w:rFonts w:hint="eastAsia" w:ascii="楷体_GB2312" w:eastAsia="楷体_GB2312"/>
          <w:sz w:val="28"/>
          <w:szCs w:val="28"/>
        </w:rPr>
        <w:t xml:space="preserve">部门：青岛市司法局                                             </w:t>
      </w:r>
      <w:r>
        <w:rPr>
          <w:rFonts w:ascii="楷体_GB2312" w:eastAsia="楷体_GB2312"/>
          <w:sz w:val="28"/>
          <w:szCs w:val="28"/>
        </w:rPr>
        <w:t xml:space="preserve">  </w:t>
      </w:r>
      <w:r>
        <w:rPr>
          <w:rFonts w:hint="eastAsia" w:ascii="楷体_GB2312" w:eastAsia="楷体_GB2312"/>
          <w:sz w:val="28"/>
          <w:szCs w:val="28"/>
        </w:rPr>
        <w:t xml:space="preserve">                 金额单位：万元</w:t>
      </w:r>
    </w:p>
    <w:tbl>
      <w:tblPr>
        <w:tblStyle w:val="15"/>
        <w:tblW w:w="1315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1"/>
        <w:gridCol w:w="3170"/>
        <w:gridCol w:w="2783"/>
        <w:gridCol w:w="2978"/>
        <w:gridCol w:w="2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8" w:hRule="atLeast"/>
          <w:jc w:val="center"/>
        </w:trPr>
        <w:tc>
          <w:tcPr>
            <w:tcW w:w="487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项       目</w:t>
            </w:r>
          </w:p>
        </w:tc>
        <w:tc>
          <w:tcPr>
            <w:tcW w:w="828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exact"/>
          <w:jc w:val="center"/>
        </w:trPr>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功能分类</w:t>
            </w:r>
          </w:p>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科目编码</w:t>
            </w:r>
          </w:p>
        </w:tc>
        <w:tc>
          <w:tcPr>
            <w:tcW w:w="31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科目名称</w:t>
            </w:r>
          </w:p>
        </w:tc>
        <w:tc>
          <w:tcPr>
            <w:tcW w:w="278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小计</w:t>
            </w:r>
          </w:p>
        </w:tc>
        <w:tc>
          <w:tcPr>
            <w:tcW w:w="29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基本支出</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487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栏  次</w:t>
            </w:r>
          </w:p>
        </w:tc>
        <w:tc>
          <w:tcPr>
            <w:tcW w:w="278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297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252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487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合  计</w:t>
            </w:r>
          </w:p>
        </w:tc>
        <w:tc>
          <w:tcPr>
            <w:tcW w:w="278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c>
          <w:tcPr>
            <w:tcW w:w="297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c>
          <w:tcPr>
            <w:tcW w:w="252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bl>
    <w:p>
      <w:pPr>
        <w:spacing w:line="400" w:lineRule="exact"/>
        <w:ind w:firstLine="108" w:firstLineChars="50"/>
        <w:jc w:val="left"/>
        <w:rPr>
          <w:rFonts w:ascii="仿宋_GB2312" w:hAnsi="宋体" w:eastAsia="仿宋_GB2312"/>
          <w:sz w:val="22"/>
          <w:szCs w:val="22"/>
        </w:rPr>
        <w:sectPr>
          <w:pgSz w:w="16838" w:h="11906" w:orient="landscape"/>
          <w:pgMar w:top="1531" w:right="1701" w:bottom="1531" w:left="1701" w:header="0" w:footer="1418" w:gutter="0"/>
          <w:cols w:space="720" w:num="1"/>
          <w:docGrid w:type="linesAndChars" w:linePitch="610" w:charSpace="-849"/>
        </w:sectPr>
      </w:pPr>
      <w:r>
        <w:rPr>
          <w:rFonts w:hint="eastAsia" w:ascii="仿宋_GB2312" w:hAnsi="宋体" w:eastAsia="仿宋_GB2312"/>
          <w:sz w:val="22"/>
          <w:szCs w:val="22"/>
        </w:rPr>
        <w:t>注：本表反映部门本年度国有资本经营预算财政拨款支出情况。本部门没有使用国有资本经营预算安排的支出，故本表无数据。</w:t>
      </w:r>
    </w:p>
    <w:p>
      <w:pPr>
        <w:jc w:val="center"/>
        <w:rPr>
          <w:rFonts w:ascii="方正小标宋简体" w:eastAsia="方正小标宋简体"/>
          <w:sz w:val="42"/>
        </w:rPr>
      </w:pPr>
    </w:p>
    <w:p>
      <w:pPr>
        <w:jc w:val="center"/>
        <w:rPr>
          <w:rFonts w:ascii="方正小标宋简体" w:eastAsia="方正小标宋简体"/>
          <w:sz w:val="42"/>
        </w:rPr>
      </w:pPr>
    </w:p>
    <w:p>
      <w:pPr>
        <w:jc w:val="center"/>
        <w:rPr>
          <w:rFonts w:ascii="方正小标宋简体" w:eastAsia="方正小标宋简体"/>
          <w:sz w:val="42"/>
        </w:rPr>
      </w:pPr>
    </w:p>
    <w:p>
      <w:pPr>
        <w:ind w:firstLine="536" w:firstLineChars="100"/>
        <w:rPr>
          <w:rFonts w:ascii="方正小标宋简体" w:eastAsia="方正小标宋简体"/>
          <w:spacing w:val="60"/>
          <w:sz w:val="42"/>
        </w:rPr>
      </w:pPr>
      <w:r>
        <w:rPr>
          <w:rFonts w:hint="eastAsia" w:ascii="方正小标宋简体" w:eastAsia="方正小标宋简体"/>
          <w:spacing w:val="60"/>
          <w:sz w:val="42"/>
        </w:rPr>
        <w:t>第三部分</w:t>
      </w:r>
    </w:p>
    <w:p>
      <w:pPr>
        <w:spacing w:line="800" w:lineRule="exact"/>
        <w:jc w:val="center"/>
        <w:rPr>
          <w:rFonts w:ascii="方正小标宋简体" w:eastAsia="方正小标宋简体"/>
          <w:spacing w:val="60"/>
          <w:sz w:val="48"/>
        </w:rPr>
      </w:pPr>
    </w:p>
    <w:p>
      <w:pPr>
        <w:spacing w:line="800" w:lineRule="exact"/>
        <w:jc w:val="center"/>
        <w:rPr>
          <w:rFonts w:ascii="方正小标宋简体" w:eastAsia="方正小标宋简体"/>
          <w:spacing w:val="60"/>
          <w:sz w:val="48"/>
        </w:rPr>
      </w:pPr>
    </w:p>
    <w:p>
      <w:pPr>
        <w:spacing w:line="800" w:lineRule="exact"/>
        <w:jc w:val="center"/>
        <w:rPr>
          <w:rFonts w:ascii="方正小标宋简体" w:eastAsia="方正小标宋简体"/>
          <w:spacing w:val="60"/>
          <w:sz w:val="48"/>
        </w:rPr>
        <w:sectPr>
          <w:pgSz w:w="11906" w:h="16838"/>
          <w:pgMar w:top="1701" w:right="1531" w:bottom="1701" w:left="1531" w:header="0" w:footer="1418" w:gutter="0"/>
          <w:cols w:space="720" w:num="1"/>
          <w:docGrid w:type="linesAndChars" w:linePitch="610" w:charSpace="-849"/>
        </w:sectPr>
      </w:pPr>
      <w:r>
        <w:rPr>
          <w:rFonts w:hint="eastAsia" w:ascii="方正小标宋简体" w:eastAsia="方正小标宋简体"/>
          <w:spacing w:val="60"/>
          <w:sz w:val="48"/>
        </w:rPr>
        <w:t>2021年度部门决算情况说明</w:t>
      </w:r>
    </w:p>
    <w:p>
      <w:pPr>
        <w:spacing w:line="580" w:lineRule="exact"/>
        <w:ind w:firstLine="640" w:firstLineChars="200"/>
        <w:rPr>
          <w:rFonts w:ascii="黑体" w:hAnsi="黑体" w:eastAsia="黑体"/>
          <w:szCs w:val="32"/>
        </w:rPr>
      </w:pPr>
      <w:r>
        <w:rPr>
          <w:rFonts w:hint="eastAsia" w:ascii="黑体" w:hAnsi="黑体" w:eastAsia="黑体"/>
          <w:szCs w:val="32"/>
        </w:rPr>
        <w:t>一、收入支出决算总体情况</w:t>
      </w:r>
    </w:p>
    <w:p>
      <w:pPr>
        <w:spacing w:line="580" w:lineRule="exact"/>
        <w:ind w:firstLine="640" w:firstLineChars="200"/>
        <w:rPr>
          <w:rFonts w:ascii="仿宋_GB2312" w:eastAsia="仿宋_GB2312"/>
          <w:szCs w:val="32"/>
          <w:highlight w:val="none"/>
        </w:rPr>
      </w:pPr>
      <w:r>
        <w:rPr>
          <w:rFonts w:hint="eastAsia" w:ascii="仿宋_GB2312" w:eastAsia="仿宋_GB2312"/>
          <w:szCs w:val="32"/>
        </w:rPr>
        <w:t>2021年度收、支总计85799.26万元。与2020年度相比，收、支总计各增加7879.76万元，增长10.11%。</w:t>
      </w:r>
      <w:r>
        <w:rPr>
          <w:rFonts w:hint="eastAsia" w:ascii="仿宋_GB2312" w:eastAsia="仿宋_GB2312"/>
          <w:szCs w:val="32"/>
          <w:highlight w:val="none"/>
        </w:rPr>
        <w:t>主要是新增基本建设项目及</w:t>
      </w:r>
      <w:r>
        <w:rPr>
          <w:rFonts w:hint="eastAsia" w:ascii="仿宋_GB2312" w:eastAsia="仿宋_GB2312"/>
          <w:szCs w:val="32"/>
          <w:highlight w:val="none"/>
          <w:lang w:eastAsia="zh-CN"/>
        </w:rPr>
        <w:t>商品和服务支出</w:t>
      </w:r>
      <w:r>
        <w:rPr>
          <w:rFonts w:ascii="仿宋_GB2312" w:eastAsia="仿宋_GB2312"/>
          <w:szCs w:val="32"/>
          <w:highlight w:val="none"/>
        </w:rPr>
        <w:t>增加</w:t>
      </w:r>
      <w:r>
        <w:rPr>
          <w:rFonts w:hint="eastAsia" w:ascii="仿宋_GB2312" w:eastAsia="仿宋_GB2312"/>
          <w:szCs w:val="32"/>
          <w:highlight w:val="none"/>
        </w:rPr>
        <w:t>。</w:t>
      </w:r>
    </w:p>
    <w:p>
      <w:pPr>
        <w:spacing w:line="580" w:lineRule="exact"/>
        <w:ind w:firstLine="640" w:firstLineChars="200"/>
        <w:rPr>
          <w:rFonts w:ascii="仿宋_GB2312" w:eastAsia="仿宋_GB2312"/>
          <w:szCs w:val="32"/>
        </w:rPr>
      </w:pPr>
    </w:p>
    <w:p>
      <w:pPr>
        <w:spacing w:line="580" w:lineRule="exact"/>
        <w:rPr>
          <w:rFonts w:ascii="黑体" w:hAnsi="黑体" w:eastAsia="黑体"/>
          <w:szCs w:val="32"/>
        </w:rPr>
      </w:pPr>
      <w:r>
        <w:rPr>
          <w:rFonts w:ascii="Times New Roman" w:hAnsi="Times New Roman" w:eastAsia="宋体" w:cs="Times New Roman"/>
          <w:kern w:val="2"/>
          <w:sz w:val="32"/>
          <w:szCs w:val="24"/>
          <w:lang w:val="en-US" w:eastAsia="zh-CN" w:bidi="ar-SA"/>
        </w:rPr>
        <w:pict>
          <v:shape id="图片 4" o:spid="_x0000_s1026" type="#_x0000_t75" style="position:absolute;left:0;margin-top:4.2pt;height:217pt;width:361pt;mso-position-horizontal:center;mso-wrap-distance-bottom:0pt;mso-wrap-distance-top:0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w10:wrap type="topAndBottom"/>
          </v:shape>
        </w:pict>
      </w:r>
      <w:r>
        <w:rPr>
          <w:rFonts w:hint="eastAsia"/>
        </w:rPr>
        <w:t xml:space="preserve">    </w:t>
      </w:r>
      <w:r>
        <w:rPr>
          <w:rFonts w:hint="eastAsia" w:ascii="黑体" w:hAnsi="黑体" w:eastAsia="黑体"/>
          <w:szCs w:val="32"/>
        </w:rPr>
        <w:t>二、收入决算情况</w:t>
      </w:r>
    </w:p>
    <w:p>
      <w:pPr>
        <w:spacing w:line="580" w:lineRule="exact"/>
        <w:ind w:firstLine="640" w:firstLineChars="200"/>
        <w:rPr>
          <w:rFonts w:ascii="仿宋_GB2312" w:eastAsia="仿宋_GB2312"/>
          <w:szCs w:val="32"/>
        </w:rPr>
      </w:pPr>
      <w:r>
        <w:rPr>
          <w:rFonts w:ascii="Times New Roman" w:hAnsi="Times New Roman" w:eastAsia="宋体" w:cs="Times New Roman"/>
          <w:kern w:val="2"/>
          <w:sz w:val="32"/>
          <w:szCs w:val="24"/>
          <w:lang w:val="en-US" w:eastAsia="zh-CN" w:bidi="ar-SA"/>
        </w:rPr>
        <w:pict>
          <v:shape id="图片 10" o:spid="_x0000_s1027" type="#_x0000_t75" style="position:absolute;left:0;margin-top:59.85pt;height:217pt;width:361pt;mso-position-horizontal:center;mso-wrap-distance-bottom:0pt;mso-wrap-distance-top:0pt;rotation:0f;z-index:251659264;" o:ole="f" fillcolor="#FFFFFF" filled="f" o:preferrelative="t" stroked="f" coordorigin="0,0" coordsize="21600,21600">
            <v:fill on="f" color2="#FFFFFF" focus="0%"/>
            <v:imagedata gain="65536f" blacklevel="0f" gamma="0" o:title="" r:id="rId9"/>
            <o:lock v:ext="edit" position="f" selection="f" grouping="f" rotation="f" cropping="f" text="f" aspectratio="t"/>
            <w10:wrap type="topAndBottom"/>
          </v:shape>
        </w:pict>
      </w:r>
      <w:r>
        <w:rPr>
          <w:rFonts w:hint="eastAsia" w:ascii="仿宋_GB2312" w:eastAsia="仿宋_GB2312"/>
          <w:szCs w:val="32"/>
        </w:rPr>
        <w:t>本年收入合计85489.6万元，其中：财政拨款收入81950.47万元，占95.86%；其他收入3539.14万元，占4.14%。</w:t>
      </w:r>
    </w:p>
    <w:p>
      <w:pPr>
        <w:spacing w:line="580" w:lineRule="exact"/>
        <w:ind w:firstLine="640" w:firstLineChars="200"/>
        <w:rPr>
          <w:rFonts w:ascii="黑体" w:hAnsi="黑体" w:eastAsia="黑体"/>
          <w:szCs w:val="32"/>
        </w:rPr>
      </w:pPr>
      <w:r>
        <w:rPr>
          <w:rFonts w:hint="eastAsia" w:ascii="黑体" w:hAnsi="黑体" w:eastAsia="黑体"/>
          <w:szCs w:val="32"/>
        </w:rPr>
        <w:t>三、支出决算情况</w:t>
      </w:r>
    </w:p>
    <w:p>
      <w:pPr>
        <w:spacing w:line="580" w:lineRule="exact"/>
        <w:ind w:firstLine="640" w:firstLineChars="200"/>
        <w:rPr>
          <w:rFonts w:ascii="仿宋_GB2312" w:eastAsia="仿宋_GB2312"/>
          <w:szCs w:val="32"/>
        </w:rPr>
      </w:pPr>
      <w:r>
        <w:rPr>
          <w:rFonts w:hint="eastAsia" w:ascii="仿宋_GB2312" w:eastAsia="仿宋_GB2312"/>
          <w:szCs w:val="32"/>
        </w:rPr>
        <w:t>本年支出合计85046.59万元，其中：基本支出72400.03万元，占85.13%；项目支出12646.56万元，占14.87%。</w:t>
      </w:r>
    </w:p>
    <w:p>
      <w:pPr>
        <w:spacing w:line="580" w:lineRule="exact"/>
        <w:ind w:firstLine="640" w:firstLineChars="200"/>
        <w:rPr>
          <w:rFonts w:ascii="黑体" w:hAnsi="黑体" w:eastAsia="黑体"/>
          <w:szCs w:val="32"/>
        </w:rPr>
      </w:pPr>
      <w:r>
        <w:rPr>
          <w:rFonts w:ascii="Times New Roman" w:hAnsi="Times New Roman" w:eastAsia="宋体" w:cs="Times New Roman"/>
          <w:kern w:val="2"/>
          <w:sz w:val="32"/>
          <w:szCs w:val="24"/>
          <w:lang w:val="en-US" w:eastAsia="zh-CN" w:bidi="ar-SA"/>
        </w:rPr>
        <w:pict>
          <v:shape id="Picture 4" o:spid="_x0000_s1028" type="#_x0000_t75" style="position:absolute;left:0;margin-top:4.25pt;height:217pt;width:361pt;mso-position-horizontal:center;mso-wrap-distance-bottom:0pt;mso-wrap-distance-top:0pt;rotation:0f;z-index:251660288;" o:ole="f" fillcolor="#FFFFFF" filled="f" o:preferrelative="t" stroked="f" coordorigin="0,0" coordsize="21600,21600">
            <v:fill on="f" color2="#FFFFFF" focus="0%"/>
            <v:imagedata gain="65536f" blacklevel="0f" gamma="0" o:title="" r:id="rId10"/>
            <o:lock v:ext="edit" position="f" selection="f" grouping="f" rotation="f" cropping="f" text="f" aspectratio="t"/>
            <w10:wrap type="topAndBottom"/>
          </v:shape>
        </w:pict>
      </w:r>
      <w:r>
        <w:rPr>
          <w:rFonts w:hint="eastAsia" w:ascii="黑体" w:hAnsi="黑体" w:eastAsia="黑体"/>
          <w:szCs w:val="32"/>
        </w:rPr>
        <w:t>四、财政拨款收入支出决算总体情况</w:t>
      </w:r>
    </w:p>
    <w:p>
      <w:pPr>
        <w:spacing w:line="580" w:lineRule="exact"/>
        <w:ind w:firstLine="640" w:firstLineChars="200"/>
        <w:rPr>
          <w:rFonts w:hint="eastAsia" w:ascii="仿宋_GB2312" w:eastAsia="仿宋_GB2312"/>
          <w:szCs w:val="32"/>
          <w:highlight w:val="none"/>
          <w:lang w:eastAsia="zh-CN"/>
        </w:rPr>
      </w:pPr>
      <w:r>
        <w:rPr>
          <w:rFonts w:ascii="Times New Roman" w:hAnsi="Times New Roman" w:eastAsia="宋体" w:cs="Times New Roman"/>
          <w:kern w:val="2"/>
          <w:sz w:val="32"/>
          <w:szCs w:val="24"/>
          <w:lang w:val="en-US" w:eastAsia="zh-CN" w:bidi="ar-SA"/>
        </w:rPr>
        <w:pict>
          <v:shape id="图片 8" o:spid="_x0000_s1029" type="#_x0000_t75" style="position:absolute;left:0;margin-top:87.05pt;height:217pt;width:361pt;mso-position-horizontal:center;mso-wrap-distance-bottom:0pt;mso-wrap-distance-top:0pt;rotation:0f;z-index:251661312;" o:ole="f" fillcolor="#FFFFFF" filled="f" o:preferrelative="t" stroked="f" coordorigin="0,0" coordsize="21600,21600">
            <v:fill on="f" color2="#FFFFFF" focus="0%"/>
            <v:imagedata gain="65536f" blacklevel="0f" gamma="0" o:title="" r:id="rId11"/>
            <o:lock v:ext="edit" position="f" selection="f" grouping="f" rotation="f" cropping="f" text="f" aspectratio="t"/>
            <w10:wrap type="topAndBottom"/>
          </v:shape>
        </w:pict>
      </w:r>
      <w:r>
        <w:rPr>
          <w:rFonts w:hint="eastAsia" w:ascii="仿宋_GB2312" w:eastAsia="仿宋_GB2312"/>
          <w:szCs w:val="32"/>
        </w:rPr>
        <w:t>2021年度财政拨款收、支总计81950.46万元。与2020年度相比，财政拨款收、支总计各增加9224.45万元，增长12.68%。</w:t>
      </w:r>
      <w:r>
        <w:rPr>
          <w:rFonts w:hint="eastAsia" w:ascii="仿宋_GB2312" w:eastAsia="仿宋_GB2312"/>
          <w:szCs w:val="32"/>
          <w:highlight w:val="none"/>
        </w:rPr>
        <w:t>主要是新增基本建设项目及</w:t>
      </w:r>
      <w:r>
        <w:rPr>
          <w:rFonts w:hint="eastAsia" w:ascii="仿宋_GB2312" w:eastAsia="仿宋_GB2312"/>
          <w:szCs w:val="32"/>
          <w:highlight w:val="none"/>
          <w:lang w:eastAsia="zh-CN"/>
        </w:rPr>
        <w:t>商品和服务支出</w:t>
      </w:r>
      <w:r>
        <w:rPr>
          <w:rFonts w:ascii="仿宋_GB2312" w:eastAsia="仿宋_GB2312"/>
          <w:szCs w:val="32"/>
          <w:highlight w:val="none"/>
        </w:rPr>
        <w:t>增加</w:t>
      </w:r>
      <w:r>
        <w:rPr>
          <w:rFonts w:hint="eastAsia" w:ascii="仿宋_GB2312" w:eastAsia="仿宋_GB2312"/>
          <w:szCs w:val="32"/>
          <w:highlight w:val="none"/>
          <w:lang w:eastAsia="zh-CN"/>
        </w:rPr>
        <w:t>。</w:t>
      </w:r>
    </w:p>
    <w:p>
      <w:pPr>
        <w:spacing w:line="580" w:lineRule="exact"/>
        <w:ind w:firstLine="640" w:firstLineChars="200"/>
        <w:rPr>
          <w:rFonts w:ascii="黑体" w:hAnsi="黑体" w:eastAsia="黑体"/>
          <w:szCs w:val="32"/>
        </w:rPr>
      </w:pPr>
      <w:r>
        <w:rPr>
          <w:rFonts w:hint="eastAsia" w:ascii="黑体" w:hAnsi="黑体" w:eastAsia="黑体"/>
          <w:szCs w:val="32"/>
        </w:rPr>
        <w:t>五、一般公共预算财政拨款支出决算情况</w:t>
      </w:r>
    </w:p>
    <w:p>
      <w:pPr>
        <w:spacing w:line="580" w:lineRule="exact"/>
        <w:ind w:firstLine="640" w:firstLineChars="200"/>
        <w:rPr>
          <w:rFonts w:ascii="楷体_GB2312" w:eastAsia="楷体_GB2312"/>
          <w:szCs w:val="32"/>
        </w:rPr>
      </w:pPr>
      <w:r>
        <w:rPr>
          <w:rFonts w:hint="eastAsia" w:ascii="楷体_GB2312" w:eastAsia="楷体_GB2312"/>
          <w:szCs w:val="32"/>
        </w:rPr>
        <w:t>（一）一般公共预算财政拨款支出决算总体情况</w:t>
      </w:r>
    </w:p>
    <w:p>
      <w:pPr>
        <w:spacing w:line="580" w:lineRule="exact"/>
        <w:ind w:firstLine="640" w:firstLineChars="200"/>
        <w:rPr>
          <w:rFonts w:ascii="仿宋_GB2312" w:eastAsia="仿宋_GB2312"/>
          <w:szCs w:val="32"/>
        </w:rPr>
      </w:pPr>
      <w:r>
        <w:rPr>
          <w:rFonts w:hint="eastAsia" w:ascii="仿宋_GB2312" w:eastAsia="仿宋_GB2312"/>
          <w:szCs w:val="32"/>
        </w:rPr>
        <w:t>2021年度一般公共预算财政拨款支出81944.34万元，占本年支出合计的95.51%。与2020年度相比，一般公共预算财政拨款支出增加9218.33万元，增长12.68%。</w:t>
      </w:r>
      <w:r>
        <w:rPr>
          <w:rFonts w:hint="eastAsia" w:ascii="仿宋_GB2312" w:eastAsia="仿宋_GB2312"/>
          <w:szCs w:val="32"/>
          <w:highlight w:val="none"/>
        </w:rPr>
        <w:t>主要是新增基本建设项目及</w:t>
      </w:r>
      <w:r>
        <w:rPr>
          <w:rFonts w:hint="eastAsia" w:ascii="仿宋_GB2312" w:eastAsia="仿宋_GB2312"/>
          <w:szCs w:val="32"/>
          <w:highlight w:val="none"/>
          <w:lang w:eastAsia="zh-CN"/>
        </w:rPr>
        <w:t>商品和服务支出</w:t>
      </w:r>
      <w:r>
        <w:rPr>
          <w:rFonts w:ascii="仿宋_GB2312" w:eastAsia="仿宋_GB2312"/>
          <w:szCs w:val="32"/>
          <w:highlight w:val="none"/>
        </w:rPr>
        <w:t>增加</w:t>
      </w:r>
      <w:r>
        <w:rPr>
          <w:rFonts w:hint="eastAsia" w:ascii="仿宋_GB2312" w:eastAsia="仿宋_GB2312"/>
          <w:szCs w:val="32"/>
          <w:highlight w:val="none"/>
        </w:rPr>
        <w:t>。</w:t>
      </w:r>
    </w:p>
    <w:p>
      <w:pPr>
        <w:spacing w:line="580" w:lineRule="exact"/>
        <w:ind w:firstLine="640" w:firstLineChars="200"/>
        <w:rPr>
          <w:rFonts w:ascii="楷体_GB2312" w:eastAsia="楷体_GB2312"/>
          <w:szCs w:val="32"/>
        </w:rPr>
      </w:pPr>
      <w:r>
        <w:rPr>
          <w:rFonts w:ascii="Times New Roman" w:hAnsi="Times New Roman" w:eastAsia="宋体" w:cs="Times New Roman"/>
          <w:kern w:val="2"/>
          <w:sz w:val="32"/>
          <w:szCs w:val="24"/>
          <w:lang w:val="en-US" w:eastAsia="zh-CN" w:bidi="ar-SA"/>
        </w:rPr>
        <w:pict>
          <v:shape id="图片 12" o:spid="_x0000_s1030" type="#_x0000_t75" style="position:absolute;left:0;margin-top:6.25pt;height:217pt;width:361pt;mso-position-horizontal:center;mso-wrap-distance-bottom:0pt;mso-wrap-distance-top:0pt;rotation:0f;z-index:251662336;" o:ole="f" fillcolor="#FFFFFF" filled="f" o:preferrelative="t" stroked="f" coordorigin="0,0" coordsize="21600,21600">
            <v:fill on="f" color2="#FFFFFF" focus="0%"/>
            <v:imagedata gain="65536f" blacklevel="0f" gamma="0" o:title="" r:id="rId12"/>
            <o:lock v:ext="edit" position="f" selection="f" grouping="f" rotation="f" cropping="f" text="f" aspectratio="t"/>
            <w10:wrap type="topAndBottom"/>
          </v:shape>
        </w:pict>
      </w:r>
      <w:r>
        <w:rPr>
          <w:rFonts w:hint="eastAsia" w:ascii="楷体_GB2312" w:eastAsia="楷体_GB2312"/>
          <w:szCs w:val="32"/>
        </w:rPr>
        <w:t>（二）一般公共预算财政拨款支出决算结构情况</w:t>
      </w:r>
    </w:p>
    <w:p>
      <w:pPr>
        <w:spacing w:line="580" w:lineRule="exact"/>
        <w:ind w:firstLine="640" w:firstLineChars="200"/>
        <w:rPr>
          <w:rFonts w:ascii="仿宋_GB2312" w:eastAsia="仿宋_GB2312"/>
          <w:szCs w:val="32"/>
        </w:rPr>
      </w:pPr>
      <w:r>
        <w:rPr>
          <w:rFonts w:hint="eastAsia" w:ascii="仿宋_GB2312" w:eastAsia="仿宋_GB2312"/>
          <w:szCs w:val="32"/>
        </w:rPr>
        <w:t>2021年度一般公共预算财政拨款支出81944.34万元，主要用于以下方面：一般公共服务（类）支出189.49万元，占0.23%；公共安全（类）支出73278.77万元，占89.43%；文化旅游体育与传媒（类）支出478.06万元，占0.58%；社会保障和就业（类）支出4902.15万元，占5.98%；卫生健康（类）支出50万元，占0.06%；住房保障（类）支出2985.4万元，占3.64%；其他（类）支出60.48万元，占0.07%。</w:t>
      </w:r>
    </w:p>
    <w:p>
      <w:pPr>
        <w:spacing w:line="580" w:lineRule="exact"/>
        <w:rPr>
          <w:rFonts w:ascii="楷体_GB2312" w:eastAsia="楷体_GB2312"/>
          <w:szCs w:val="32"/>
        </w:rPr>
      </w:pPr>
      <w:r>
        <w:rPr>
          <w:rFonts w:ascii="Times New Roman" w:hAnsi="Times New Roman" w:eastAsia="宋体" w:cs="Times New Roman"/>
          <w:kern w:val="2"/>
          <w:sz w:val="32"/>
          <w:szCs w:val="24"/>
          <w:lang w:val="en-US" w:eastAsia="zh-CN" w:bidi="ar-SA"/>
        </w:rPr>
        <w:pict>
          <v:shape id="图片 15" o:spid="_x0000_s1031" type="#_x0000_t75" style="position:absolute;left:0;margin-top:0pt;height:266.45pt;width:424.9pt;mso-position-horizontal:center;mso-wrap-distance-bottom:0pt;mso-wrap-distance-top:0pt;rotation:0f;z-index:251663360;" o:ole="f" fillcolor="#FFFFFF" filled="f" o:preferrelative="t" stroked="f" coordorigin="0,0" coordsize="21600,21600">
            <v:fill on="f" color2="#FFFFFF" focus="0%"/>
            <v:imagedata gain="65536f" blacklevel="0f" gamma="0" o:title="" r:id="rId13"/>
            <o:lock v:ext="edit" position="f" selection="f" grouping="f" rotation="f" cropping="f" text="f" aspectratio="t"/>
            <w10:wrap type="topAndBottom"/>
          </v:shape>
        </w:pict>
      </w:r>
      <w:r>
        <w:rPr>
          <w:rFonts w:hint="eastAsia"/>
        </w:rPr>
        <w:t xml:space="preserve">    </w:t>
      </w:r>
      <w:r>
        <w:rPr>
          <w:rFonts w:hint="eastAsia" w:ascii="楷体_GB2312" w:eastAsia="楷体_GB2312"/>
          <w:szCs w:val="32"/>
        </w:rPr>
        <w:t>（三）一般公共预算财政拨款支出决算具体情况</w:t>
      </w:r>
    </w:p>
    <w:p>
      <w:pPr>
        <w:spacing w:line="580" w:lineRule="exact"/>
        <w:ind w:firstLine="640" w:firstLineChars="200"/>
        <w:rPr>
          <w:rFonts w:ascii="仿宋_GB2312" w:eastAsia="仿宋_GB2312"/>
          <w:szCs w:val="32"/>
        </w:rPr>
      </w:pPr>
      <w:r>
        <w:rPr>
          <w:rFonts w:hint="eastAsia" w:ascii="仿宋_GB2312" w:eastAsia="仿宋_GB2312"/>
          <w:szCs w:val="32"/>
        </w:rPr>
        <w:t>2021年度一般公共预算财政拨款支出年初预算为60688.73万元，支出决算为81944.34万元，完成年初预算的135.02%。决算数大于年初预算数的</w:t>
      </w:r>
      <w:r>
        <w:rPr>
          <w:rFonts w:hint="eastAsia" w:ascii="仿宋_GB2312" w:eastAsia="仿宋_GB2312"/>
          <w:szCs w:val="32"/>
          <w:highlight w:val="none"/>
        </w:rPr>
        <w:t>主要</w:t>
      </w:r>
      <w:r>
        <w:rPr>
          <w:rFonts w:hint="eastAsia" w:ascii="仿宋_GB2312" w:eastAsia="仿宋_GB2312"/>
          <w:szCs w:val="32"/>
          <w:highlight w:val="none"/>
          <w:lang w:eastAsia="zh-CN"/>
        </w:rPr>
        <w:t>原因</w:t>
      </w:r>
      <w:r>
        <w:rPr>
          <w:rFonts w:hint="eastAsia" w:ascii="仿宋_GB2312" w:eastAsia="仿宋_GB2312"/>
          <w:szCs w:val="32"/>
          <w:highlight w:val="none"/>
        </w:rPr>
        <w:t>是新增基本建设项目及</w:t>
      </w:r>
      <w:r>
        <w:rPr>
          <w:rFonts w:hint="eastAsia" w:ascii="仿宋_GB2312" w:eastAsia="仿宋_GB2312"/>
          <w:szCs w:val="32"/>
          <w:highlight w:val="none"/>
          <w:lang w:eastAsia="zh-CN"/>
        </w:rPr>
        <w:t>商品和服务支出</w:t>
      </w:r>
      <w:r>
        <w:rPr>
          <w:rFonts w:ascii="仿宋_GB2312" w:eastAsia="仿宋_GB2312"/>
          <w:szCs w:val="32"/>
          <w:highlight w:val="none"/>
        </w:rPr>
        <w:t>增加</w:t>
      </w:r>
      <w:r>
        <w:rPr>
          <w:rFonts w:hint="eastAsia" w:ascii="仿宋_GB2312" w:eastAsia="仿宋_GB2312"/>
          <w:szCs w:val="32"/>
          <w:highlight w:val="none"/>
        </w:rPr>
        <w:t>。</w:t>
      </w:r>
      <w:r>
        <w:rPr>
          <w:rFonts w:hint="eastAsia" w:ascii="仿宋_GB2312" w:eastAsia="仿宋_GB2312"/>
          <w:szCs w:val="32"/>
        </w:rPr>
        <w:t>其中：</w:t>
      </w:r>
    </w:p>
    <w:p>
      <w:pPr>
        <w:numPr>
          <w:ilvl w:val="0"/>
          <w:numId w:val="1"/>
        </w:numPr>
        <w:spacing w:line="580" w:lineRule="exact"/>
        <w:ind w:firstLine="640" w:firstLineChars="200"/>
        <w:rPr>
          <w:rFonts w:ascii="仿宋_GB2312" w:eastAsia="仿宋_GB2312"/>
          <w:szCs w:val="32"/>
        </w:rPr>
      </w:pPr>
      <w:r>
        <w:rPr>
          <w:rFonts w:hint="eastAsia" w:ascii="仿宋_GB2312" w:eastAsia="仿宋_GB2312"/>
          <w:szCs w:val="32"/>
        </w:rPr>
        <w:t>一般公共服务支出（类）财政事务（款）事业运行（项）。年初预算为149.69万元，支出决算为167.46万元，完成年初预算的111.87%。决算数大于年初预算数的主要原因是</w:t>
      </w:r>
      <w:r>
        <w:rPr>
          <w:rFonts w:hint="eastAsia" w:ascii="仿宋_GB2312" w:eastAsia="仿宋_GB2312"/>
          <w:szCs w:val="32"/>
          <w:highlight w:val="none"/>
          <w:lang w:eastAsia="zh-CN"/>
        </w:rPr>
        <w:t>商品和服务支出</w:t>
      </w:r>
      <w:r>
        <w:rPr>
          <w:rFonts w:ascii="仿宋_GB2312" w:eastAsia="仿宋_GB2312"/>
          <w:szCs w:val="32"/>
          <w:highlight w:val="none"/>
        </w:rPr>
        <w:t>增加</w:t>
      </w:r>
      <w:r>
        <w:rPr>
          <w:rFonts w:hint="eastAsia" w:ascii="仿宋_GB2312" w:eastAsia="仿宋_GB2312"/>
          <w:szCs w:val="32"/>
        </w:rPr>
        <w:t>。</w:t>
      </w:r>
    </w:p>
    <w:p>
      <w:pPr>
        <w:numPr>
          <w:ilvl w:val="0"/>
          <w:numId w:val="1"/>
        </w:numPr>
        <w:spacing w:line="580" w:lineRule="exact"/>
        <w:ind w:firstLine="640" w:firstLineChars="200"/>
        <w:rPr>
          <w:rFonts w:ascii="仿宋_GB2312" w:eastAsia="仿宋_GB2312"/>
          <w:szCs w:val="32"/>
        </w:rPr>
      </w:pPr>
      <w:r>
        <w:rPr>
          <w:rFonts w:hint="eastAsia" w:ascii="仿宋_GB2312" w:eastAsia="仿宋_GB2312"/>
          <w:szCs w:val="32"/>
        </w:rPr>
        <w:t>一般公共服务支出（类）财政事务（款）其他组织事务支出（项）。年初无预算，支出决算为22.03万元。决算数大于年初预算数的主要原因是两新组织党建指导员补助未纳入年初预算。</w:t>
      </w:r>
    </w:p>
    <w:p>
      <w:pPr>
        <w:numPr>
          <w:ilvl w:val="0"/>
          <w:numId w:val="1"/>
        </w:numPr>
        <w:spacing w:line="580" w:lineRule="exact"/>
        <w:ind w:firstLine="640" w:firstLineChars="200"/>
        <w:rPr>
          <w:rFonts w:ascii="仿宋_GB2312" w:eastAsia="仿宋_GB2312"/>
          <w:szCs w:val="32"/>
        </w:rPr>
      </w:pPr>
      <w:r>
        <w:rPr>
          <w:rFonts w:hint="eastAsia" w:ascii="仿宋_GB2312" w:eastAsia="仿宋_GB2312"/>
          <w:szCs w:val="32"/>
        </w:rPr>
        <w:t>公共安全支出（类）司法（款）行政运行（项）。年初预算为3326.45万元，支出决算为4174.98万元，完成年初预算的125.51%。决算数大于年初预算数的主要原因是</w:t>
      </w:r>
      <w:r>
        <w:rPr>
          <w:rFonts w:hint="eastAsia" w:ascii="仿宋_GB2312" w:eastAsia="仿宋_GB2312"/>
          <w:szCs w:val="32"/>
          <w:highlight w:val="none"/>
          <w:lang w:eastAsia="zh-CN"/>
        </w:rPr>
        <w:t>商品和服务支出</w:t>
      </w:r>
      <w:r>
        <w:rPr>
          <w:rFonts w:ascii="仿宋_GB2312" w:eastAsia="仿宋_GB2312"/>
          <w:szCs w:val="32"/>
          <w:highlight w:val="none"/>
        </w:rPr>
        <w:t>增加</w:t>
      </w:r>
      <w:r>
        <w:rPr>
          <w:rFonts w:hint="eastAsia" w:ascii="仿宋_GB2312" w:eastAsia="仿宋_GB2312"/>
          <w:szCs w:val="32"/>
        </w:rPr>
        <w:t>。</w:t>
      </w:r>
    </w:p>
    <w:p>
      <w:pPr>
        <w:numPr>
          <w:ilvl w:val="0"/>
          <w:numId w:val="1"/>
        </w:numPr>
        <w:spacing w:line="580" w:lineRule="exact"/>
        <w:ind w:firstLine="640" w:firstLineChars="200"/>
        <w:rPr>
          <w:rFonts w:ascii="仿宋_GB2312" w:eastAsia="仿宋_GB2312"/>
          <w:szCs w:val="32"/>
        </w:rPr>
      </w:pPr>
      <w:r>
        <w:rPr>
          <w:rFonts w:hint="eastAsia" w:ascii="仿宋_GB2312" w:eastAsia="仿宋_GB2312"/>
          <w:szCs w:val="32"/>
        </w:rPr>
        <w:t>公共安全支出（类）司法（款）一般行政管理事务（项）。年初预算为923.1万元，支出决算为902.04万元，完成年初预算的97.72%。决算数小于年初预算数的主要原因是落实“厉行节约”规定，严格控制费用支出。</w:t>
      </w:r>
    </w:p>
    <w:p>
      <w:pPr>
        <w:numPr>
          <w:ilvl w:val="0"/>
          <w:numId w:val="1"/>
        </w:numPr>
        <w:spacing w:line="580" w:lineRule="exact"/>
        <w:ind w:firstLine="640" w:firstLineChars="200"/>
        <w:rPr>
          <w:rFonts w:ascii="仿宋_GB2312" w:eastAsia="仿宋_GB2312"/>
          <w:szCs w:val="32"/>
        </w:rPr>
      </w:pPr>
      <w:r>
        <w:rPr>
          <w:rFonts w:hint="eastAsia" w:ascii="仿宋_GB2312" w:eastAsia="仿宋_GB2312"/>
          <w:szCs w:val="32"/>
        </w:rPr>
        <w:t>公共安全支出（类）司法（款）公共法律服务（项）。年初预算为254.3万元，支出决算为250.14万元，完成年初预算的98.36%。决算数小于年初预算数的主要原因是落实“厉行节约”规定，严格控制费用支出。</w:t>
      </w:r>
    </w:p>
    <w:p>
      <w:pPr>
        <w:numPr>
          <w:ilvl w:val="0"/>
          <w:numId w:val="1"/>
        </w:numPr>
        <w:spacing w:line="580" w:lineRule="exact"/>
        <w:ind w:firstLine="640" w:firstLineChars="200"/>
        <w:rPr>
          <w:rFonts w:ascii="仿宋_GB2312" w:eastAsia="仿宋_GB2312"/>
          <w:szCs w:val="32"/>
        </w:rPr>
      </w:pPr>
      <w:r>
        <w:rPr>
          <w:rFonts w:hint="eastAsia" w:ascii="仿宋_GB2312" w:eastAsia="仿宋_GB2312"/>
          <w:szCs w:val="32"/>
        </w:rPr>
        <w:t>公共安全支出（类）司法（款）事业运行（项）。年初预算为317.94万元，支出决算为367.28万元，完成年初预算的115.52%。决算数大于年初预算数的主要原因是</w:t>
      </w:r>
      <w:r>
        <w:rPr>
          <w:rFonts w:hint="eastAsia" w:ascii="仿宋_GB2312" w:eastAsia="仿宋_GB2312"/>
          <w:szCs w:val="32"/>
          <w:highlight w:val="none"/>
          <w:lang w:eastAsia="zh-CN"/>
        </w:rPr>
        <w:t>商品和服务支出</w:t>
      </w:r>
      <w:r>
        <w:rPr>
          <w:rFonts w:ascii="仿宋_GB2312" w:eastAsia="仿宋_GB2312"/>
          <w:szCs w:val="32"/>
          <w:highlight w:val="none"/>
        </w:rPr>
        <w:t>增加</w:t>
      </w:r>
      <w:r>
        <w:rPr>
          <w:rFonts w:hint="eastAsia" w:ascii="仿宋_GB2312" w:eastAsia="仿宋_GB2312"/>
          <w:szCs w:val="32"/>
        </w:rPr>
        <w:t>。</w:t>
      </w:r>
    </w:p>
    <w:p>
      <w:pPr>
        <w:numPr>
          <w:ilvl w:val="0"/>
          <w:numId w:val="1"/>
        </w:numPr>
        <w:spacing w:line="580" w:lineRule="exact"/>
        <w:ind w:firstLine="640" w:firstLineChars="200"/>
        <w:rPr>
          <w:rFonts w:ascii="仿宋_GB2312" w:eastAsia="仿宋_GB2312"/>
          <w:szCs w:val="32"/>
        </w:rPr>
      </w:pPr>
      <w:r>
        <w:rPr>
          <w:rFonts w:hint="eastAsia" w:ascii="仿宋_GB2312" w:eastAsia="仿宋_GB2312"/>
          <w:szCs w:val="32"/>
        </w:rPr>
        <w:t>公共安全支出（类）监狱（款）。年初预算为42408.41万元，支出决算为56323.95万元，完成年初预算的132.81%。决算数大于年初预算数的主要原因是</w:t>
      </w:r>
      <w:r>
        <w:rPr>
          <w:rFonts w:hint="eastAsia" w:ascii="仿宋_GB2312" w:eastAsia="仿宋_GB2312"/>
          <w:szCs w:val="32"/>
          <w:highlight w:val="none"/>
          <w:lang w:eastAsia="zh-CN"/>
        </w:rPr>
        <w:t>商品和服务支出</w:t>
      </w:r>
      <w:r>
        <w:rPr>
          <w:rFonts w:ascii="仿宋_GB2312" w:eastAsia="仿宋_GB2312"/>
          <w:szCs w:val="32"/>
          <w:highlight w:val="none"/>
        </w:rPr>
        <w:t>增加</w:t>
      </w:r>
      <w:r>
        <w:rPr>
          <w:rFonts w:hint="eastAsia" w:ascii="仿宋_GB2312" w:eastAsia="仿宋_GB2312"/>
          <w:szCs w:val="32"/>
        </w:rPr>
        <w:t>。</w:t>
      </w:r>
    </w:p>
    <w:p>
      <w:pPr>
        <w:numPr>
          <w:ilvl w:val="0"/>
          <w:numId w:val="1"/>
        </w:numPr>
        <w:spacing w:line="580" w:lineRule="exact"/>
        <w:ind w:firstLine="640" w:firstLineChars="200"/>
        <w:rPr>
          <w:rFonts w:ascii="仿宋_GB2312" w:eastAsia="仿宋_GB2312"/>
          <w:szCs w:val="32"/>
        </w:rPr>
      </w:pPr>
      <w:r>
        <w:rPr>
          <w:rFonts w:hint="eastAsia" w:ascii="仿宋_GB2312" w:eastAsia="仿宋_GB2312"/>
          <w:szCs w:val="32"/>
        </w:rPr>
        <w:t>公共安全支出（类）强制隔离戒毒（款）。年初预算为5568.35万元，支出决算为11260.38万元，完成年初预算的202.22%。决算数大于年初预算数的主要原因是市强制隔离戒毒所的建设项目及</w:t>
      </w:r>
      <w:r>
        <w:rPr>
          <w:rFonts w:hint="eastAsia" w:ascii="仿宋_GB2312" w:eastAsia="仿宋_GB2312"/>
          <w:szCs w:val="32"/>
          <w:highlight w:val="none"/>
          <w:lang w:eastAsia="zh-CN"/>
        </w:rPr>
        <w:t>商品和服务支出</w:t>
      </w:r>
      <w:r>
        <w:rPr>
          <w:rFonts w:ascii="仿宋_GB2312" w:eastAsia="仿宋_GB2312"/>
          <w:szCs w:val="32"/>
          <w:highlight w:val="none"/>
        </w:rPr>
        <w:t>增加</w:t>
      </w:r>
      <w:r>
        <w:rPr>
          <w:rFonts w:hint="eastAsia" w:ascii="仿宋_GB2312" w:eastAsia="仿宋_GB2312"/>
          <w:szCs w:val="32"/>
        </w:rPr>
        <w:t>。</w:t>
      </w:r>
    </w:p>
    <w:p>
      <w:pPr>
        <w:numPr>
          <w:ilvl w:val="0"/>
          <w:numId w:val="1"/>
        </w:numPr>
        <w:spacing w:line="580" w:lineRule="exact"/>
        <w:ind w:firstLine="640" w:firstLineChars="200"/>
        <w:rPr>
          <w:rFonts w:ascii="仿宋_GB2312" w:eastAsia="仿宋_GB2312"/>
          <w:szCs w:val="32"/>
        </w:rPr>
      </w:pPr>
      <w:r>
        <w:rPr>
          <w:rFonts w:hint="eastAsia" w:ascii="仿宋_GB2312" w:eastAsia="仿宋_GB2312"/>
          <w:szCs w:val="32"/>
        </w:rPr>
        <w:t>文化旅游体育与传媒支出（类）文物（款）文物保护（项）。年初无预算，支出决算为413万元。决算数大于年初预算数的主要原因是华人监狱修缮项目未纳入年初预算。</w:t>
      </w:r>
    </w:p>
    <w:p>
      <w:pPr>
        <w:numPr>
          <w:ilvl w:val="0"/>
          <w:numId w:val="1"/>
        </w:numPr>
        <w:spacing w:line="580" w:lineRule="exact"/>
        <w:ind w:firstLine="640" w:firstLineChars="200"/>
        <w:rPr>
          <w:rFonts w:ascii="仿宋_GB2312" w:eastAsia="仿宋_GB2312"/>
          <w:szCs w:val="32"/>
        </w:rPr>
      </w:pPr>
      <w:r>
        <w:rPr>
          <w:rFonts w:hint="eastAsia" w:ascii="仿宋_GB2312" w:eastAsia="仿宋_GB2312"/>
          <w:szCs w:val="32"/>
        </w:rPr>
        <w:t>文化旅游体育与传媒支出（类）文物（款）其他文物支出（项）。年初无预算，支出决算为65.06万元。决算数大于年初预算数的主要原因是华人监狱修缮项目未纳入年初预算。</w:t>
      </w:r>
    </w:p>
    <w:p>
      <w:pPr>
        <w:numPr>
          <w:ilvl w:val="0"/>
          <w:numId w:val="1"/>
        </w:numPr>
        <w:spacing w:line="580" w:lineRule="exact"/>
        <w:ind w:firstLine="640" w:firstLineChars="200"/>
        <w:rPr>
          <w:rFonts w:ascii="仿宋_GB2312" w:eastAsia="仿宋_GB2312"/>
          <w:szCs w:val="32"/>
        </w:rPr>
      </w:pPr>
      <w:r>
        <w:rPr>
          <w:rFonts w:hint="eastAsia" w:ascii="仿宋_GB2312" w:eastAsia="仿宋_GB2312"/>
          <w:szCs w:val="32"/>
        </w:rPr>
        <w:t>社会保障和就业支出（类）行政事业单位养老支出（款）机关事业单位基本养老保险缴费支出（项）。年初预算为3183.35万元，支出决算为3267.9万元，完成年初预算的102.66%。决算数大于年初预算数的主要原因是基数调整</w:t>
      </w:r>
      <w:r>
        <w:rPr>
          <w:rFonts w:ascii="仿宋_GB2312" w:eastAsia="仿宋_GB2312"/>
          <w:szCs w:val="32"/>
        </w:rPr>
        <w:t>等正常因素</w:t>
      </w:r>
      <w:r>
        <w:rPr>
          <w:rFonts w:hint="eastAsia" w:ascii="仿宋_GB2312" w:eastAsia="仿宋_GB2312"/>
          <w:szCs w:val="32"/>
        </w:rPr>
        <w:t>。</w:t>
      </w:r>
    </w:p>
    <w:p>
      <w:pPr>
        <w:numPr>
          <w:ilvl w:val="0"/>
          <w:numId w:val="1"/>
        </w:numPr>
        <w:spacing w:line="580" w:lineRule="exact"/>
        <w:ind w:firstLine="640" w:firstLineChars="200"/>
        <w:rPr>
          <w:rFonts w:ascii="仿宋_GB2312" w:eastAsia="仿宋_GB2312"/>
          <w:szCs w:val="32"/>
        </w:rPr>
      </w:pPr>
      <w:r>
        <w:rPr>
          <w:rFonts w:hint="eastAsia" w:ascii="仿宋_GB2312" w:eastAsia="仿宋_GB2312"/>
          <w:szCs w:val="32"/>
        </w:rPr>
        <w:t>社会保障和就业支出（类）行政事业单位养老支出（款）机关事业单位职业年金缴费支出（项）。年初预算为1591.68万元，支出决算为1633.95万元，完成年初预算的102.66%。决算数大于年初预算数的主要原因是基数调整</w:t>
      </w:r>
      <w:r>
        <w:rPr>
          <w:rFonts w:ascii="仿宋_GB2312" w:eastAsia="仿宋_GB2312"/>
          <w:szCs w:val="32"/>
        </w:rPr>
        <w:t>等正常因素</w:t>
      </w:r>
      <w:r>
        <w:rPr>
          <w:rFonts w:hint="eastAsia" w:ascii="仿宋_GB2312" w:eastAsia="仿宋_GB2312"/>
          <w:szCs w:val="32"/>
        </w:rPr>
        <w:t>。</w:t>
      </w:r>
    </w:p>
    <w:p>
      <w:pPr>
        <w:numPr>
          <w:ilvl w:val="0"/>
          <w:numId w:val="1"/>
        </w:numPr>
        <w:spacing w:line="580" w:lineRule="exact"/>
        <w:ind w:firstLine="640" w:firstLineChars="200"/>
        <w:rPr>
          <w:rFonts w:ascii="仿宋_GB2312" w:eastAsia="仿宋_GB2312"/>
          <w:szCs w:val="32"/>
        </w:rPr>
      </w:pPr>
      <w:r>
        <w:rPr>
          <w:rFonts w:hint="eastAsia" w:ascii="仿宋_GB2312" w:eastAsia="仿宋_GB2312"/>
          <w:szCs w:val="32"/>
        </w:rPr>
        <w:t>社会保障和就业支出（类）抚恤（款）其他优抚支出（项）。年初无预算，支出决算为0.3万元。决算数大于年初预算数的主要原因是年内追加的</w:t>
      </w:r>
      <w:r>
        <w:rPr>
          <w:rFonts w:ascii="仿宋_GB2312" w:eastAsia="仿宋_GB2312"/>
          <w:szCs w:val="32"/>
        </w:rPr>
        <w:t>建国前老党员</w:t>
      </w:r>
      <w:r>
        <w:rPr>
          <w:rFonts w:hint="eastAsia" w:ascii="仿宋_GB2312" w:eastAsia="仿宋_GB2312"/>
          <w:szCs w:val="32"/>
        </w:rPr>
        <w:t>生活补贴。</w:t>
      </w:r>
    </w:p>
    <w:p>
      <w:pPr>
        <w:numPr>
          <w:ilvl w:val="0"/>
          <w:numId w:val="1"/>
        </w:numPr>
        <w:spacing w:line="580" w:lineRule="exact"/>
        <w:ind w:firstLine="640" w:firstLineChars="200"/>
        <w:rPr>
          <w:rFonts w:ascii="仿宋_GB2312" w:eastAsia="仿宋_GB2312"/>
          <w:szCs w:val="32"/>
        </w:rPr>
      </w:pPr>
      <w:r>
        <w:rPr>
          <w:rFonts w:hint="eastAsia" w:ascii="仿宋_GB2312" w:eastAsia="仿宋_GB2312"/>
          <w:szCs w:val="32"/>
        </w:rPr>
        <w:t xml:space="preserve">卫生健康支出（类）其他卫生健康支出（款）其他卫生健康支出（项）。年初预算为50万元，支出决算为50万元，完成年初预算的100%。决算数与年初预算持平。   </w:t>
      </w:r>
    </w:p>
    <w:p>
      <w:pPr>
        <w:numPr>
          <w:ilvl w:val="0"/>
          <w:numId w:val="1"/>
        </w:numPr>
        <w:spacing w:line="580" w:lineRule="exact"/>
        <w:ind w:firstLine="640" w:firstLineChars="200"/>
        <w:rPr>
          <w:rFonts w:ascii="仿宋_GB2312" w:eastAsia="仿宋_GB2312"/>
          <w:szCs w:val="32"/>
        </w:rPr>
      </w:pPr>
      <w:r>
        <w:rPr>
          <w:rFonts w:hint="eastAsia" w:ascii="仿宋_GB2312" w:eastAsia="仿宋_GB2312"/>
          <w:szCs w:val="32"/>
        </w:rPr>
        <w:t>住房保障支出（类）住房改革支出（款）住房公积金（项）。年初预算为2915.46万元，支出决算为2985.4万元，完成年初预算的102.40%。决算数大于年初预算数的主要原因是基数调整</w:t>
      </w:r>
      <w:r>
        <w:rPr>
          <w:rFonts w:ascii="仿宋_GB2312" w:eastAsia="仿宋_GB2312"/>
          <w:szCs w:val="32"/>
        </w:rPr>
        <w:t>等正常因素</w:t>
      </w:r>
      <w:r>
        <w:rPr>
          <w:rFonts w:hint="eastAsia" w:ascii="仿宋_GB2312" w:eastAsia="仿宋_GB2312"/>
          <w:szCs w:val="32"/>
        </w:rPr>
        <w:t>。</w:t>
      </w:r>
    </w:p>
    <w:p>
      <w:pPr>
        <w:numPr>
          <w:ilvl w:val="0"/>
          <w:numId w:val="1"/>
        </w:numPr>
        <w:spacing w:line="580" w:lineRule="exact"/>
        <w:ind w:firstLine="640" w:firstLineChars="200"/>
        <w:rPr>
          <w:rFonts w:ascii="仿宋_GB2312" w:eastAsia="仿宋_GB2312"/>
          <w:szCs w:val="32"/>
        </w:rPr>
      </w:pPr>
      <w:r>
        <w:rPr>
          <w:rFonts w:hint="eastAsia" w:ascii="仿宋_GB2312" w:eastAsia="仿宋_GB2312"/>
          <w:szCs w:val="32"/>
        </w:rPr>
        <w:t>其他支出（类）其他支出（款）其他支出（项）。年初无预算，支出决算为60.48万元。决算数大于年初预算数的主要原因是年内追加的溢油事故专项</w:t>
      </w:r>
      <w:r>
        <w:rPr>
          <w:rFonts w:ascii="仿宋_GB2312" w:eastAsia="仿宋_GB2312"/>
          <w:szCs w:val="32"/>
        </w:rPr>
        <w:t>经费</w:t>
      </w:r>
      <w:r>
        <w:rPr>
          <w:rFonts w:hint="eastAsia" w:ascii="仿宋_GB2312" w:eastAsia="仿宋_GB2312"/>
          <w:szCs w:val="32"/>
        </w:rPr>
        <w:t>。</w:t>
      </w:r>
    </w:p>
    <w:p>
      <w:pPr>
        <w:spacing w:line="580" w:lineRule="exact"/>
        <w:ind w:firstLine="640" w:firstLineChars="200"/>
        <w:rPr>
          <w:rFonts w:ascii="黑体" w:hAnsi="黑体" w:eastAsia="黑体"/>
          <w:szCs w:val="32"/>
        </w:rPr>
      </w:pPr>
      <w:r>
        <w:rPr>
          <w:rFonts w:hint="eastAsia" w:ascii="黑体" w:hAnsi="黑体" w:eastAsia="黑体"/>
          <w:szCs w:val="32"/>
        </w:rPr>
        <w:t>六、一般公共预算财政拨款基本支出决算情况</w:t>
      </w:r>
    </w:p>
    <w:p>
      <w:pPr>
        <w:spacing w:line="580" w:lineRule="exact"/>
        <w:ind w:firstLine="640" w:firstLineChars="200"/>
        <w:rPr>
          <w:rFonts w:ascii="仿宋_GB2312" w:eastAsia="仿宋_GB2312"/>
          <w:szCs w:val="32"/>
        </w:rPr>
      </w:pPr>
      <w:r>
        <w:rPr>
          <w:rFonts w:hint="eastAsia" w:ascii="仿宋_GB2312" w:eastAsia="仿宋_GB2312"/>
          <w:szCs w:val="32"/>
        </w:rPr>
        <w:t>2021年度一般公共预算财政拨款基本支出决算72399.98万元，包括人员经费和公用经费，支出具体情况如下：</w:t>
      </w:r>
    </w:p>
    <w:p>
      <w:pPr>
        <w:spacing w:line="580" w:lineRule="exact"/>
        <w:ind w:firstLine="640" w:firstLineChars="200"/>
        <w:rPr>
          <w:rFonts w:ascii="仿宋_GB2312" w:eastAsia="仿宋_GB2312"/>
          <w:b/>
          <w:szCs w:val="32"/>
        </w:rPr>
      </w:pPr>
      <w:r>
        <w:rPr>
          <w:rFonts w:hint="eastAsia" w:ascii="仿宋_GB2312" w:eastAsia="仿宋_GB2312"/>
          <w:szCs w:val="32"/>
        </w:rPr>
        <w:t>人员经费46203.85万元，主要包括：基本工资、津贴补贴、奖金、绩效工资、机关事业单位基本养老保险缴费、职业年金缴费、职工基本医疗保险缴费、其他社会保障缴费、住房公积金、其他工资福利支出、离休费、退休费、退职（役）费、抚恤金、生活补助、医疗费补助、其他对个人和家庭的补助等。</w:t>
      </w:r>
    </w:p>
    <w:p>
      <w:pPr>
        <w:spacing w:line="580" w:lineRule="exact"/>
        <w:ind w:firstLine="640" w:firstLineChars="200"/>
        <w:rPr>
          <w:rFonts w:ascii="仿宋_GB2312" w:eastAsia="仿宋_GB2312"/>
          <w:b/>
          <w:szCs w:val="32"/>
        </w:rPr>
      </w:pPr>
      <w:r>
        <w:rPr>
          <w:rFonts w:hint="eastAsia" w:ascii="仿宋_GB2312" w:eastAsia="仿宋_GB2312"/>
          <w:szCs w:val="32"/>
        </w:rPr>
        <w:t>公用经费26196.13万元，主要包括：办公费、印刷费、手续费、水费、电费、邮电费、取暖费、物业管理费、差旅费、维修(护)费、租赁费、会议费、培训费、公务接待费、劳务费、委托业务费、工会经费、福利费、公务用车运行维护费、其他交通费用、其他商品和服务支出、资本性支出、办公设备购置、专用设备购置、信息网络及软件购置更新等。</w:t>
      </w:r>
    </w:p>
    <w:p>
      <w:pPr>
        <w:spacing w:line="580" w:lineRule="exact"/>
        <w:ind w:firstLine="640" w:firstLineChars="200"/>
        <w:rPr>
          <w:rFonts w:ascii="黑体" w:hAnsi="黑体" w:eastAsia="黑体"/>
          <w:szCs w:val="32"/>
        </w:rPr>
      </w:pPr>
      <w:r>
        <w:rPr>
          <w:rFonts w:hint="eastAsia" w:ascii="黑体" w:hAnsi="黑体" w:eastAsia="黑体"/>
          <w:szCs w:val="32"/>
        </w:rPr>
        <w:t>七、一般公共预算财政拨款“三公”经费支出决算情况</w:t>
      </w:r>
    </w:p>
    <w:p>
      <w:pPr>
        <w:spacing w:line="580" w:lineRule="exact"/>
        <w:ind w:firstLine="640" w:firstLineChars="200"/>
        <w:rPr>
          <w:rFonts w:ascii="楷体_GB2312" w:eastAsia="楷体_GB2312"/>
          <w:szCs w:val="32"/>
        </w:rPr>
      </w:pPr>
      <w:r>
        <w:rPr>
          <w:rFonts w:hint="eastAsia" w:ascii="楷体_GB2312" w:eastAsia="楷体_GB2312"/>
          <w:szCs w:val="32"/>
        </w:rPr>
        <w:t>（一）“三公”经费支出决算总体情况</w:t>
      </w:r>
    </w:p>
    <w:p>
      <w:pPr>
        <w:spacing w:line="580" w:lineRule="exact"/>
        <w:ind w:firstLine="640" w:firstLineChars="200"/>
        <w:rPr>
          <w:rFonts w:ascii="仿宋_GB2312" w:eastAsia="仿宋_GB2312"/>
          <w:szCs w:val="32"/>
        </w:rPr>
      </w:pPr>
      <w:r>
        <w:rPr>
          <w:rFonts w:hint="eastAsia" w:ascii="仿宋_GB2312" w:eastAsia="仿宋_GB2312"/>
          <w:szCs w:val="32"/>
        </w:rPr>
        <w:t>2021年度一般公共预算财政拨款“三公”经费支出年初预算为213.07万元，支出决算为76.23万元，比年初预算减少136.84万元，完成年初预算的35.78%，决算数小于年初预算数的主要原因是落实“厉行节约”规定，以及受疫情影响“三公经费”下降幅度较大。</w:t>
      </w:r>
    </w:p>
    <w:p>
      <w:pPr>
        <w:spacing w:line="580" w:lineRule="exact"/>
        <w:ind w:firstLine="640" w:firstLineChars="200"/>
        <w:rPr>
          <w:rFonts w:ascii="楷体_GB2312" w:eastAsia="楷体_GB2312"/>
          <w:szCs w:val="32"/>
        </w:rPr>
      </w:pPr>
      <w:r>
        <w:rPr>
          <w:rFonts w:hint="eastAsia" w:ascii="楷体_GB2312" w:eastAsia="楷体_GB2312"/>
          <w:szCs w:val="32"/>
        </w:rPr>
        <w:t>（二）“三公”经费支出决算具体情况</w:t>
      </w:r>
    </w:p>
    <w:p>
      <w:pPr>
        <w:spacing w:line="580" w:lineRule="exact"/>
        <w:ind w:firstLine="640" w:firstLineChars="200"/>
        <w:rPr>
          <w:rFonts w:ascii="仿宋_GB2312" w:eastAsia="仿宋_GB2312"/>
          <w:b/>
          <w:szCs w:val="32"/>
        </w:rPr>
      </w:pPr>
      <w:r>
        <w:rPr>
          <w:rFonts w:hint="eastAsia" w:ascii="仿宋_GB2312" w:eastAsia="仿宋_GB2312"/>
          <w:szCs w:val="32"/>
        </w:rPr>
        <w:t>1.因公出国（境）费年初预算为9.8万元，支出决算为0万元，比年初预算增加减少9.8万元，完成年初预算的0%， 决算数小于年初预算数的主要原因是受疫情影响原公务出国任务未安排。</w:t>
      </w:r>
    </w:p>
    <w:p>
      <w:pPr>
        <w:spacing w:line="580" w:lineRule="exact"/>
        <w:ind w:firstLine="640" w:firstLineChars="200"/>
        <w:rPr>
          <w:rFonts w:ascii="仿宋_GB2312" w:eastAsia="仿宋_GB2312"/>
          <w:b/>
          <w:szCs w:val="32"/>
        </w:rPr>
      </w:pPr>
      <w:r>
        <w:rPr>
          <w:rFonts w:hint="eastAsia" w:ascii="仿宋_GB2312" w:eastAsia="仿宋_GB2312"/>
          <w:szCs w:val="32"/>
        </w:rPr>
        <w:t>2.公务用车购置及运行维护费年初预算为179.55万元，支出决算为66.77万元，比年初预算减少112.78万元，完成年初预算的37.19%， 决算数小于年初预算数的主要原因是落实“厉行节约”规定，以及受疫情影响公务用车运行维护费下降幅度较大。</w:t>
      </w:r>
    </w:p>
    <w:p>
      <w:pPr>
        <w:spacing w:line="580" w:lineRule="exact"/>
        <w:ind w:firstLine="640" w:firstLineChars="200"/>
        <w:rPr>
          <w:rFonts w:ascii="仿宋_GB2312" w:eastAsia="仿宋_GB2312"/>
          <w:szCs w:val="32"/>
        </w:rPr>
      </w:pPr>
      <w:r>
        <w:rPr>
          <w:rFonts w:hint="eastAsia" w:ascii="仿宋_GB2312" w:eastAsia="仿宋_GB2312"/>
          <w:szCs w:val="32"/>
        </w:rPr>
        <w:t>其中：公务用车购置费支出0万元。公务用车运行维护费66.77万元，主要是按规定保留的公务用车的燃料费、维修费、保险费等支出。截至2021年12月31日，司法局本级、青岛监狱、北墅监狱、市强制隔离戒毒所等单位财政拨款开支运行维护费的公务用车保有量为45辆。</w:t>
      </w:r>
    </w:p>
    <w:p>
      <w:pPr>
        <w:spacing w:line="580" w:lineRule="exact"/>
        <w:ind w:firstLine="640" w:firstLineChars="200"/>
        <w:rPr>
          <w:rFonts w:ascii="仿宋_GB2312" w:eastAsia="仿宋_GB2312"/>
          <w:b/>
          <w:szCs w:val="32"/>
        </w:rPr>
      </w:pPr>
      <w:r>
        <w:rPr>
          <w:rFonts w:hint="eastAsia" w:ascii="仿宋_GB2312" w:eastAsia="仿宋_GB2312"/>
          <w:szCs w:val="32"/>
        </w:rPr>
        <w:t>3.公务接待费年初预算为23.72万元，支出决算为9.46万元，比年初预算减少14.26万元，完成年初预算的39.88%， 决算数小于年初预算数的主要原因是落实“厉行节约”规定，以及受疫情影响公务接待费下降幅度较大。</w:t>
      </w:r>
    </w:p>
    <w:p>
      <w:pPr>
        <w:spacing w:line="580" w:lineRule="exact"/>
        <w:ind w:firstLine="640" w:firstLineChars="200"/>
        <w:rPr>
          <w:rFonts w:ascii="仿宋_GB2312" w:eastAsia="仿宋_GB2312"/>
          <w:szCs w:val="32"/>
        </w:rPr>
      </w:pPr>
      <w:r>
        <w:rPr>
          <w:rFonts w:hint="eastAsia" w:ascii="仿宋_GB2312" w:eastAsia="仿宋_GB2312"/>
          <w:szCs w:val="32"/>
        </w:rPr>
        <w:t>其中：国内接待费9.46万元，主要用于司法局部门按规定开支的各类国内公务接待支出，共计接待72批次、547人次。</w:t>
      </w:r>
    </w:p>
    <w:p>
      <w:pPr>
        <w:spacing w:line="580" w:lineRule="exact"/>
        <w:ind w:firstLine="640" w:firstLineChars="200"/>
        <w:rPr>
          <w:rFonts w:ascii="黑体" w:hAnsi="黑体" w:eastAsia="黑体"/>
          <w:szCs w:val="32"/>
        </w:rPr>
      </w:pPr>
      <w:r>
        <w:rPr>
          <w:rFonts w:hint="eastAsia" w:ascii="黑体" w:hAnsi="黑体" w:eastAsia="黑体"/>
          <w:szCs w:val="32"/>
        </w:rPr>
        <w:t>八、政府性基金预算财政拨款收入支出决算情况</w:t>
      </w:r>
    </w:p>
    <w:p>
      <w:pPr>
        <w:spacing w:line="580" w:lineRule="exact"/>
        <w:ind w:firstLine="640" w:firstLineChars="200"/>
        <w:rPr>
          <w:rFonts w:ascii="仿宋_GB2312" w:eastAsia="仿宋_GB2312"/>
          <w:bCs/>
          <w:szCs w:val="32"/>
        </w:rPr>
      </w:pPr>
      <w:r>
        <w:rPr>
          <w:rFonts w:hint="eastAsia" w:ascii="仿宋_GB2312" w:eastAsia="仿宋_GB2312"/>
          <w:bCs/>
          <w:szCs w:val="32"/>
        </w:rPr>
        <w:t>本部门没有政府性基金财政拨款收支。</w:t>
      </w:r>
      <w:r>
        <w:rPr>
          <w:rFonts w:hint="eastAsia" w:ascii="仿宋_GB2312" w:eastAsia="仿宋_GB2312"/>
          <w:sz w:val="32"/>
          <w:szCs w:val="32"/>
        </w:rPr>
        <w:t>公</w:t>
      </w:r>
      <w:r>
        <w:rPr>
          <w:rFonts w:hint="eastAsia" w:ascii="仿宋_GB2312" w:hAnsi="Times New Roman" w:eastAsia="仿宋_GB2312" w:cs="Times New Roman"/>
          <w:color w:val="auto"/>
          <w:sz w:val="32"/>
          <w:szCs w:val="32"/>
          <w:highlight w:val="none"/>
        </w:rPr>
        <w:t>开表格实行零报告</w:t>
      </w:r>
      <w:r>
        <w:rPr>
          <w:rFonts w:hint="eastAsia" w:ascii="仿宋_GB2312" w:eastAsia="仿宋_GB2312"/>
          <w:szCs w:val="32"/>
        </w:rPr>
        <w:t>。</w:t>
      </w:r>
    </w:p>
    <w:p>
      <w:pPr>
        <w:spacing w:line="580" w:lineRule="exact"/>
        <w:ind w:firstLine="640" w:firstLineChars="200"/>
        <w:rPr>
          <w:rFonts w:ascii="黑体" w:hAnsi="黑体" w:eastAsia="黑体"/>
          <w:szCs w:val="32"/>
        </w:rPr>
      </w:pPr>
      <w:r>
        <w:rPr>
          <w:rFonts w:hint="eastAsia" w:ascii="黑体" w:hAnsi="黑体" w:eastAsia="黑体"/>
          <w:szCs w:val="32"/>
        </w:rPr>
        <w:t>九、国有资本经营预算财政拨款支出决算情况说明</w:t>
      </w:r>
    </w:p>
    <w:p>
      <w:pPr>
        <w:spacing w:line="580" w:lineRule="exact"/>
        <w:ind w:firstLine="640" w:firstLineChars="200"/>
        <w:rPr>
          <w:rFonts w:ascii="仿宋_GB2312" w:eastAsia="仿宋_GB2312"/>
          <w:bCs/>
          <w:szCs w:val="32"/>
        </w:rPr>
      </w:pPr>
      <w:r>
        <w:rPr>
          <w:rFonts w:hint="eastAsia" w:ascii="仿宋_GB2312" w:eastAsia="仿宋_GB2312"/>
          <w:bCs/>
          <w:szCs w:val="32"/>
        </w:rPr>
        <w:t>本部门没有国有资本经营预算财政拨款支出。</w:t>
      </w:r>
      <w:r>
        <w:rPr>
          <w:rFonts w:hint="eastAsia" w:ascii="仿宋_GB2312" w:eastAsia="仿宋_GB2312"/>
          <w:sz w:val="32"/>
          <w:szCs w:val="32"/>
        </w:rPr>
        <w:t>公</w:t>
      </w:r>
      <w:r>
        <w:rPr>
          <w:rFonts w:hint="eastAsia" w:ascii="仿宋_GB2312" w:hAnsi="Times New Roman" w:eastAsia="仿宋_GB2312" w:cs="Times New Roman"/>
          <w:color w:val="auto"/>
          <w:sz w:val="32"/>
          <w:szCs w:val="32"/>
          <w:highlight w:val="none"/>
        </w:rPr>
        <w:t>开表格实行零报告</w:t>
      </w:r>
      <w:r>
        <w:rPr>
          <w:rFonts w:hint="eastAsia" w:ascii="仿宋_GB2312" w:eastAsia="仿宋_GB2312"/>
          <w:szCs w:val="32"/>
        </w:rPr>
        <w:t>。</w:t>
      </w:r>
    </w:p>
    <w:p>
      <w:pPr>
        <w:spacing w:line="580" w:lineRule="exact"/>
        <w:ind w:firstLine="640" w:firstLineChars="200"/>
        <w:rPr>
          <w:rFonts w:ascii="黑体" w:hAnsi="黑体" w:eastAsia="黑体"/>
          <w:szCs w:val="32"/>
        </w:rPr>
      </w:pPr>
      <w:r>
        <w:rPr>
          <w:rFonts w:hint="eastAsia" w:ascii="黑体" w:hAnsi="黑体" w:eastAsia="黑体"/>
          <w:szCs w:val="32"/>
        </w:rPr>
        <w:t xml:space="preserve">十、其他重要事项情况说明 </w:t>
      </w:r>
    </w:p>
    <w:p>
      <w:pPr>
        <w:spacing w:line="580" w:lineRule="exact"/>
        <w:ind w:firstLine="640" w:firstLineChars="200"/>
        <w:rPr>
          <w:rFonts w:ascii="楷体_GB2312" w:eastAsia="楷体_GB2312"/>
          <w:szCs w:val="32"/>
        </w:rPr>
      </w:pPr>
      <w:r>
        <w:rPr>
          <w:rFonts w:hint="eastAsia" w:ascii="楷体_GB2312" w:eastAsia="楷体_GB2312"/>
          <w:szCs w:val="32"/>
        </w:rPr>
        <w:t>（一）机关运行经费支出情况</w:t>
      </w:r>
    </w:p>
    <w:p>
      <w:pPr>
        <w:spacing w:line="580" w:lineRule="exact"/>
        <w:ind w:firstLine="640" w:firstLineChars="200"/>
        <w:rPr>
          <w:rFonts w:ascii="仿宋_GB2312" w:eastAsia="仿宋_GB2312"/>
          <w:b/>
          <w:szCs w:val="32"/>
        </w:rPr>
      </w:pPr>
      <w:r>
        <w:rPr>
          <w:rFonts w:hint="eastAsia" w:ascii="仿宋_GB2312" w:eastAsia="仿宋_GB2312"/>
          <w:szCs w:val="32"/>
        </w:rPr>
        <w:t>2021年度机关运行经费支出26149.88万元</w:t>
      </w:r>
      <w:r>
        <w:rPr>
          <w:rFonts w:hint="eastAsia" w:ascii="仿宋_GB2312" w:hAnsi="宋体" w:eastAsia="仿宋_GB2312" w:cs="Courier New"/>
          <w:szCs w:val="32"/>
        </w:rPr>
        <w:t>，比年初预算数增加1270.03万元，增长5.10%，主要</w:t>
      </w:r>
      <w:r>
        <w:rPr>
          <w:rFonts w:hint="eastAsia" w:ascii="仿宋_GB2312" w:eastAsia="仿宋_GB2312"/>
          <w:szCs w:val="32"/>
        </w:rPr>
        <w:t>原因是部分工资性支出未纳入年初预算。</w:t>
      </w:r>
    </w:p>
    <w:p>
      <w:pPr>
        <w:spacing w:line="580" w:lineRule="exact"/>
        <w:ind w:firstLine="640" w:firstLineChars="200"/>
        <w:rPr>
          <w:rFonts w:ascii="楷体_GB2312" w:eastAsia="楷体_GB2312"/>
          <w:szCs w:val="32"/>
        </w:rPr>
      </w:pPr>
      <w:r>
        <w:rPr>
          <w:rFonts w:hint="eastAsia" w:ascii="楷体_GB2312" w:eastAsia="楷体_GB2312"/>
          <w:szCs w:val="32"/>
        </w:rPr>
        <w:t>（二）政府采购支出情况</w:t>
      </w:r>
    </w:p>
    <w:p>
      <w:pPr>
        <w:autoSpaceDE w:val="0"/>
        <w:autoSpaceDN w:val="0"/>
        <w:adjustRightInd w:val="0"/>
        <w:spacing w:line="580" w:lineRule="exact"/>
        <w:ind w:firstLine="640" w:firstLineChars="200"/>
        <w:jc w:val="left"/>
        <w:rPr>
          <w:rFonts w:ascii="仿宋_GB2312" w:hAnsi="宋体" w:eastAsia="仿宋_GB2312" w:cs="Courier New"/>
          <w:szCs w:val="32"/>
        </w:rPr>
      </w:pPr>
      <w:r>
        <w:rPr>
          <w:rFonts w:hint="eastAsia" w:ascii="仿宋_GB2312" w:hAnsi="宋体" w:eastAsia="仿宋_GB2312" w:cs="Courier New"/>
          <w:szCs w:val="32"/>
        </w:rPr>
        <w:t>2021年度政府采购支出总额5455.17万元，其中：政府采购货物支出1500.45万元、政府采购工程支出2343.70万元、政府采购服务支出1611.01万元。授予中小企业合同金额2389.60万元，占政府采购支出总额的43.80%，其中：授予小微企业合同金额1840.47万元，占政府采购支出总额的33.74%。货物采购授予中小企业合同金额占货物支出金额的81.91%，工程采购授予中小企业合同金额占工程支出金额的19.14%，服务采购授予中小企业合同金额占服务支出金额的44.19%。</w:t>
      </w:r>
    </w:p>
    <w:p>
      <w:pPr>
        <w:spacing w:line="580" w:lineRule="exact"/>
        <w:ind w:firstLine="640" w:firstLineChars="200"/>
        <w:rPr>
          <w:rFonts w:ascii="楷体_GB2312" w:eastAsia="楷体_GB2312"/>
          <w:szCs w:val="32"/>
        </w:rPr>
      </w:pPr>
      <w:r>
        <w:rPr>
          <w:rFonts w:hint="eastAsia" w:ascii="楷体_GB2312" w:eastAsia="楷体_GB2312"/>
          <w:szCs w:val="32"/>
        </w:rPr>
        <w:t>（三）国有资产占用情况</w:t>
      </w:r>
    </w:p>
    <w:p>
      <w:pPr>
        <w:spacing w:line="580" w:lineRule="exact"/>
        <w:ind w:firstLine="640" w:firstLineChars="200"/>
        <w:rPr>
          <w:rFonts w:ascii="仿宋_GB2312" w:hAnsi="宋体" w:eastAsia="仿宋_GB2312" w:cs="Courier New"/>
          <w:szCs w:val="32"/>
        </w:rPr>
      </w:pPr>
      <w:r>
        <w:rPr>
          <w:rFonts w:hint="eastAsia" w:ascii="仿宋_GB2312" w:hAnsi="宋体" w:eastAsia="仿宋_GB2312" w:cs="Courier New"/>
          <w:szCs w:val="32"/>
        </w:rPr>
        <w:t>截至 2021 年 12 月 31 日，本部门共有车辆45辆，其中，符合规定领导干部用车0辆、机要通信用车6辆、应急保障用车3辆、执法执勤用车21辆、特种专业技术用车7辆、离退休干部用车8辆、其他用车0辆；单位价值 50 万元以上通用设备16台（套）；单位价值 100 万元以上专用设备13台（套）。</w:t>
      </w:r>
    </w:p>
    <w:p>
      <w:pPr>
        <w:spacing w:line="560" w:lineRule="exact"/>
        <w:ind w:firstLine="640" w:firstLineChars="200"/>
        <w:rPr>
          <w:rFonts w:ascii="黑体" w:hAnsi="黑体" w:eastAsia="黑体"/>
          <w:szCs w:val="32"/>
        </w:rPr>
      </w:pPr>
      <w:r>
        <w:rPr>
          <w:rFonts w:hint="eastAsia" w:ascii="黑体" w:hAnsi="黑体" w:eastAsia="黑体"/>
          <w:szCs w:val="32"/>
        </w:rPr>
        <w:t>十一、预算绩效情况说明</w:t>
      </w:r>
    </w:p>
    <w:p>
      <w:pPr>
        <w:pStyle w:val="16"/>
        <w:spacing w:line="560" w:lineRule="exact"/>
        <w:ind w:firstLine="640" w:firstLineChars="200"/>
        <w:jc w:val="both"/>
        <w:rPr>
          <w:rFonts w:ascii="楷体_GB2312" w:eastAsia="楷体_GB2312"/>
          <w:bCs/>
          <w:kern w:val="0"/>
          <w:szCs w:val="32"/>
        </w:rPr>
      </w:pPr>
      <w:r>
        <w:rPr>
          <w:rFonts w:hint="eastAsia" w:ascii="楷体_GB2312" w:eastAsia="楷体_GB2312"/>
          <w:bCs/>
          <w:kern w:val="0"/>
          <w:szCs w:val="32"/>
        </w:rPr>
        <w:t>（一）预算绩效管理工作开展情况</w:t>
      </w:r>
    </w:p>
    <w:p>
      <w:pPr>
        <w:pStyle w:val="16"/>
        <w:spacing w:line="560" w:lineRule="exact"/>
        <w:ind w:firstLine="640" w:firstLineChars="200"/>
        <w:jc w:val="both"/>
        <w:rPr>
          <w:rFonts w:ascii="仿宋_GB2312" w:eastAsia="仿宋_GB2312"/>
          <w:kern w:val="0"/>
          <w:szCs w:val="32"/>
        </w:rPr>
      </w:pPr>
      <w:r>
        <w:rPr>
          <w:rFonts w:hint="eastAsia" w:ascii="仿宋_GB2312" w:eastAsia="仿宋_GB2312"/>
          <w:kern w:val="0"/>
          <w:szCs w:val="32"/>
        </w:rPr>
        <w:t>根据预算绩效管理要求，青岛市司法局按照“谁用款、谁评价”的原则，组织所属单位对2021年度市级预算安排项目支出进行全面自评，涵盖项目22个；涉及预算资金5400.32万元，占部门预算项目支出总额的100%。</w:t>
      </w:r>
    </w:p>
    <w:p>
      <w:pPr>
        <w:spacing w:line="560" w:lineRule="exact"/>
        <w:ind w:firstLine="640" w:firstLineChars="200"/>
        <w:rPr>
          <w:rFonts w:ascii="仿宋_GB2312" w:eastAsia="仿宋_GB2312"/>
          <w:szCs w:val="32"/>
        </w:rPr>
      </w:pPr>
      <w:r>
        <w:rPr>
          <w:rFonts w:hint="eastAsia" w:ascii="仿宋_GB2312" w:hAnsi="Calibri" w:eastAsia="仿宋_GB2312"/>
          <w:szCs w:val="32"/>
        </w:rPr>
        <w:t>组织</w:t>
      </w:r>
      <w:r>
        <w:rPr>
          <w:rFonts w:hint="eastAsia" w:ascii="仿宋_GB2312" w:eastAsia="仿宋_GB2312"/>
          <w:szCs w:val="32"/>
        </w:rPr>
        <w:t>开展部门整体支出绩效自评，</w:t>
      </w:r>
      <w:r>
        <w:rPr>
          <w:rFonts w:hint="eastAsia" w:ascii="仿宋_GB2312" w:hAnsi="仿宋_GB2312" w:eastAsia="仿宋_GB2312" w:cs="仿宋_GB2312"/>
          <w:szCs w:val="32"/>
        </w:rPr>
        <w:t>涉及预算资金72544.37万元，其中财政拨款60688.73万元。</w:t>
      </w:r>
    </w:p>
    <w:p>
      <w:pPr>
        <w:spacing w:line="560" w:lineRule="exact"/>
        <w:ind w:firstLine="640" w:firstLineChars="200"/>
        <w:rPr>
          <w:rFonts w:ascii="仿宋_GB2312" w:eastAsia="仿宋_GB2312"/>
          <w:szCs w:val="32"/>
        </w:rPr>
      </w:pPr>
      <w:r>
        <w:rPr>
          <w:rFonts w:hint="eastAsia" w:ascii="仿宋_GB2312" w:eastAsia="仿宋_GB2312"/>
          <w:szCs w:val="32"/>
        </w:rPr>
        <w:t>组织对“法制专项业务费、警用服装费、法律职业资格考试费、普法人民监督员涉法涉诉专项经费、法律培训费、惠企政策法律服务费、法律援助及12348业务费、公共法律服务中心建设运行费”等8个非涉密项目开展了部门评价，涉及资金1177.4万元，另对14个涉密项目开展了部门评价。</w:t>
      </w:r>
    </w:p>
    <w:p>
      <w:pPr>
        <w:spacing w:line="560" w:lineRule="exact"/>
        <w:ind w:firstLine="640" w:firstLineChars="200"/>
        <w:rPr>
          <w:rFonts w:ascii="楷体_GB2312" w:eastAsia="楷体_GB2312"/>
          <w:bCs/>
          <w:kern w:val="0"/>
          <w:szCs w:val="32"/>
        </w:rPr>
      </w:pPr>
      <w:r>
        <w:rPr>
          <w:rFonts w:hint="eastAsia" w:ascii="楷体_GB2312" w:eastAsia="楷体_GB2312"/>
          <w:bCs/>
          <w:kern w:val="0"/>
          <w:szCs w:val="32"/>
        </w:rPr>
        <w:t>（二）项目绩效自评结果</w:t>
      </w:r>
    </w:p>
    <w:p>
      <w:pPr>
        <w:spacing w:line="560" w:lineRule="exact"/>
        <w:ind w:firstLine="640" w:firstLineChars="200"/>
        <w:rPr>
          <w:rFonts w:ascii="仿宋_GB2312" w:eastAsia="仿宋_GB2312" w:cs="仿宋_GB2312"/>
          <w:szCs w:val="32"/>
        </w:rPr>
      </w:pPr>
      <w:r>
        <w:rPr>
          <w:rFonts w:hint="eastAsia" w:ascii="仿宋_GB2312" w:eastAsia="仿宋_GB2312"/>
          <w:szCs w:val="32"/>
        </w:rPr>
        <w:t>青岛市司法局2021年度市级预算安排项目支出绩效自评的22个项目中，21个项目自评等级为优，1个项目自评等级为差。</w:t>
      </w:r>
      <w:r>
        <w:rPr>
          <w:rFonts w:hint="eastAsia" w:ascii="仿宋_GB2312" w:eastAsia="仿宋_GB2312" w:cs="仿宋_GB2312"/>
          <w:szCs w:val="32"/>
        </w:rPr>
        <w:t>从自评情况看，项目支出绩效管理的重视程度进一步提升，大部分项目有序开展，执行和完成情况较好，资金使用比较规范，从预算的申报、预算执行、业务管理、财务管理、产出指标、实施效果等方面，采取了有效控制措施，确保项目顺利完成和取得预期效果，但也存在部分项目产出指标低于预期、项目实施进展慢等问题，个别项目因疫情原因，未按年初计划完成。</w:t>
      </w:r>
    </w:p>
    <w:p>
      <w:pPr>
        <w:spacing w:line="560" w:lineRule="exact"/>
        <w:ind w:firstLine="640" w:firstLineChars="200"/>
        <w:rPr>
          <w:rFonts w:ascii="仿宋_GB2312" w:eastAsia="仿宋_GB2312"/>
          <w:szCs w:val="32"/>
        </w:rPr>
      </w:pPr>
      <w:r>
        <w:rPr>
          <w:rFonts w:hint="eastAsia" w:ascii="仿宋_GB2312" w:eastAsia="仿宋_GB2312"/>
          <w:szCs w:val="32"/>
        </w:rPr>
        <w:t>本次</w:t>
      </w:r>
      <w:r>
        <w:rPr>
          <w:rFonts w:ascii="仿宋_GB2312" w:eastAsia="仿宋_GB2312"/>
          <w:szCs w:val="32"/>
        </w:rPr>
        <w:t>公开</w:t>
      </w:r>
      <w:r>
        <w:rPr>
          <w:rFonts w:hint="eastAsia" w:ascii="仿宋_GB2312" w:eastAsia="仿宋_GB2312"/>
          <w:szCs w:val="32"/>
        </w:rPr>
        <w:t>内容</w:t>
      </w:r>
      <w:r>
        <w:rPr>
          <w:rFonts w:ascii="仿宋_GB2312" w:eastAsia="仿宋_GB2312"/>
          <w:szCs w:val="32"/>
        </w:rPr>
        <w:t>包含</w:t>
      </w:r>
      <w:r>
        <w:rPr>
          <w:rFonts w:hint="eastAsia" w:ascii="仿宋_GB2312" w:eastAsia="仿宋_GB2312"/>
          <w:szCs w:val="32"/>
        </w:rPr>
        <w:t>2021年度所有预算项目支出绩效自评结果，以及“法制专项业务费、法律职业资格考试费、法律培训费、法律援助及12348业务费、公共法律服务中心建设运行费”等5个项目的绩效自评表。</w:t>
      </w:r>
    </w:p>
    <w:p>
      <w:pPr>
        <w:spacing w:line="560" w:lineRule="exact"/>
        <w:ind w:firstLine="640" w:firstLineChars="200"/>
        <w:rPr>
          <w:rFonts w:ascii="仿宋_GB2312" w:eastAsia="仿宋_GB2312"/>
          <w:szCs w:val="32"/>
        </w:rPr>
      </w:pPr>
      <w:r>
        <w:rPr>
          <w:rFonts w:hint="eastAsia" w:ascii="仿宋_GB2312" w:eastAsia="仿宋_GB2312"/>
          <w:szCs w:val="32"/>
        </w:rPr>
        <w:t>1.法制专项业务费项目绩效自评综述：根据年初设定的绩效目标，项目自评得分为99.75分。全年预算数为158.4万元，执行数为154.45万元，完成预算的97.51%。项目绩效目标完成情况：一是市级重大决策合法性审查率≥95%；二是行政执法人员执法证审验数≥1200人；三是市级单位行政执法监督覆盖率≥90 %。</w:t>
      </w:r>
    </w:p>
    <w:p>
      <w:pPr>
        <w:spacing w:line="560" w:lineRule="exact"/>
        <w:ind w:firstLine="640" w:firstLineChars="200"/>
        <w:rPr>
          <w:rFonts w:ascii="仿宋_GB2312" w:eastAsia="仿宋_GB2312"/>
          <w:szCs w:val="32"/>
        </w:rPr>
      </w:pPr>
      <w:r>
        <w:rPr>
          <w:rFonts w:hint="eastAsia" w:ascii="仿宋_GB2312" w:eastAsia="仿宋_GB2312"/>
          <w:szCs w:val="32"/>
        </w:rPr>
        <w:t>2.法律职业资格考试费项目绩效自评综述：根据年初设定的绩效目标，项目自评得分为93.31分。全年预算数为90.5万元，执行数为90.5万元，完成预算的100%。项目绩效目标完成情况：一是主客观题考试人数≥6000人；二是考生机位准备率=100%；三是考生满意度≥90%。</w:t>
      </w:r>
    </w:p>
    <w:p>
      <w:pPr>
        <w:spacing w:line="560" w:lineRule="exact"/>
        <w:ind w:firstLine="640" w:firstLineChars="200"/>
        <w:rPr>
          <w:rFonts w:ascii="仿宋_GB2312" w:eastAsia="仿宋_GB2312"/>
          <w:szCs w:val="32"/>
        </w:rPr>
      </w:pPr>
      <w:r>
        <w:rPr>
          <w:rFonts w:hint="eastAsia" w:ascii="仿宋_GB2312" w:eastAsia="仿宋_GB2312"/>
          <w:szCs w:val="32"/>
        </w:rPr>
        <w:t>3.法律培训费项目绩效自评综述：根据年初设定的绩效目标，项目自评得分为99.2分。全年预算数为27万元，执行数为24.83万元，完成预算的91.96%。项目绩效目标完成情况：一是年初培训计划完成率=100 %；二是单人培训成本≤400 元；三是行政执法人员培训次数≥3批次；四是确保全市行政执法人员（新增和复审）培训考试持证上岗≥3000人。</w:t>
      </w:r>
    </w:p>
    <w:p>
      <w:pPr>
        <w:spacing w:line="560" w:lineRule="exact"/>
        <w:ind w:firstLine="640" w:firstLineChars="200"/>
        <w:rPr>
          <w:rFonts w:ascii="仿宋_GB2312" w:eastAsia="仿宋_GB2312"/>
          <w:szCs w:val="32"/>
        </w:rPr>
      </w:pPr>
      <w:r>
        <w:rPr>
          <w:rFonts w:hint="eastAsia" w:ascii="仿宋_GB2312" w:eastAsia="仿宋_GB2312"/>
          <w:szCs w:val="32"/>
        </w:rPr>
        <w:t>4.法律援助及12348业务费项目绩效自评综述：根据年初设定的绩效目标，项目自评得分为99.5分。全年预算数为216.5万元，执行数为213.42万元，完成预算的98.58%。项目绩效目标完成情况：一是热线咨询量≥90000人次；二是案件优良率≥10%；三是受援人回访率≥20%；四是指派律师人数≥50人次。</w:t>
      </w:r>
    </w:p>
    <w:p>
      <w:pPr>
        <w:spacing w:line="560" w:lineRule="exact"/>
        <w:ind w:firstLine="640" w:firstLineChars="200"/>
        <w:rPr>
          <w:rFonts w:ascii="仿宋_GB2312" w:eastAsia="仿宋_GB2312"/>
          <w:szCs w:val="32"/>
        </w:rPr>
      </w:pPr>
      <w:r>
        <w:rPr>
          <w:rFonts w:hint="eastAsia" w:ascii="仿宋_GB2312" w:eastAsia="仿宋_GB2312"/>
          <w:szCs w:val="32"/>
        </w:rPr>
        <w:t>5.公共法律服务中心建设运行费项目绩效自评综述：根据年初设定的绩效目标，项目自评得分为95.71分。全年预算数为37.8万元，执行数为36.71万元，完成预算的97.12%。项目绩效目标完成情况：一是办理非诉讼调解案件≥100 件；二是非诉讼调解案件成功率≥50%；三是接待咨询量≥5000 人次；四是咨询人员满意度≥85%；五是为企业化解纠纷≥50 件。</w:t>
      </w:r>
    </w:p>
    <w:p>
      <w:pPr>
        <w:spacing w:line="560" w:lineRule="exact"/>
        <w:ind w:firstLine="640" w:firstLineChars="200"/>
        <w:rPr>
          <w:rFonts w:ascii="仿宋_GB2312" w:eastAsia="仿宋_GB2312"/>
          <w:szCs w:val="32"/>
        </w:rPr>
      </w:pPr>
      <w:r>
        <w:rPr>
          <w:rFonts w:hint="eastAsia" w:ascii="仿宋_GB2312" w:eastAsia="仿宋_GB2312"/>
          <w:kern w:val="0"/>
          <w:szCs w:val="32"/>
        </w:rPr>
        <w:t>2021年度市</w:t>
      </w:r>
      <w:r>
        <w:rPr>
          <w:rFonts w:ascii="仿宋_GB2312" w:eastAsia="仿宋_GB2312"/>
          <w:kern w:val="0"/>
          <w:szCs w:val="32"/>
        </w:rPr>
        <w:t>级</w:t>
      </w:r>
      <w:r>
        <w:rPr>
          <w:rFonts w:hint="eastAsia" w:ascii="仿宋_GB2312" w:eastAsia="仿宋_GB2312"/>
          <w:kern w:val="0"/>
          <w:szCs w:val="32"/>
        </w:rPr>
        <w:t>预算安排项目支出绩效自评情况汇总表和市级预算安排项目支出绩效自评表</w:t>
      </w:r>
      <w:r>
        <w:rPr>
          <w:rFonts w:hint="eastAsia" w:ascii="仿宋_GB2312" w:eastAsia="仿宋_GB2312"/>
          <w:szCs w:val="32"/>
        </w:rPr>
        <w:t>详见</w:t>
      </w:r>
      <w:r>
        <w:rPr>
          <w:rFonts w:hint="eastAsia" w:ascii="仿宋_GB2312" w:eastAsia="仿宋_GB2312"/>
          <w:kern w:val="0"/>
          <w:szCs w:val="32"/>
        </w:rPr>
        <w:t>“第五部分 附件”</w:t>
      </w:r>
      <w:r>
        <w:rPr>
          <w:rFonts w:hint="eastAsia" w:ascii="仿宋_GB2312" w:eastAsia="仿宋_GB2312"/>
          <w:szCs w:val="32"/>
        </w:rPr>
        <w:t>。</w:t>
      </w:r>
    </w:p>
    <w:p>
      <w:pPr>
        <w:spacing w:line="560" w:lineRule="exact"/>
        <w:ind w:firstLine="640" w:firstLineChars="200"/>
        <w:rPr>
          <w:rFonts w:ascii="楷体_GB2312" w:eastAsia="楷体_GB2312"/>
          <w:bCs/>
          <w:kern w:val="0"/>
          <w:szCs w:val="32"/>
        </w:rPr>
      </w:pPr>
      <w:r>
        <w:rPr>
          <w:rFonts w:hint="eastAsia" w:ascii="楷体_GB2312" w:eastAsia="楷体_GB2312"/>
          <w:bCs/>
          <w:kern w:val="0"/>
          <w:szCs w:val="32"/>
        </w:rPr>
        <w:t>（三）部门整体支出绩效自评结果</w:t>
      </w:r>
    </w:p>
    <w:p>
      <w:pPr>
        <w:spacing w:line="560" w:lineRule="exact"/>
        <w:ind w:firstLine="640" w:firstLineChars="200"/>
        <w:rPr>
          <w:rFonts w:ascii="仿宋_GB2312" w:eastAsia="仿宋_GB2312"/>
          <w:szCs w:val="32"/>
        </w:rPr>
      </w:pPr>
      <w:r>
        <w:rPr>
          <w:rFonts w:hint="eastAsia" w:ascii="仿宋_GB2312" w:eastAsia="仿宋_GB2312"/>
          <w:szCs w:val="32"/>
        </w:rPr>
        <w:t>部门整体支出绩效自评结果为99分。从自评情况来看，部门履职效能进一步提升，各项工作基本完成，资产管理比较规范，预算完成率为119.92%，系统内制定了相关内控管理制度，制度合规、合法、有效；预算实施过程中，能够按照相关法律法规规定、管理制度执行。部门整体绩效目标完成情况：一是市级重大决策合法性审查率100%；二是行政复议行政应诉结案数量1000件；三是行政执法人员执法证审验数3025人；四是行政复议应诉案件受理率100%；五是行政执法案卷评查数量159件；六是通过广播电视、网络、报刊各类媒介进行普法宣传不断扩大普法宣传层面400件；七是组织全市公务员完成网上学法考法≥3万人；八是加强公共法律服务体系建设，推动我市市级规范化公共法律服务站建设72%；九是开展惠企法律服务讲座等宣传32次；十是法律援助案件应收尽收率100%；十一是12348法律服务热线接通率100%。下一步改进措施：今后要创新工作方法，提高工作效率，合理优化业务流程，确保年初设定的各项绩效目标顺利完成，增强人民群众获得感、幸福感、安全感，取得良好的社会效益。</w:t>
      </w:r>
    </w:p>
    <w:p>
      <w:pPr>
        <w:widowControl/>
        <w:spacing w:line="560" w:lineRule="exact"/>
        <w:ind w:firstLine="640" w:firstLineChars="200"/>
        <w:rPr>
          <w:rFonts w:ascii="楷体_GB2312" w:eastAsia="楷体_GB2312"/>
          <w:bCs/>
          <w:kern w:val="0"/>
          <w:szCs w:val="32"/>
        </w:rPr>
      </w:pPr>
      <w:r>
        <w:rPr>
          <w:rFonts w:hint="eastAsia" w:ascii="楷体_GB2312" w:eastAsia="楷体_GB2312"/>
          <w:bCs/>
          <w:kern w:val="0"/>
          <w:szCs w:val="32"/>
        </w:rPr>
        <w:t>（四）部门评价项目绩效评价结果</w:t>
      </w:r>
    </w:p>
    <w:p>
      <w:pPr>
        <w:widowControl/>
        <w:spacing w:line="560" w:lineRule="exact"/>
        <w:ind w:firstLine="640" w:firstLineChars="200"/>
        <w:rPr>
          <w:rFonts w:ascii="仿宋_GB2312" w:eastAsia="仿宋_GB2312"/>
          <w:kern w:val="0"/>
          <w:szCs w:val="32"/>
        </w:rPr>
      </w:pPr>
      <w:r>
        <w:rPr>
          <w:rFonts w:hint="eastAsia" w:ascii="仿宋_GB2312" w:eastAsia="仿宋_GB2312"/>
          <w:kern w:val="0"/>
          <w:szCs w:val="32"/>
        </w:rPr>
        <w:t>法制专项业务费项目，绩效评价综合得分为99.1</w:t>
      </w:r>
      <w:r>
        <w:rPr>
          <w:rFonts w:hint="eastAsia" w:ascii="仿宋_GB2312" w:eastAsia="仿宋_GB2312"/>
          <w:kern w:val="0"/>
          <w:szCs w:val="32"/>
        </w:rPr>
        <w:tab/>
      </w:r>
      <w:r>
        <w:rPr>
          <w:rFonts w:hint="eastAsia" w:ascii="仿宋_GB2312" w:eastAsia="仿宋_GB2312"/>
          <w:kern w:val="0"/>
          <w:szCs w:val="32"/>
        </w:rPr>
        <w:t>分，等级为优；</w:t>
      </w:r>
    </w:p>
    <w:p>
      <w:pPr>
        <w:widowControl/>
        <w:spacing w:line="560" w:lineRule="exact"/>
        <w:ind w:firstLine="640" w:firstLineChars="200"/>
        <w:rPr>
          <w:rFonts w:ascii="仿宋_GB2312" w:eastAsia="仿宋_GB2312"/>
          <w:kern w:val="0"/>
          <w:szCs w:val="32"/>
        </w:rPr>
      </w:pPr>
      <w:r>
        <w:rPr>
          <w:rFonts w:hint="eastAsia" w:ascii="仿宋_GB2312" w:eastAsia="仿宋_GB2312"/>
          <w:kern w:val="0"/>
          <w:szCs w:val="32"/>
        </w:rPr>
        <w:t>警用服装费项目，绩效评价综合得分为99.2分，等级为优；</w:t>
      </w:r>
    </w:p>
    <w:p>
      <w:pPr>
        <w:widowControl/>
        <w:spacing w:line="560" w:lineRule="exact"/>
        <w:ind w:firstLine="640" w:firstLineChars="200"/>
        <w:rPr>
          <w:rFonts w:ascii="仿宋_GB2312" w:eastAsia="仿宋_GB2312"/>
          <w:kern w:val="0"/>
          <w:szCs w:val="32"/>
        </w:rPr>
      </w:pPr>
      <w:r>
        <w:rPr>
          <w:rFonts w:hint="eastAsia" w:ascii="仿宋_GB2312" w:eastAsia="仿宋_GB2312"/>
          <w:kern w:val="0"/>
          <w:szCs w:val="32"/>
        </w:rPr>
        <w:t>法律职业资格考试费项目，绩效评价综合得分为84分，等级为良；</w:t>
      </w:r>
    </w:p>
    <w:p>
      <w:pPr>
        <w:widowControl/>
        <w:spacing w:line="560" w:lineRule="exact"/>
        <w:ind w:firstLine="640" w:firstLineChars="200"/>
        <w:rPr>
          <w:rFonts w:ascii="仿宋_GB2312" w:eastAsia="仿宋_GB2312"/>
          <w:kern w:val="0"/>
          <w:szCs w:val="32"/>
        </w:rPr>
      </w:pPr>
      <w:r>
        <w:rPr>
          <w:rFonts w:hint="eastAsia" w:ascii="仿宋_GB2312" w:eastAsia="仿宋_GB2312"/>
          <w:kern w:val="0"/>
          <w:szCs w:val="32"/>
        </w:rPr>
        <w:t>普法人民监督员涉法涉诉专项经费项目，绩效评价综合得分为99分，等级为优；</w:t>
      </w:r>
    </w:p>
    <w:p>
      <w:pPr>
        <w:widowControl/>
        <w:spacing w:line="560" w:lineRule="exact"/>
        <w:ind w:firstLine="640" w:firstLineChars="200"/>
        <w:rPr>
          <w:rFonts w:ascii="仿宋_GB2312" w:eastAsia="仿宋_GB2312"/>
          <w:kern w:val="0"/>
          <w:szCs w:val="32"/>
        </w:rPr>
      </w:pPr>
      <w:r>
        <w:rPr>
          <w:rFonts w:hint="eastAsia" w:ascii="仿宋_GB2312" w:eastAsia="仿宋_GB2312"/>
          <w:kern w:val="0"/>
          <w:szCs w:val="32"/>
        </w:rPr>
        <w:t>法律培训费项目，绩效评价综合得分为97.7分，等级为优；</w:t>
      </w:r>
    </w:p>
    <w:p>
      <w:pPr>
        <w:widowControl/>
        <w:spacing w:line="560" w:lineRule="exact"/>
        <w:ind w:firstLine="640" w:firstLineChars="200"/>
        <w:rPr>
          <w:rFonts w:ascii="仿宋_GB2312" w:eastAsia="仿宋_GB2312"/>
          <w:kern w:val="0"/>
          <w:szCs w:val="32"/>
        </w:rPr>
      </w:pPr>
      <w:r>
        <w:rPr>
          <w:rFonts w:hint="eastAsia" w:ascii="仿宋_GB2312" w:eastAsia="仿宋_GB2312"/>
          <w:kern w:val="0"/>
          <w:szCs w:val="32"/>
        </w:rPr>
        <w:t>惠企政策法律服务费项目，绩效评价综合得分为99.6分，等级为优；</w:t>
      </w:r>
    </w:p>
    <w:p>
      <w:pPr>
        <w:widowControl/>
        <w:spacing w:line="560" w:lineRule="exact"/>
        <w:ind w:firstLine="640" w:firstLineChars="200"/>
        <w:rPr>
          <w:rFonts w:ascii="仿宋_GB2312" w:eastAsia="仿宋_GB2312"/>
          <w:kern w:val="0"/>
          <w:szCs w:val="32"/>
        </w:rPr>
      </w:pPr>
      <w:r>
        <w:rPr>
          <w:rFonts w:hint="eastAsia" w:ascii="仿宋_GB2312" w:eastAsia="仿宋_GB2312"/>
          <w:kern w:val="0"/>
          <w:szCs w:val="32"/>
        </w:rPr>
        <w:t>法律援助及12348业务费</w:t>
      </w:r>
      <w:r>
        <w:rPr>
          <w:rFonts w:hint="eastAsia" w:ascii="仿宋_GB2312" w:eastAsia="仿宋_GB2312"/>
          <w:kern w:val="0"/>
          <w:szCs w:val="32"/>
        </w:rPr>
        <w:tab/>
      </w:r>
      <w:r>
        <w:rPr>
          <w:rFonts w:hint="eastAsia" w:ascii="仿宋_GB2312" w:eastAsia="仿宋_GB2312"/>
          <w:kern w:val="0"/>
          <w:szCs w:val="32"/>
        </w:rPr>
        <w:t>项目，绩效评价综合得分为97.35分，等级为优；</w:t>
      </w:r>
    </w:p>
    <w:p>
      <w:pPr>
        <w:widowControl/>
        <w:spacing w:line="560" w:lineRule="exact"/>
        <w:ind w:firstLine="640" w:firstLineChars="200"/>
        <w:rPr>
          <w:rFonts w:ascii="仿宋_GB2312" w:eastAsia="仿宋_GB2312"/>
          <w:kern w:val="0"/>
          <w:szCs w:val="32"/>
        </w:rPr>
      </w:pPr>
      <w:r>
        <w:rPr>
          <w:rFonts w:hint="eastAsia" w:ascii="仿宋_GB2312" w:eastAsia="仿宋_GB2312"/>
          <w:kern w:val="0"/>
          <w:szCs w:val="32"/>
        </w:rPr>
        <w:t>公共法律服务中心建设运行费项目，绩效评价综合得分为95.5分，等级为优。</w:t>
      </w:r>
    </w:p>
    <w:p>
      <w:pPr>
        <w:widowControl/>
        <w:spacing w:line="560" w:lineRule="exact"/>
        <w:ind w:firstLine="640" w:firstLineChars="200"/>
        <w:rPr>
          <w:rFonts w:ascii="仿宋_GB2312" w:eastAsia="仿宋_GB2312"/>
          <w:kern w:val="0"/>
          <w:szCs w:val="32"/>
        </w:rPr>
      </w:pPr>
      <w:r>
        <w:rPr>
          <w:rFonts w:hint="eastAsia" w:ascii="仿宋_GB2312" w:eastAsia="仿宋_GB2312"/>
          <w:kern w:val="0"/>
          <w:szCs w:val="32"/>
        </w:rPr>
        <w:t>项目支出部门评价情况汇总表及项目支出绩效评价指标体系详见“第五部分 附件”；本部门开展的部门评价报告因部分项目涉密不予公开。</w:t>
      </w:r>
    </w:p>
    <w:p>
      <w:pPr>
        <w:spacing w:line="560" w:lineRule="exact"/>
        <w:ind w:firstLine="640" w:firstLineChars="200"/>
        <w:rPr>
          <w:rFonts w:ascii="楷体_GB2312" w:eastAsia="楷体_GB2312"/>
          <w:szCs w:val="32"/>
        </w:rPr>
      </w:pPr>
      <w:r>
        <w:rPr>
          <w:rFonts w:hint="eastAsia" w:ascii="楷体_GB2312" w:eastAsia="楷体_GB2312"/>
          <w:bCs/>
          <w:kern w:val="0"/>
          <w:szCs w:val="32"/>
        </w:rPr>
        <w:t>（五）</w:t>
      </w:r>
      <w:r>
        <w:rPr>
          <w:rFonts w:hint="eastAsia" w:ascii="楷体_GB2312" w:eastAsia="楷体_GB2312"/>
          <w:szCs w:val="32"/>
        </w:rPr>
        <w:t>财政评价项目绩效评价结果</w:t>
      </w:r>
    </w:p>
    <w:p>
      <w:pPr>
        <w:spacing w:line="560" w:lineRule="exact"/>
        <w:ind w:firstLine="640" w:firstLineChars="200"/>
        <w:rPr>
          <w:rFonts w:ascii="方正小标宋简体" w:eastAsia="方正小标宋简体"/>
          <w:bCs/>
          <w:spacing w:val="60"/>
          <w:sz w:val="42"/>
        </w:rPr>
        <w:sectPr>
          <w:pgSz w:w="11906" w:h="16838"/>
          <w:pgMar w:top="2041" w:right="1701" w:bottom="2041" w:left="1701" w:header="851" w:footer="992" w:gutter="0"/>
          <w:cols w:space="720" w:num="1"/>
          <w:docGrid w:type="lines" w:linePitch="312" w:charSpace="0"/>
        </w:sectPr>
      </w:pPr>
      <w:r>
        <w:rPr>
          <w:rFonts w:hint="eastAsia" w:ascii="仿宋_GB2312" w:eastAsia="仿宋_GB2312"/>
          <w:bCs/>
          <w:kern w:val="0"/>
          <w:szCs w:val="32"/>
        </w:rPr>
        <w:t>本部门没有向市人大常委会报告的财政评价项目。</w:t>
      </w: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r>
        <w:rPr>
          <w:rFonts w:hint="eastAsia" w:ascii="方正小标宋简体" w:eastAsia="方正小标宋简体"/>
          <w:spacing w:val="60"/>
          <w:sz w:val="42"/>
        </w:rPr>
        <w:t>第四部分</w:t>
      </w:r>
    </w:p>
    <w:p>
      <w:pPr>
        <w:jc w:val="center"/>
        <w:rPr>
          <w:rFonts w:ascii="方正小标宋简体" w:eastAsia="方正小标宋简体"/>
          <w:spacing w:val="60"/>
          <w:sz w:val="42"/>
        </w:rPr>
      </w:pPr>
    </w:p>
    <w:p>
      <w:pPr>
        <w:jc w:val="center"/>
        <w:rPr>
          <w:rFonts w:ascii="方正小标宋简体" w:eastAsia="方正小标宋简体"/>
          <w:spacing w:val="60"/>
          <w:sz w:val="42"/>
        </w:rPr>
      </w:pPr>
    </w:p>
    <w:p>
      <w:pPr>
        <w:jc w:val="center"/>
        <w:rPr>
          <w:rFonts w:ascii="方正小标宋简体" w:eastAsia="方正小标宋简体"/>
          <w:spacing w:val="60"/>
          <w:sz w:val="48"/>
        </w:rPr>
      </w:pPr>
      <w:r>
        <w:rPr>
          <w:rFonts w:hint="eastAsia" w:ascii="方正小标宋简体" w:eastAsia="方正小标宋简体"/>
          <w:spacing w:val="60"/>
          <w:sz w:val="48"/>
        </w:rPr>
        <w:t>名词解释</w:t>
      </w:r>
    </w:p>
    <w:p>
      <w:pPr>
        <w:jc w:val="center"/>
        <w:rPr>
          <w:rFonts w:ascii="方正小标宋简体" w:eastAsia="方正小标宋简体"/>
          <w:spacing w:val="60"/>
          <w:sz w:val="48"/>
        </w:rPr>
      </w:pPr>
    </w:p>
    <w:p>
      <w:pPr>
        <w:jc w:val="center"/>
        <w:rPr>
          <w:rFonts w:ascii="方正小标宋简体" w:eastAsia="方正小标宋简体"/>
          <w:spacing w:val="60"/>
          <w:sz w:val="48"/>
        </w:rPr>
      </w:pPr>
    </w:p>
    <w:p>
      <w:pPr>
        <w:jc w:val="center"/>
        <w:rPr>
          <w:rFonts w:ascii="方正小标宋简体" w:eastAsia="方正小标宋简体"/>
          <w:spacing w:val="60"/>
          <w:sz w:val="48"/>
        </w:rPr>
      </w:pPr>
    </w:p>
    <w:p>
      <w:pPr>
        <w:spacing w:line="580" w:lineRule="exact"/>
        <w:ind w:firstLine="640" w:firstLineChars="200"/>
        <w:rPr>
          <w:rFonts w:ascii="黑体" w:hAnsi="黑体" w:eastAsia="黑体"/>
          <w:color w:val="000000"/>
          <w:szCs w:val="32"/>
        </w:rPr>
        <w:sectPr>
          <w:pgSz w:w="11906" w:h="16838"/>
          <w:pgMar w:top="2041" w:right="1701" w:bottom="2041" w:left="1701" w:header="851" w:footer="992" w:gutter="0"/>
          <w:cols w:space="720" w:num="1"/>
          <w:docGrid w:type="lines" w:linePitch="312" w:charSpace="0"/>
        </w:sectPr>
      </w:pPr>
    </w:p>
    <w:p>
      <w:pPr>
        <w:spacing w:line="580" w:lineRule="exact"/>
        <w:ind w:firstLine="640" w:firstLineChars="200"/>
        <w:rPr>
          <w:rFonts w:ascii="仿宋_GB2312" w:eastAsia="仿宋_GB2312"/>
          <w:szCs w:val="32"/>
        </w:rPr>
      </w:pPr>
      <w:r>
        <w:rPr>
          <w:rFonts w:hint="eastAsia" w:ascii="黑体" w:hAnsi="黑体" w:eastAsia="黑体"/>
          <w:color w:val="000000"/>
          <w:szCs w:val="32"/>
        </w:rPr>
        <w:t>一、财政拨款收入：</w:t>
      </w:r>
      <w:r>
        <w:rPr>
          <w:rFonts w:hint="eastAsia" w:ascii="仿宋_GB2312" w:eastAsia="仿宋_GB2312"/>
          <w:szCs w:val="32"/>
        </w:rPr>
        <w:t>指单位本年度从本级财政部门取得的财政拨款，包括一般公共预算财政拨款、政府性基金预算财政拨款和国有资本经营预算财政拨款。</w:t>
      </w:r>
    </w:p>
    <w:p>
      <w:pPr>
        <w:spacing w:line="580" w:lineRule="exact"/>
        <w:ind w:firstLine="640" w:firstLineChars="200"/>
        <w:rPr>
          <w:rFonts w:ascii="仿宋_GB2312" w:hAnsi="仿宋" w:eastAsia="仿宋_GB2312"/>
          <w:szCs w:val="32"/>
        </w:rPr>
      </w:pPr>
      <w:r>
        <w:rPr>
          <w:rFonts w:hint="eastAsia" w:ascii="黑体" w:hAnsi="黑体" w:eastAsia="黑体"/>
          <w:szCs w:val="32"/>
        </w:rPr>
        <w:t>二、上级补助收入：</w:t>
      </w:r>
      <w:r>
        <w:rPr>
          <w:rFonts w:hint="eastAsia" w:ascii="仿宋_GB2312" w:hAnsi="仿宋" w:eastAsia="仿宋_GB2312"/>
          <w:szCs w:val="32"/>
        </w:rPr>
        <w:t>指事业单位从主管部门和上级单位取得的非财政补助收入。</w:t>
      </w:r>
    </w:p>
    <w:p>
      <w:pPr>
        <w:spacing w:line="580" w:lineRule="exact"/>
        <w:ind w:firstLine="640" w:firstLineChars="200"/>
        <w:rPr>
          <w:rFonts w:ascii="仿宋_GB2312" w:hAnsi="仿宋" w:eastAsia="仿宋_GB2312"/>
          <w:szCs w:val="32"/>
        </w:rPr>
      </w:pPr>
      <w:r>
        <w:rPr>
          <w:rFonts w:hint="eastAsia" w:ascii="黑体" w:hAnsi="黑体" w:eastAsia="黑体"/>
          <w:szCs w:val="32"/>
        </w:rPr>
        <w:t>三、事业收入：</w:t>
      </w:r>
      <w:r>
        <w:rPr>
          <w:rFonts w:hint="eastAsia" w:ascii="仿宋_GB2312" w:hAnsi="仿宋" w:eastAsia="仿宋_GB2312"/>
          <w:szCs w:val="32"/>
        </w:rPr>
        <w:t>指事业单位开展专业业务活动及其辅助活动取得的收入；包括事业单位收到的财政专户实际核拨的教育收费等。</w:t>
      </w:r>
    </w:p>
    <w:p>
      <w:pPr>
        <w:spacing w:line="580" w:lineRule="exact"/>
        <w:ind w:firstLine="640" w:firstLineChars="200"/>
        <w:rPr>
          <w:rFonts w:ascii="仿宋_GB2312" w:hAnsi="仿宋" w:eastAsia="仿宋_GB2312"/>
          <w:szCs w:val="32"/>
        </w:rPr>
      </w:pPr>
      <w:r>
        <w:rPr>
          <w:rFonts w:hint="eastAsia" w:ascii="黑体" w:hAnsi="黑体" w:eastAsia="黑体"/>
          <w:szCs w:val="32"/>
        </w:rPr>
        <w:t>四、经营收入：</w:t>
      </w:r>
      <w:r>
        <w:rPr>
          <w:rFonts w:hint="eastAsia" w:ascii="仿宋_GB2312" w:hAnsi="仿宋" w:eastAsia="仿宋_GB2312"/>
          <w:szCs w:val="32"/>
        </w:rPr>
        <w:t>指事业单位在专业业务活动及其辅助活动之外开展非独立核算经营活动取得的收入。</w:t>
      </w:r>
    </w:p>
    <w:p>
      <w:pPr>
        <w:spacing w:line="580" w:lineRule="exact"/>
        <w:ind w:firstLine="640" w:firstLineChars="200"/>
        <w:rPr>
          <w:rFonts w:ascii="仿宋_GB2312" w:hAnsi="仿宋" w:eastAsia="仿宋_GB2312"/>
          <w:szCs w:val="32"/>
        </w:rPr>
      </w:pPr>
      <w:r>
        <w:rPr>
          <w:rFonts w:hint="eastAsia" w:ascii="黑体" w:hAnsi="黑体" w:eastAsia="黑体"/>
          <w:szCs w:val="32"/>
        </w:rPr>
        <w:t>五、附属单位上缴收入：</w:t>
      </w:r>
      <w:r>
        <w:rPr>
          <w:rFonts w:hint="eastAsia" w:ascii="仿宋_GB2312" w:hAnsi="仿宋" w:eastAsia="仿宋_GB2312"/>
          <w:szCs w:val="32"/>
        </w:rPr>
        <w:t>指事业单位附属独立核算单位按照有关规定上缴的收入。</w:t>
      </w:r>
    </w:p>
    <w:p>
      <w:pPr>
        <w:spacing w:line="580" w:lineRule="exact"/>
        <w:ind w:firstLine="640" w:firstLineChars="200"/>
        <w:rPr>
          <w:rFonts w:ascii="仿宋_GB2312" w:hAnsi="仿宋" w:eastAsia="仿宋_GB2312"/>
          <w:szCs w:val="32"/>
        </w:rPr>
      </w:pPr>
      <w:r>
        <w:rPr>
          <w:rFonts w:hint="eastAsia" w:ascii="黑体" w:hAnsi="黑体" w:eastAsia="黑体"/>
          <w:szCs w:val="32"/>
        </w:rPr>
        <w:t>六、其他收入：</w:t>
      </w:r>
      <w:r>
        <w:rPr>
          <w:rFonts w:hint="eastAsia" w:ascii="仿宋_GB2312" w:hAnsi="仿宋" w:eastAsia="仿宋_GB2312"/>
          <w:szCs w:val="32"/>
        </w:rPr>
        <w:t>指单位取得的除上述“</w:t>
      </w:r>
      <w:r>
        <w:rPr>
          <w:rFonts w:hint="eastAsia" w:ascii="仿宋_GB2312" w:eastAsia="仿宋_GB2312"/>
          <w:szCs w:val="32"/>
        </w:rPr>
        <w:t>财政拨款收入</w:t>
      </w:r>
      <w:r>
        <w:rPr>
          <w:rFonts w:hint="eastAsia" w:ascii="仿宋_GB2312" w:hAnsi="仿宋" w:eastAsia="仿宋_GB2312"/>
          <w:szCs w:val="32"/>
        </w:rPr>
        <w:t>”“上级补助收入”“事业收入”“经营收入”“附属单位上缴收入”等以外的各项收入。</w:t>
      </w:r>
    </w:p>
    <w:p>
      <w:pPr>
        <w:spacing w:line="580" w:lineRule="exact"/>
        <w:ind w:firstLine="640" w:firstLineChars="200"/>
        <w:rPr>
          <w:rFonts w:ascii="仿宋_GB2312" w:hAnsi="仿宋" w:eastAsia="仿宋_GB2312"/>
          <w:szCs w:val="32"/>
        </w:rPr>
      </w:pPr>
      <w:r>
        <w:rPr>
          <w:rFonts w:hint="eastAsia" w:ascii="黑体" w:hAnsi="黑体" w:eastAsia="黑体"/>
          <w:szCs w:val="32"/>
        </w:rPr>
        <w:t>七、使用非财政拨款结余：</w:t>
      </w:r>
      <w:r>
        <w:rPr>
          <w:rFonts w:hint="eastAsia" w:ascii="仿宋_GB2312" w:hAnsi="仿宋" w:eastAsia="仿宋_GB2312"/>
          <w:szCs w:val="32"/>
        </w:rPr>
        <w:t>指事业单位按照预算管理要求使用非财政拨款结余弥补收支差额的金额。</w:t>
      </w:r>
    </w:p>
    <w:p>
      <w:pPr>
        <w:spacing w:line="580" w:lineRule="exact"/>
        <w:ind w:firstLine="640" w:firstLineChars="200"/>
        <w:rPr>
          <w:rFonts w:ascii="仿宋_GB2312" w:eastAsia="仿宋_GB2312"/>
          <w:szCs w:val="32"/>
        </w:rPr>
      </w:pPr>
      <w:r>
        <w:rPr>
          <w:rFonts w:hint="eastAsia" w:ascii="黑体" w:hAnsi="黑体" w:eastAsia="黑体"/>
          <w:szCs w:val="32"/>
        </w:rPr>
        <w:t>八、年初结转和结余：</w:t>
      </w:r>
      <w:r>
        <w:rPr>
          <w:rFonts w:hint="eastAsia" w:ascii="仿宋_GB2312" w:eastAsia="仿宋_GB2312"/>
          <w:szCs w:val="32"/>
        </w:rPr>
        <w:t>指单位以前年度尚未完成、结转到本年仍按原规定用途继续使用的资金，或项目已完成等产生的结余资金。</w:t>
      </w:r>
    </w:p>
    <w:p>
      <w:pPr>
        <w:spacing w:line="580" w:lineRule="exact"/>
        <w:ind w:firstLine="640" w:firstLineChars="200"/>
        <w:rPr>
          <w:rFonts w:ascii="仿宋_GB2312" w:eastAsia="仿宋_GB2312"/>
          <w:szCs w:val="32"/>
        </w:rPr>
      </w:pPr>
      <w:r>
        <w:rPr>
          <w:rFonts w:hint="eastAsia" w:ascii="黑体" w:hAnsi="黑体" w:eastAsia="黑体"/>
          <w:szCs w:val="32"/>
        </w:rPr>
        <w:t>九、结余分配：</w:t>
      </w:r>
      <w:r>
        <w:rPr>
          <w:rFonts w:hint="eastAsia" w:ascii="仿宋_GB2312" w:eastAsia="仿宋_GB2312"/>
          <w:szCs w:val="32"/>
        </w:rPr>
        <w:t>指事业单位缴纳的所得税以及从非财政拨款结余或经营结余中提取的各类结余。</w:t>
      </w:r>
    </w:p>
    <w:p>
      <w:pPr>
        <w:spacing w:line="580" w:lineRule="exact"/>
        <w:ind w:firstLine="640" w:firstLineChars="200"/>
        <w:rPr>
          <w:rFonts w:ascii="仿宋_GB2312" w:hAnsi="仿宋" w:eastAsia="仿宋_GB2312"/>
          <w:szCs w:val="32"/>
        </w:rPr>
      </w:pPr>
      <w:r>
        <w:rPr>
          <w:rFonts w:hint="eastAsia" w:ascii="黑体" w:hAnsi="黑体" w:eastAsia="黑体"/>
          <w:szCs w:val="32"/>
        </w:rPr>
        <w:t>十、年末结转和结余：</w:t>
      </w:r>
      <w:r>
        <w:rPr>
          <w:rFonts w:hint="eastAsia" w:ascii="仿宋_GB2312" w:hAnsi="仿宋" w:eastAsia="仿宋_GB2312"/>
          <w:szCs w:val="32"/>
        </w:rPr>
        <w:t>指单位本年度或以前年度预算安排、因客观条件发生变化未全部执行或未执行，结转到以后年度继续使用的资金，或项目已完成等产生的结余资金。</w:t>
      </w:r>
    </w:p>
    <w:p>
      <w:pPr>
        <w:spacing w:line="580" w:lineRule="exact"/>
        <w:ind w:firstLine="640" w:firstLineChars="200"/>
        <w:rPr>
          <w:rFonts w:ascii="仿宋_GB2312" w:eastAsia="仿宋_GB2312"/>
          <w:szCs w:val="32"/>
        </w:rPr>
      </w:pPr>
      <w:r>
        <w:rPr>
          <w:rFonts w:hint="eastAsia" w:ascii="黑体" w:hAnsi="黑体" w:eastAsia="黑体"/>
          <w:szCs w:val="32"/>
        </w:rPr>
        <w:t>十一、基本支出：</w:t>
      </w:r>
      <w:r>
        <w:rPr>
          <w:rFonts w:hint="eastAsia" w:ascii="仿宋_GB2312" w:eastAsia="仿宋_GB2312"/>
          <w:szCs w:val="32"/>
        </w:rPr>
        <w:t>指单位为保障机构正常运转、完成日常工作任务而发生的各项支出。</w:t>
      </w:r>
    </w:p>
    <w:p>
      <w:pPr>
        <w:spacing w:line="580" w:lineRule="exact"/>
        <w:ind w:firstLine="640" w:firstLineChars="200"/>
        <w:rPr>
          <w:rFonts w:ascii="仿宋_GB2312" w:eastAsia="仿宋_GB2312"/>
          <w:szCs w:val="32"/>
        </w:rPr>
      </w:pPr>
      <w:r>
        <w:rPr>
          <w:rFonts w:hint="eastAsia" w:ascii="黑体" w:hAnsi="黑体" w:eastAsia="黑体"/>
          <w:szCs w:val="32"/>
        </w:rPr>
        <w:t>十二、项目支出：</w:t>
      </w:r>
      <w:r>
        <w:rPr>
          <w:rFonts w:hint="eastAsia" w:ascii="仿宋_GB2312" w:eastAsia="仿宋_GB2312"/>
          <w:szCs w:val="32"/>
        </w:rPr>
        <w:t>指单位为完成特定的行政工作任务或事业发展目标，在基本支出之外发生的各项支出。</w:t>
      </w:r>
    </w:p>
    <w:p>
      <w:pPr>
        <w:spacing w:line="580" w:lineRule="exact"/>
        <w:ind w:firstLine="640" w:firstLineChars="200"/>
        <w:rPr>
          <w:rFonts w:ascii="仿宋_GB2312" w:eastAsia="仿宋_GB2312"/>
          <w:szCs w:val="32"/>
        </w:rPr>
      </w:pPr>
      <w:r>
        <w:rPr>
          <w:rFonts w:hint="eastAsia" w:ascii="黑体" w:hAnsi="黑体" w:eastAsia="黑体"/>
          <w:szCs w:val="32"/>
        </w:rPr>
        <w:t>十三、经营支出：</w:t>
      </w:r>
      <w:r>
        <w:rPr>
          <w:rFonts w:hint="eastAsia" w:ascii="仿宋_GB2312" w:eastAsia="仿宋_GB2312"/>
          <w:szCs w:val="32"/>
        </w:rPr>
        <w:t>指事业单位在专业业务活动及其辅助活动之外开展非独立核算经营活动发生的支出。</w:t>
      </w:r>
    </w:p>
    <w:p>
      <w:pPr>
        <w:spacing w:line="580" w:lineRule="exact"/>
        <w:ind w:firstLine="640" w:firstLineChars="200"/>
        <w:rPr>
          <w:rFonts w:ascii="仿宋_GB2312" w:eastAsia="仿宋_GB2312"/>
          <w:szCs w:val="32"/>
        </w:rPr>
      </w:pPr>
      <w:r>
        <w:rPr>
          <w:rFonts w:hint="eastAsia" w:ascii="黑体" w:hAnsi="黑体" w:eastAsia="黑体"/>
          <w:szCs w:val="32"/>
        </w:rPr>
        <w:t>十四、“三公”经费：</w:t>
      </w:r>
      <w:r>
        <w:rPr>
          <w:rFonts w:hint="eastAsia" w:ascii="仿宋_GB2312" w:eastAsia="仿宋_GB2312"/>
          <w:szCs w:val="32"/>
        </w:rPr>
        <w:t>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按规定保留的公务用车燃料费、维修费、过桥过路费、保险费、安全奖励费用等支出；公务接待费反映单位按规定开支的各类公务接待（含外宾接待）支出。</w:t>
      </w:r>
    </w:p>
    <w:p>
      <w:pPr>
        <w:spacing w:line="580" w:lineRule="exact"/>
        <w:ind w:firstLine="640" w:firstLineChars="200"/>
        <w:rPr>
          <w:rFonts w:ascii="仿宋_GB2312" w:eastAsia="仿宋_GB2312"/>
          <w:szCs w:val="32"/>
        </w:rPr>
      </w:pPr>
      <w:r>
        <w:rPr>
          <w:rFonts w:hint="eastAsia" w:ascii="黑体" w:hAnsi="黑体" w:eastAsia="黑体"/>
          <w:szCs w:val="32"/>
        </w:rPr>
        <w:t>十五、机关运行经费：</w:t>
      </w:r>
      <w:r>
        <w:rPr>
          <w:rFonts w:hint="eastAsia" w:ascii="仿宋_GB2312" w:eastAsia="仿宋_GB2312"/>
          <w:szCs w:val="32"/>
        </w:rPr>
        <w:t>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ascii="仿宋_GB2312" w:hAnsi="黑体" w:eastAsia="仿宋_GB2312"/>
          <w:szCs w:val="32"/>
        </w:rPr>
      </w:pPr>
      <w:r>
        <w:rPr>
          <w:rFonts w:hint="eastAsia" w:ascii="黑体" w:hAnsi="黑体" w:eastAsia="黑体"/>
          <w:szCs w:val="32"/>
        </w:rPr>
        <w:t>十六、公共安全支出（类）司法（款）行政运行（项）：</w:t>
      </w:r>
      <w:r>
        <w:rPr>
          <w:rFonts w:hint="eastAsia" w:ascii="仿宋_GB2312" w:hAnsi="黑体" w:eastAsia="仿宋_GB2312"/>
          <w:szCs w:val="32"/>
        </w:rPr>
        <w:t>反映行政单位（包括实行公务员管理的事业单位）的基本支出。</w:t>
      </w:r>
    </w:p>
    <w:p>
      <w:pPr>
        <w:spacing w:line="540" w:lineRule="exact"/>
        <w:ind w:firstLine="640" w:firstLineChars="200"/>
        <w:rPr>
          <w:rFonts w:ascii="仿宋_GB2312" w:eastAsia="仿宋_GB2312"/>
          <w:szCs w:val="32"/>
        </w:rPr>
      </w:pPr>
      <w:r>
        <w:rPr>
          <w:rFonts w:hint="eastAsia" w:ascii="黑体" w:hAnsi="黑体" w:eastAsia="黑体"/>
          <w:szCs w:val="32"/>
        </w:rPr>
        <w:t>十七、公共安全支出（类）司法（款）一般行政管理事务（项）：</w:t>
      </w:r>
      <w:r>
        <w:rPr>
          <w:rFonts w:hint="eastAsia" w:ascii="仿宋_GB2312" w:eastAsia="仿宋_GB2312"/>
          <w:szCs w:val="32"/>
        </w:rPr>
        <w:t>反映为行政单位</w:t>
      </w:r>
      <w:r>
        <w:rPr>
          <w:rFonts w:ascii="仿宋_GB2312" w:eastAsia="仿宋_GB2312"/>
          <w:szCs w:val="32"/>
        </w:rPr>
        <w:t>（</w:t>
      </w:r>
      <w:r>
        <w:rPr>
          <w:rFonts w:hint="eastAsia" w:ascii="仿宋_GB2312" w:eastAsia="仿宋_GB2312"/>
          <w:szCs w:val="32"/>
        </w:rPr>
        <w:t>包含</w:t>
      </w:r>
      <w:r>
        <w:rPr>
          <w:rFonts w:ascii="仿宋_GB2312" w:eastAsia="仿宋_GB2312"/>
          <w:szCs w:val="32"/>
        </w:rPr>
        <w:t>实行公务员管理的事业单位）</w:t>
      </w:r>
      <w:r>
        <w:rPr>
          <w:rFonts w:hint="eastAsia" w:ascii="仿宋_GB2312" w:eastAsia="仿宋_GB2312"/>
          <w:szCs w:val="32"/>
        </w:rPr>
        <w:t>未单独设置项级科目</w:t>
      </w:r>
      <w:r>
        <w:rPr>
          <w:rFonts w:ascii="仿宋_GB2312" w:eastAsia="仿宋_GB2312"/>
          <w:szCs w:val="32"/>
        </w:rPr>
        <w:t>的其他项目支出</w:t>
      </w:r>
      <w:r>
        <w:rPr>
          <w:rFonts w:hint="eastAsia" w:ascii="仿宋_GB2312" w:eastAsia="仿宋_GB2312"/>
          <w:szCs w:val="32"/>
        </w:rPr>
        <w:t>。</w:t>
      </w:r>
    </w:p>
    <w:p>
      <w:pPr>
        <w:spacing w:line="540" w:lineRule="exact"/>
        <w:ind w:firstLine="640" w:firstLineChars="200"/>
        <w:rPr>
          <w:rFonts w:ascii="黑体" w:hAnsi="黑体" w:eastAsia="黑体"/>
          <w:szCs w:val="32"/>
        </w:rPr>
      </w:pPr>
      <w:r>
        <w:rPr>
          <w:rFonts w:hint="eastAsia" w:ascii="黑体" w:hAnsi="黑体" w:eastAsia="黑体"/>
          <w:szCs w:val="32"/>
        </w:rPr>
        <w:t>十八、公共安全支出（类）司法（款）法律援助（项）：</w:t>
      </w:r>
      <w:r>
        <w:rPr>
          <w:rFonts w:hint="eastAsia" w:ascii="仿宋_GB2312" w:eastAsia="仿宋_GB2312"/>
          <w:szCs w:val="32"/>
        </w:rPr>
        <w:t>反映各级法律援助机构用于开展法律援助工作的支出。</w:t>
      </w:r>
    </w:p>
    <w:p>
      <w:pPr>
        <w:spacing w:line="540" w:lineRule="exact"/>
        <w:ind w:firstLine="640" w:firstLineChars="200"/>
        <w:rPr>
          <w:rFonts w:ascii="仿宋_GB2312" w:hAnsi="黑体" w:eastAsia="仿宋_GB2312"/>
          <w:szCs w:val="32"/>
        </w:rPr>
      </w:pPr>
      <w:r>
        <w:rPr>
          <w:rFonts w:hint="eastAsia" w:ascii="黑体" w:hAnsi="黑体" w:eastAsia="黑体"/>
          <w:szCs w:val="32"/>
        </w:rPr>
        <w:t>十九、公共安全支出（类）司法（款）国家统一法律职业资格考试（项）：</w:t>
      </w:r>
      <w:r>
        <w:rPr>
          <w:rFonts w:hint="eastAsia" w:ascii="仿宋_GB2312" w:hAnsi="黑体" w:eastAsia="仿宋_GB2312"/>
          <w:szCs w:val="32"/>
        </w:rPr>
        <w:t>反映各地司法系统举办的</w:t>
      </w:r>
      <w:r>
        <w:rPr>
          <w:rFonts w:ascii="仿宋_GB2312" w:hAnsi="黑体" w:eastAsia="仿宋_GB2312"/>
          <w:szCs w:val="32"/>
        </w:rPr>
        <w:t>国家统一法律职业资格考试</w:t>
      </w:r>
      <w:r>
        <w:rPr>
          <w:rFonts w:hint="eastAsia" w:ascii="仿宋_GB2312" w:hAnsi="黑体" w:eastAsia="仿宋_GB2312"/>
          <w:szCs w:val="32"/>
        </w:rPr>
        <w:t>所需的支出，包括报名组织费、命题费、题库</w:t>
      </w:r>
      <w:r>
        <w:rPr>
          <w:rFonts w:ascii="仿宋_GB2312" w:hAnsi="黑体" w:eastAsia="仿宋_GB2312"/>
          <w:szCs w:val="32"/>
        </w:rPr>
        <w:t>案例库建设费、</w:t>
      </w:r>
      <w:r>
        <w:rPr>
          <w:rFonts w:hint="eastAsia" w:ascii="仿宋_GB2312" w:hAnsi="黑体" w:eastAsia="仿宋_GB2312"/>
          <w:szCs w:val="32"/>
        </w:rPr>
        <w:t>试卷印刷费、阅卷费、计算机化考试服务费</w:t>
      </w:r>
      <w:r>
        <w:rPr>
          <w:rFonts w:ascii="仿宋_GB2312" w:hAnsi="黑体" w:eastAsia="仿宋_GB2312"/>
          <w:szCs w:val="32"/>
        </w:rPr>
        <w:t>、</w:t>
      </w:r>
      <w:r>
        <w:rPr>
          <w:rFonts w:hint="eastAsia" w:ascii="仿宋_GB2312" w:hAnsi="黑体" w:eastAsia="仿宋_GB2312"/>
          <w:szCs w:val="32"/>
        </w:rPr>
        <w:t>考场租赁费、</w:t>
      </w:r>
      <w:r>
        <w:rPr>
          <w:rFonts w:ascii="仿宋_GB2312" w:hAnsi="黑体" w:eastAsia="仿宋_GB2312"/>
          <w:szCs w:val="32"/>
        </w:rPr>
        <w:t>考试信息化运行维护费</w:t>
      </w:r>
      <w:r>
        <w:rPr>
          <w:rFonts w:hint="eastAsia" w:ascii="仿宋_GB2312" w:hAnsi="黑体" w:eastAsia="仿宋_GB2312"/>
          <w:szCs w:val="32"/>
        </w:rPr>
        <w:t>等。</w:t>
      </w:r>
    </w:p>
    <w:p>
      <w:pPr>
        <w:spacing w:line="540" w:lineRule="exact"/>
        <w:ind w:firstLine="640" w:firstLineChars="200"/>
        <w:rPr>
          <w:rFonts w:ascii="仿宋_GB2312" w:hAnsi="黑体" w:eastAsia="仿宋_GB2312"/>
          <w:szCs w:val="32"/>
        </w:rPr>
      </w:pPr>
      <w:r>
        <w:rPr>
          <w:rFonts w:hint="eastAsia" w:ascii="黑体" w:hAnsi="黑体" w:eastAsia="黑体"/>
          <w:szCs w:val="32"/>
        </w:rPr>
        <w:t>二十、公共安全支出（类）司法（款）其他司法支出（项）：</w:t>
      </w:r>
      <w:r>
        <w:rPr>
          <w:rFonts w:hint="eastAsia" w:ascii="仿宋" w:hAnsi="仿宋" w:eastAsia="仿宋"/>
          <w:szCs w:val="32"/>
        </w:rPr>
        <w:t>反映司法行政部门</w:t>
      </w:r>
      <w:r>
        <w:rPr>
          <w:rFonts w:ascii="仿宋" w:hAnsi="仿宋" w:eastAsia="仿宋"/>
          <w:szCs w:val="32"/>
        </w:rPr>
        <w:t>发生的</w:t>
      </w:r>
      <w:r>
        <w:rPr>
          <w:rFonts w:hint="eastAsia" w:ascii="仿宋" w:hAnsi="仿宋" w:eastAsia="仿宋"/>
          <w:szCs w:val="32"/>
        </w:rPr>
        <w:t>法学研究费</w:t>
      </w:r>
      <w:r>
        <w:rPr>
          <w:rFonts w:ascii="仿宋" w:hAnsi="仿宋" w:eastAsia="仿宋"/>
          <w:szCs w:val="32"/>
        </w:rPr>
        <w:t>、司法协助费、典型推广和表彰费、证书工本费等支出</w:t>
      </w:r>
      <w:r>
        <w:rPr>
          <w:rFonts w:hint="eastAsia" w:ascii="仿宋" w:hAnsi="仿宋" w:eastAsia="仿宋"/>
          <w:szCs w:val="32"/>
        </w:rPr>
        <w:t>。</w:t>
      </w:r>
    </w:p>
    <w:p>
      <w:pPr>
        <w:spacing w:line="540" w:lineRule="exact"/>
        <w:ind w:firstLine="640" w:firstLineChars="200"/>
        <w:rPr>
          <w:rFonts w:ascii="仿宋_GB2312" w:hAnsi="黑体" w:eastAsia="仿宋_GB2312"/>
          <w:szCs w:val="32"/>
        </w:rPr>
      </w:pPr>
      <w:r>
        <w:rPr>
          <w:rFonts w:hint="eastAsia" w:ascii="黑体" w:hAnsi="黑体" w:eastAsia="黑体"/>
          <w:szCs w:val="32"/>
        </w:rPr>
        <w:t>二十一、公共安全支出（类）监狱（款）：</w:t>
      </w:r>
      <w:r>
        <w:rPr>
          <w:rFonts w:hint="eastAsia" w:ascii="仿宋_GB2312" w:hAnsi="黑体" w:eastAsia="仿宋_GB2312"/>
          <w:szCs w:val="32"/>
        </w:rPr>
        <w:t>反映监狱管理事务支出。</w:t>
      </w:r>
    </w:p>
    <w:p>
      <w:pPr>
        <w:spacing w:line="540" w:lineRule="exact"/>
        <w:ind w:firstLine="697" w:firstLineChars="218"/>
      </w:pPr>
      <w:r>
        <w:rPr>
          <w:rFonts w:hint="eastAsia" w:ascii="黑体" w:hAnsi="黑体" w:eastAsia="黑体"/>
          <w:szCs w:val="32"/>
        </w:rPr>
        <w:t>二十二</w:t>
      </w:r>
      <w:r>
        <w:rPr>
          <w:rFonts w:ascii="黑体" w:hAnsi="黑体" w:eastAsia="黑体"/>
          <w:szCs w:val="32"/>
        </w:rPr>
        <w:t>、</w:t>
      </w:r>
      <w:r>
        <w:rPr>
          <w:rFonts w:hint="eastAsia" w:ascii="黑体" w:hAnsi="黑体" w:eastAsia="黑体"/>
          <w:szCs w:val="32"/>
        </w:rPr>
        <w:t>公共安全支出（类）强制隔离戒毒（款）：</w:t>
      </w:r>
      <w:r>
        <w:rPr>
          <w:rFonts w:hint="eastAsia" w:ascii="仿宋_GB2312" w:hAnsi="黑体" w:eastAsia="仿宋_GB2312"/>
          <w:szCs w:val="32"/>
        </w:rPr>
        <w:t>反映强制隔离戒毒管理事务支出。</w:t>
      </w:r>
    </w:p>
    <w:p>
      <w:pPr>
        <w:rPr>
          <w:rFonts w:ascii="方正小标宋简体" w:eastAsia="方正小标宋简体"/>
          <w:spacing w:val="60"/>
          <w:sz w:val="42"/>
        </w:rPr>
        <w:sectPr>
          <w:pgSz w:w="11906" w:h="16838"/>
          <w:pgMar w:top="2098" w:right="1418" w:bottom="1871" w:left="1531" w:header="851" w:footer="992" w:gutter="0"/>
          <w:cols w:space="720" w:num="1"/>
          <w:docGrid w:type="lines" w:linePitch="312" w:charSpace="0"/>
        </w:sect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r>
        <w:rPr>
          <w:rFonts w:hint="eastAsia" w:ascii="方正小标宋简体" w:eastAsia="方正小标宋简体"/>
          <w:spacing w:val="60"/>
          <w:sz w:val="42"/>
        </w:rPr>
        <w:t>第五部分</w:t>
      </w:r>
    </w:p>
    <w:p>
      <w:pPr>
        <w:jc w:val="center"/>
        <w:rPr>
          <w:rFonts w:ascii="方正小标宋简体" w:eastAsia="方正小标宋简体"/>
          <w:spacing w:val="60"/>
          <w:sz w:val="42"/>
        </w:rPr>
      </w:pPr>
    </w:p>
    <w:p>
      <w:pPr>
        <w:jc w:val="center"/>
        <w:rPr>
          <w:rFonts w:ascii="方正小标宋简体" w:eastAsia="方正小标宋简体"/>
          <w:spacing w:val="60"/>
          <w:sz w:val="48"/>
        </w:rPr>
      </w:pPr>
      <w:r>
        <w:rPr>
          <w:rFonts w:hint="eastAsia" w:ascii="方正小标宋简体" w:eastAsia="方正小标宋简体"/>
          <w:spacing w:val="60"/>
          <w:sz w:val="48"/>
        </w:rPr>
        <w:t xml:space="preserve">  附  件</w:t>
      </w:r>
    </w:p>
    <w:p>
      <w:pPr>
        <w:spacing w:line="540" w:lineRule="exact"/>
        <w:ind w:firstLine="640" w:firstLineChars="200"/>
        <w:rPr>
          <w:rFonts w:ascii="仿宋_GB2312" w:hAnsi="黑体" w:eastAsia="仿宋_GB2312"/>
          <w:szCs w:val="32"/>
        </w:rPr>
      </w:pPr>
    </w:p>
    <w:p>
      <w:pPr>
        <w:spacing w:line="540" w:lineRule="exact"/>
        <w:ind w:firstLine="640" w:firstLineChars="200"/>
        <w:rPr>
          <w:rFonts w:ascii="仿宋_GB2312" w:eastAsia="仿宋_GB2312"/>
          <w:kern w:val="0"/>
          <w:szCs w:val="32"/>
        </w:rPr>
      </w:pPr>
      <w:r>
        <w:rPr>
          <w:rFonts w:hint="eastAsia" w:ascii="仿宋_GB2312" w:hAnsi="黑体" w:eastAsia="仿宋_GB2312"/>
          <w:szCs w:val="32"/>
        </w:rPr>
        <w:t>1、</w:t>
      </w:r>
      <w:r>
        <w:rPr>
          <w:rFonts w:hint="eastAsia" w:ascii="仿宋_GB2312" w:eastAsia="仿宋_GB2312"/>
          <w:kern w:val="0"/>
          <w:szCs w:val="32"/>
        </w:rPr>
        <w:t>2021年度市</w:t>
      </w:r>
      <w:r>
        <w:rPr>
          <w:rFonts w:ascii="仿宋_GB2312" w:eastAsia="仿宋_GB2312"/>
          <w:kern w:val="0"/>
          <w:szCs w:val="32"/>
        </w:rPr>
        <w:t>级</w:t>
      </w:r>
      <w:r>
        <w:rPr>
          <w:rFonts w:hint="eastAsia" w:ascii="仿宋_GB2312" w:eastAsia="仿宋_GB2312"/>
          <w:kern w:val="0"/>
          <w:szCs w:val="32"/>
        </w:rPr>
        <w:t>预算安排项目支出绩效自评情况汇总表</w:t>
      </w:r>
    </w:p>
    <w:p>
      <w:pPr>
        <w:spacing w:line="540" w:lineRule="exact"/>
        <w:ind w:firstLine="640" w:firstLineChars="200"/>
        <w:rPr>
          <w:rFonts w:ascii="仿宋_GB2312" w:eastAsia="仿宋_GB2312"/>
          <w:kern w:val="0"/>
          <w:szCs w:val="32"/>
        </w:rPr>
      </w:pPr>
      <w:r>
        <w:rPr>
          <w:rFonts w:hint="eastAsia" w:ascii="仿宋_GB2312" w:eastAsia="仿宋_GB2312"/>
          <w:kern w:val="0"/>
          <w:szCs w:val="32"/>
        </w:rPr>
        <w:t>2、2021年度市级预算安排项目支出绩效自评表</w:t>
      </w:r>
    </w:p>
    <w:p>
      <w:pPr>
        <w:spacing w:line="540" w:lineRule="exact"/>
        <w:ind w:firstLine="640" w:firstLineChars="200"/>
        <w:rPr>
          <w:rFonts w:ascii="仿宋_GB2312" w:eastAsia="仿宋_GB2312"/>
          <w:kern w:val="0"/>
          <w:szCs w:val="32"/>
        </w:rPr>
      </w:pPr>
      <w:r>
        <w:rPr>
          <w:rFonts w:hint="eastAsia" w:ascii="仿宋_GB2312" w:eastAsia="仿宋_GB2312"/>
          <w:kern w:val="0"/>
          <w:szCs w:val="32"/>
        </w:rPr>
        <w:t>3、2021年度项目支出部门评价情况汇总表</w:t>
      </w:r>
    </w:p>
    <w:p>
      <w:pPr>
        <w:spacing w:line="540" w:lineRule="exact"/>
        <w:ind w:firstLine="640" w:firstLineChars="200"/>
        <w:rPr>
          <w:rFonts w:ascii="仿宋_GB2312" w:eastAsia="仿宋_GB2312"/>
          <w:kern w:val="0"/>
          <w:szCs w:val="32"/>
        </w:rPr>
      </w:pPr>
      <w:r>
        <w:rPr>
          <w:rFonts w:hint="eastAsia" w:ascii="仿宋_GB2312" w:eastAsia="仿宋_GB2312"/>
          <w:kern w:val="0"/>
          <w:szCs w:val="32"/>
        </w:rPr>
        <w:t>4、2021年度项目支出绩效评价指标体系表</w:t>
      </w:r>
    </w:p>
    <w:p>
      <w:pPr>
        <w:spacing w:line="580" w:lineRule="exact"/>
        <w:ind w:firstLine="640" w:firstLineChars="200"/>
        <w:rPr>
          <w:rFonts w:ascii="黑体" w:hAnsi="黑体" w:eastAsia="黑体"/>
          <w:szCs w:val="32"/>
        </w:rPr>
        <w:sectPr>
          <w:pgSz w:w="11906" w:h="16838"/>
          <w:pgMar w:top="2098" w:right="1418" w:bottom="1871" w:left="1531" w:header="851" w:footer="992" w:gutter="0"/>
          <w:cols w:space="720" w:num="1"/>
          <w:docGrid w:type="lines" w:linePitch="312" w:charSpace="0"/>
        </w:sectPr>
      </w:pPr>
    </w:p>
    <w:p>
      <w:pPr>
        <w:spacing w:after="305" w:afterLines="50" w:line="600" w:lineRule="exact"/>
        <w:ind w:firstLine="42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2021年度项目支出绩效自评情况汇总表</w:t>
      </w:r>
    </w:p>
    <w:p>
      <w:pPr>
        <w:widowControl/>
        <w:spacing w:before="610" w:beforeLines="100"/>
        <w:jc w:val="left"/>
        <w:textAlignment w:val="center"/>
        <w:rPr>
          <w:rFonts w:ascii="黑体" w:hAnsi="宋体" w:eastAsia="黑体" w:cs="黑体"/>
          <w:color w:val="000000"/>
          <w:kern w:val="0"/>
          <w:sz w:val="28"/>
          <w:szCs w:val="28"/>
        </w:rPr>
      </w:pPr>
      <w:r>
        <w:rPr>
          <w:rFonts w:hint="eastAsia" w:ascii="黑体" w:hAnsi="宋体" w:eastAsia="黑体" w:cs="黑体"/>
          <w:color w:val="000000"/>
          <w:kern w:val="0"/>
          <w:sz w:val="28"/>
          <w:szCs w:val="28"/>
        </w:rPr>
        <w:t>部门：青岛市司法局</w:t>
      </w:r>
    </w:p>
    <w:tbl>
      <w:tblPr>
        <w:tblStyle w:val="15"/>
        <w:tblW w:w="1346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7"/>
        <w:gridCol w:w="4600"/>
        <w:gridCol w:w="3195"/>
        <w:gridCol w:w="2106"/>
        <w:gridCol w:w="2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blHeader/>
        </w:trPr>
        <w:tc>
          <w:tcPr>
            <w:tcW w:w="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序号</w:t>
            </w:r>
          </w:p>
        </w:tc>
        <w:tc>
          <w:tcPr>
            <w:tcW w:w="460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项目名称</w:t>
            </w:r>
          </w:p>
        </w:tc>
        <w:tc>
          <w:tcPr>
            <w:tcW w:w="31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资金使用单位</w:t>
            </w:r>
          </w:p>
        </w:tc>
        <w:tc>
          <w:tcPr>
            <w:tcW w:w="210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自评得分</w:t>
            </w:r>
          </w:p>
        </w:tc>
        <w:tc>
          <w:tcPr>
            <w:tcW w:w="280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自评等级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Header/>
        </w:trPr>
        <w:tc>
          <w:tcPr>
            <w:tcW w:w="13466" w:type="dxa"/>
            <w:gridSpan w:val="5"/>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textAlignment w:val="center"/>
              <w:rPr>
                <w:rFonts w:ascii="仿宋_GB2312" w:hAnsi="宋体" w:eastAsia="仿宋_GB2312" w:cs="仿宋_GB2312"/>
                <w:b/>
                <w:color w:val="000000"/>
                <w:sz w:val="28"/>
                <w:szCs w:val="28"/>
              </w:rPr>
            </w:pPr>
            <w:r>
              <w:rPr>
                <w:rFonts w:hint="eastAsia" w:ascii="仿宋_GB2312" w:hAnsi="宋体" w:eastAsia="仿宋_GB2312" w:cs="仿宋_GB2312"/>
                <w:b/>
                <w:color w:val="000000"/>
                <w:kern w:val="0"/>
                <w:sz w:val="28"/>
                <w:szCs w:val="28"/>
              </w:rPr>
              <w:t>市本级支出项目绩效自评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1</w:t>
            </w:r>
          </w:p>
        </w:tc>
        <w:tc>
          <w:tcPr>
            <w:tcW w:w="4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法制专项业务费</w:t>
            </w:r>
          </w:p>
        </w:tc>
        <w:tc>
          <w:tcPr>
            <w:tcW w:w="319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青岛市司法局</w:t>
            </w:r>
          </w:p>
        </w:tc>
        <w:tc>
          <w:tcPr>
            <w:tcW w:w="21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99.75</w:t>
            </w:r>
          </w:p>
        </w:tc>
        <w:tc>
          <w:tcPr>
            <w:tcW w:w="2808"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2</w:t>
            </w:r>
          </w:p>
        </w:tc>
        <w:tc>
          <w:tcPr>
            <w:tcW w:w="4600"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警用服装费</w:t>
            </w:r>
          </w:p>
        </w:tc>
        <w:tc>
          <w:tcPr>
            <w:tcW w:w="3195"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青岛市司法局</w:t>
            </w:r>
          </w:p>
        </w:tc>
        <w:tc>
          <w:tcPr>
            <w:tcW w:w="2106"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99.69</w:t>
            </w:r>
          </w:p>
        </w:tc>
        <w:tc>
          <w:tcPr>
            <w:tcW w:w="2808"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3</w:t>
            </w:r>
          </w:p>
        </w:tc>
        <w:tc>
          <w:tcPr>
            <w:tcW w:w="4600"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法律职业资格考试费</w:t>
            </w:r>
          </w:p>
        </w:tc>
        <w:tc>
          <w:tcPr>
            <w:tcW w:w="3195"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青岛市司法局</w:t>
            </w:r>
          </w:p>
        </w:tc>
        <w:tc>
          <w:tcPr>
            <w:tcW w:w="2106"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93.31</w:t>
            </w:r>
          </w:p>
        </w:tc>
        <w:tc>
          <w:tcPr>
            <w:tcW w:w="2808"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4</w:t>
            </w:r>
          </w:p>
        </w:tc>
        <w:tc>
          <w:tcPr>
            <w:tcW w:w="4600"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普法人民监督员涉法涉诉专项经费</w:t>
            </w:r>
          </w:p>
        </w:tc>
        <w:tc>
          <w:tcPr>
            <w:tcW w:w="3195"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青岛市司法局</w:t>
            </w:r>
          </w:p>
        </w:tc>
        <w:tc>
          <w:tcPr>
            <w:tcW w:w="2106"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100</w:t>
            </w:r>
          </w:p>
        </w:tc>
        <w:tc>
          <w:tcPr>
            <w:tcW w:w="2808"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5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5</w:t>
            </w:r>
          </w:p>
        </w:tc>
        <w:tc>
          <w:tcPr>
            <w:tcW w:w="4600"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法律培训费</w:t>
            </w:r>
          </w:p>
        </w:tc>
        <w:tc>
          <w:tcPr>
            <w:tcW w:w="3195"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青岛市司法局</w:t>
            </w:r>
          </w:p>
        </w:tc>
        <w:tc>
          <w:tcPr>
            <w:tcW w:w="2106"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99.2</w:t>
            </w:r>
          </w:p>
        </w:tc>
        <w:tc>
          <w:tcPr>
            <w:tcW w:w="2808"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6</w:t>
            </w:r>
          </w:p>
        </w:tc>
        <w:tc>
          <w:tcPr>
            <w:tcW w:w="4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惠企政策法律服务费</w:t>
            </w:r>
          </w:p>
        </w:tc>
        <w:tc>
          <w:tcPr>
            <w:tcW w:w="31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青岛市司法局</w:t>
            </w:r>
          </w:p>
        </w:tc>
        <w:tc>
          <w:tcPr>
            <w:tcW w:w="21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100</w:t>
            </w:r>
          </w:p>
        </w:tc>
        <w:tc>
          <w:tcPr>
            <w:tcW w:w="28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7</w:t>
            </w:r>
          </w:p>
        </w:tc>
        <w:tc>
          <w:tcPr>
            <w:tcW w:w="4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法律援助及12348业务费</w:t>
            </w:r>
          </w:p>
        </w:tc>
        <w:tc>
          <w:tcPr>
            <w:tcW w:w="31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青岛市法律援助中心</w:t>
            </w:r>
          </w:p>
        </w:tc>
        <w:tc>
          <w:tcPr>
            <w:tcW w:w="21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99.5</w:t>
            </w:r>
          </w:p>
        </w:tc>
        <w:tc>
          <w:tcPr>
            <w:tcW w:w="28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8</w:t>
            </w:r>
          </w:p>
        </w:tc>
        <w:tc>
          <w:tcPr>
            <w:tcW w:w="4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公共法律服务中心建设运行费</w:t>
            </w:r>
          </w:p>
        </w:tc>
        <w:tc>
          <w:tcPr>
            <w:tcW w:w="31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青岛市法律援助中心</w:t>
            </w:r>
          </w:p>
        </w:tc>
        <w:tc>
          <w:tcPr>
            <w:tcW w:w="21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95.71</w:t>
            </w:r>
          </w:p>
        </w:tc>
        <w:tc>
          <w:tcPr>
            <w:tcW w:w="28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优</w:t>
            </w:r>
          </w:p>
        </w:tc>
      </w:tr>
    </w:tbl>
    <w:p>
      <w:pPr>
        <w:spacing w:line="400" w:lineRule="exact"/>
        <w:rPr>
          <w:rFonts w:ascii="仿宋_GB2312" w:eastAsia="仿宋_GB2312"/>
          <w:b/>
          <w:szCs w:val="32"/>
        </w:rPr>
      </w:pPr>
      <w:r>
        <w:rPr>
          <w:rFonts w:hint="eastAsia" w:ascii="仿宋_GB2312" w:eastAsia="仿宋_GB2312"/>
          <w:b/>
          <w:szCs w:val="32"/>
        </w:rPr>
        <w:t xml:space="preserve">    </w:t>
      </w:r>
    </w:p>
    <w:p>
      <w:pPr>
        <w:spacing w:line="400" w:lineRule="exact"/>
        <w:rPr>
          <w:rFonts w:ascii="仿宋_GB2312" w:eastAsia="仿宋_GB2312"/>
          <w:bCs/>
          <w:szCs w:val="32"/>
        </w:rPr>
      </w:pPr>
      <w:r>
        <w:rPr>
          <w:rFonts w:hint="eastAsia" w:ascii="仿宋_GB2312" w:eastAsia="仿宋_GB2312"/>
          <w:b/>
          <w:szCs w:val="32"/>
        </w:rPr>
        <w:t xml:space="preserve">    </w:t>
      </w:r>
      <w:r>
        <w:rPr>
          <w:rFonts w:hint="eastAsia" w:ascii="仿宋_GB2312" w:eastAsia="仿宋_GB2312"/>
          <w:bCs/>
          <w:szCs w:val="32"/>
        </w:rPr>
        <w:t>本部门开展的另外14项绩效自评结果因项目涉密按规定不予公开。</w:t>
      </w:r>
    </w:p>
    <w:p>
      <w:pPr>
        <w:spacing w:line="400" w:lineRule="exact"/>
        <w:ind w:firstLine="632" w:firstLineChars="200"/>
        <w:rPr>
          <w:rFonts w:ascii="仿宋_GB2312" w:eastAsia="仿宋_GB2312"/>
          <w:b/>
          <w:szCs w:val="32"/>
        </w:rPr>
      </w:pPr>
    </w:p>
    <w:p>
      <w:pPr>
        <w:spacing w:line="400" w:lineRule="exact"/>
        <w:rPr>
          <w:rFonts w:ascii="仿宋_GB2312" w:eastAsia="仿宋_GB2312"/>
          <w:sz w:val="28"/>
          <w:szCs w:val="28"/>
        </w:rPr>
      </w:pPr>
      <w:r>
        <w:rPr>
          <w:rFonts w:hint="eastAsia" w:ascii="仿宋_GB2312" w:eastAsia="仿宋_GB2312"/>
          <w:sz w:val="28"/>
          <w:szCs w:val="28"/>
          <w:lang w:val="zh-CN"/>
        </w:rPr>
        <w:t>注：</w:t>
      </w:r>
      <w:r>
        <w:rPr>
          <w:rFonts w:hint="eastAsia" w:ascii="仿宋_GB2312" w:eastAsia="仿宋_GB2312"/>
          <w:sz w:val="28"/>
          <w:szCs w:val="28"/>
        </w:rPr>
        <w:t>1.</w:t>
      </w:r>
      <w:r>
        <w:rPr>
          <w:rFonts w:hint="eastAsia" w:ascii="仿宋_GB2312" w:eastAsia="仿宋_GB2312"/>
          <w:sz w:val="28"/>
          <w:szCs w:val="28"/>
          <w:lang w:val="zh-CN"/>
        </w:rPr>
        <w:t>“资金使用单位</w:t>
      </w:r>
      <w:r>
        <w:rPr>
          <w:rFonts w:ascii="仿宋_GB2312" w:eastAsia="仿宋_GB2312"/>
          <w:sz w:val="28"/>
          <w:szCs w:val="28"/>
        </w:rPr>
        <w:t>”</w:t>
      </w:r>
      <w:r>
        <w:rPr>
          <w:rFonts w:hint="eastAsia" w:ascii="仿宋_GB2312" w:eastAsia="仿宋_GB2312"/>
          <w:sz w:val="28"/>
          <w:szCs w:val="28"/>
        </w:rPr>
        <w:t>为具体使用资金的机关本级或下级单位；</w:t>
      </w:r>
    </w:p>
    <w:p>
      <w:pPr>
        <w:spacing w:line="400" w:lineRule="exact"/>
        <w:rPr>
          <w:rFonts w:ascii="仿宋_GB2312" w:eastAsia="仿宋_GB2312"/>
          <w:sz w:val="28"/>
          <w:szCs w:val="28"/>
          <w:lang w:val="zh-CN"/>
        </w:rPr>
      </w:pPr>
      <w:r>
        <w:rPr>
          <w:rFonts w:hint="eastAsia" w:ascii="仿宋_GB2312" w:eastAsia="仿宋_GB2312"/>
          <w:sz w:val="28"/>
          <w:szCs w:val="28"/>
        </w:rPr>
        <w:t>2.</w:t>
      </w:r>
      <w:r>
        <w:rPr>
          <w:rFonts w:hint="eastAsia" w:ascii="仿宋_GB2312" w:eastAsia="仿宋_GB2312"/>
          <w:sz w:val="28"/>
          <w:szCs w:val="28"/>
          <w:lang w:val="zh-CN"/>
        </w:rPr>
        <w:t>自评等级：自评得分在</w:t>
      </w:r>
      <w:r>
        <w:rPr>
          <w:rFonts w:hint="eastAsia" w:ascii="仿宋_GB2312" w:eastAsia="仿宋_GB2312"/>
          <w:sz w:val="28"/>
          <w:szCs w:val="28"/>
        </w:rPr>
        <w:t>90</w:t>
      </w:r>
      <w:r>
        <w:rPr>
          <w:rFonts w:hint="eastAsia" w:ascii="仿宋_GB2312" w:eastAsia="仿宋_GB2312"/>
          <w:sz w:val="28"/>
          <w:szCs w:val="28"/>
          <w:lang w:val="zh-CN"/>
        </w:rPr>
        <w:t>（含）</w:t>
      </w:r>
      <w:r>
        <w:rPr>
          <w:rFonts w:hint="eastAsia" w:ascii="仿宋_GB2312" w:hAnsi="仿宋_GB2312" w:eastAsia="仿宋_GB2312" w:cs="仿宋_GB2312"/>
          <w:sz w:val="28"/>
          <w:szCs w:val="28"/>
        </w:rPr>
        <w:t>-100</w:t>
      </w:r>
      <w:r>
        <w:rPr>
          <w:rFonts w:hint="eastAsia" w:ascii="仿宋_GB2312" w:eastAsia="仿宋_GB2312"/>
          <w:sz w:val="28"/>
          <w:szCs w:val="28"/>
          <w:lang w:val="zh-CN"/>
        </w:rPr>
        <w:t>为“优”，</w:t>
      </w:r>
      <w:r>
        <w:rPr>
          <w:rFonts w:hint="eastAsia" w:ascii="仿宋_GB2312" w:eastAsia="仿宋_GB2312"/>
          <w:sz w:val="28"/>
          <w:szCs w:val="28"/>
        </w:rPr>
        <w:t>80（含）-90为“良”，60（含）-80为“中”，</w:t>
      </w:r>
      <w:r>
        <w:rPr>
          <w:rFonts w:hint="eastAsia" w:ascii="仿宋_GB2312" w:hAnsi="仿宋_GB2312" w:eastAsia="仿宋_GB2312" w:cs="仿宋_GB2312"/>
          <w:sz w:val="28"/>
          <w:szCs w:val="28"/>
        </w:rPr>
        <w:t>60分以下为</w:t>
      </w:r>
      <w:r>
        <w:rPr>
          <w:rFonts w:hint="eastAsia" w:ascii="仿宋_GB2312" w:eastAsia="仿宋_GB2312"/>
          <w:sz w:val="28"/>
          <w:szCs w:val="28"/>
          <w:lang w:val="zh-CN"/>
        </w:rPr>
        <w:t>“</w:t>
      </w:r>
      <w:r>
        <w:rPr>
          <w:rFonts w:hint="eastAsia" w:ascii="仿宋_GB2312" w:hAnsi="仿宋_GB2312" w:eastAsia="仿宋_GB2312" w:cs="仿宋_GB2312"/>
          <w:sz w:val="28"/>
          <w:szCs w:val="28"/>
        </w:rPr>
        <w:t>差</w:t>
      </w:r>
      <w:r>
        <w:rPr>
          <w:rFonts w:hint="eastAsia" w:ascii="仿宋_GB2312" w:eastAsia="仿宋_GB2312"/>
          <w:sz w:val="28"/>
          <w:szCs w:val="28"/>
          <w:lang w:val="zh-CN"/>
        </w:rPr>
        <w:t>”；</w:t>
      </w:r>
    </w:p>
    <w:p>
      <w:pPr>
        <w:spacing w:line="400" w:lineRule="exact"/>
        <w:rPr>
          <w:rFonts w:ascii="仿宋_GB2312" w:hAnsi="仿宋_GB2312" w:eastAsia="仿宋_GB2312" w:cs="仿宋_GB2312"/>
          <w:sz w:val="28"/>
          <w:szCs w:val="28"/>
        </w:rPr>
      </w:pPr>
      <w:r>
        <w:rPr>
          <w:rFonts w:hint="eastAsia" w:ascii="仿宋_GB2312" w:eastAsia="仿宋_GB2312"/>
          <w:sz w:val="28"/>
          <w:szCs w:val="28"/>
        </w:rPr>
        <w:t>3.</w:t>
      </w:r>
      <w:r>
        <w:rPr>
          <w:rFonts w:hint="eastAsia" w:ascii="仿宋_GB2312" w:hAnsi="仿宋_GB2312" w:eastAsia="仿宋_GB2312" w:cs="仿宋_GB2312"/>
          <w:sz w:val="28"/>
          <w:szCs w:val="28"/>
        </w:rPr>
        <w:t>表格中两部分的项目总数应与“1、预算绩效管理工作开展情况”“2、项目绩效自评结果”中表述的自评项目数量保持一致。如因项目涉密等原因造成项目数量不一致，需说明。</w:t>
      </w:r>
    </w:p>
    <w:p>
      <w:pPr>
        <w:spacing w:line="400" w:lineRule="exact"/>
        <w:rPr>
          <w:rFonts w:ascii="仿宋_GB2312" w:hAnsi="仿宋_GB2312" w:eastAsia="仿宋_GB2312" w:cs="仿宋_GB2312"/>
          <w:sz w:val="28"/>
          <w:szCs w:val="28"/>
        </w:rPr>
      </w:pPr>
    </w:p>
    <w:p>
      <w:pPr>
        <w:spacing w:line="400" w:lineRule="exact"/>
        <w:rPr>
          <w:rFonts w:ascii="仿宋_GB2312" w:hAnsi="仿宋_GB2312" w:eastAsia="仿宋_GB2312" w:cs="仿宋_GB2312"/>
          <w:sz w:val="28"/>
          <w:szCs w:val="28"/>
        </w:rPr>
      </w:pPr>
    </w:p>
    <w:p>
      <w:pPr>
        <w:spacing w:line="400" w:lineRule="exact"/>
        <w:rPr>
          <w:rFonts w:ascii="仿宋_GB2312" w:hAnsi="仿宋_GB2312" w:eastAsia="仿宋_GB2312" w:cs="仿宋_GB2312"/>
          <w:sz w:val="28"/>
          <w:szCs w:val="28"/>
        </w:rPr>
        <w:sectPr>
          <w:pgSz w:w="16838" w:h="11906" w:orient="landscape"/>
          <w:pgMar w:top="1077" w:right="1701" w:bottom="1077" w:left="1701" w:header="0" w:footer="1418" w:gutter="0"/>
          <w:cols w:space="720" w:num="1"/>
          <w:docGrid w:type="linesAndChars" w:linePitch="610" w:charSpace="-849"/>
        </w:sectPr>
      </w:pPr>
    </w:p>
    <w:tbl>
      <w:tblPr>
        <w:tblStyle w:val="15"/>
        <w:tblW w:w="146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3"/>
        <w:gridCol w:w="1982"/>
        <w:gridCol w:w="1176"/>
        <w:gridCol w:w="1838"/>
        <w:gridCol w:w="1621"/>
        <w:gridCol w:w="797"/>
        <w:gridCol w:w="1780"/>
        <w:gridCol w:w="528"/>
        <w:gridCol w:w="1088"/>
        <w:gridCol w:w="2542"/>
        <w:gridCol w:w="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14659" w:type="dxa"/>
            <w:gridSpan w:val="11"/>
            <w:vMerge w:val="restart"/>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color w:val="000000"/>
                <w:sz w:val="56"/>
                <w:szCs w:val="56"/>
              </w:rPr>
            </w:pPr>
            <w:r>
              <w:rPr>
                <w:rFonts w:hint="eastAsia" w:ascii="宋体" w:hAnsi="宋体" w:cs="宋体"/>
                <w:b/>
                <w:color w:val="000000"/>
                <w:kern w:val="0"/>
                <w:sz w:val="56"/>
                <w:szCs w:val="56"/>
              </w:rPr>
              <w:t>市级专项资金单位自评表（三级）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14659" w:type="dxa"/>
            <w:gridSpan w:val="11"/>
            <w:vMerge w:val="continue"/>
            <w:tcBorders>
              <w:top w:val="nil"/>
              <w:left w:val="nil"/>
              <w:bottom w:val="nil"/>
              <w:right w:val="nil"/>
            </w:tcBorders>
            <w:tcMar>
              <w:top w:w="15" w:type="dxa"/>
              <w:left w:w="15" w:type="dxa"/>
              <w:right w:w="15" w:type="dxa"/>
            </w:tcMar>
            <w:vAlign w:val="center"/>
          </w:tcPr>
          <w:p>
            <w:pPr>
              <w:jc w:val="center"/>
              <w:rPr>
                <w:rFonts w:ascii="宋体" w:hAnsi="宋体" w:cs="宋体"/>
                <w:b/>
                <w:color w:val="000000"/>
                <w:sz w:val="56"/>
                <w:szCs w:val="5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3911" w:type="dxa"/>
            <w:gridSpan w:val="3"/>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填报部门（单位）：青岛市司法局</w:t>
            </w:r>
          </w:p>
        </w:tc>
        <w:tc>
          <w:tcPr>
            <w:tcW w:w="6036" w:type="dxa"/>
            <w:gridSpan w:val="4"/>
            <w:tcBorders>
              <w:top w:val="nil"/>
              <w:left w:val="nil"/>
              <w:bottom w:val="nil"/>
              <w:right w:val="nil"/>
            </w:tcBorders>
            <w:tcMar>
              <w:top w:w="15" w:type="dxa"/>
              <w:left w:w="15" w:type="dxa"/>
              <w:right w:w="15" w:type="dxa"/>
            </w:tcMar>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  2021  )年度</w:t>
            </w:r>
          </w:p>
        </w:tc>
        <w:tc>
          <w:tcPr>
            <w:tcW w:w="4712" w:type="dxa"/>
            <w:gridSpan w:val="4"/>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7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3158"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22-其他运转类</w:t>
            </w:r>
          </w:p>
        </w:tc>
        <w:tc>
          <w:tcPr>
            <w:tcW w:w="183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支出领域</w:t>
            </w:r>
          </w:p>
        </w:tc>
        <w:tc>
          <w:tcPr>
            <w:tcW w:w="2418"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其他运转类</w:t>
            </w:r>
          </w:p>
        </w:tc>
        <w:tc>
          <w:tcPr>
            <w:tcW w:w="2308"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资金名称</w:t>
            </w:r>
          </w:p>
        </w:tc>
        <w:tc>
          <w:tcPr>
            <w:tcW w:w="4184"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法制专项业务费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7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4996"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青岛市司法局部门</w:t>
            </w:r>
          </w:p>
        </w:tc>
        <w:tc>
          <w:tcPr>
            <w:tcW w:w="2418"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项目实施单位</w:t>
            </w:r>
          </w:p>
        </w:tc>
        <w:tc>
          <w:tcPr>
            <w:tcW w:w="6492"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青岛市司法局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预算执行情况（10分）</w:t>
            </w:r>
          </w:p>
        </w:tc>
        <w:tc>
          <w:tcPr>
            <w:tcW w:w="1982"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117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年初预算数</w:t>
            </w:r>
          </w:p>
        </w:tc>
        <w:tc>
          <w:tcPr>
            <w:tcW w:w="183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调整后的预算数（A）</w:t>
            </w:r>
          </w:p>
        </w:tc>
        <w:tc>
          <w:tcPr>
            <w:tcW w:w="162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79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7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执行率（B/A*100%）</w:t>
            </w: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4184"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未达到进度分析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82"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17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158.4</w:t>
            </w:r>
          </w:p>
        </w:tc>
        <w:tc>
          <w:tcPr>
            <w:tcW w:w="183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158.4</w:t>
            </w:r>
          </w:p>
        </w:tc>
        <w:tc>
          <w:tcPr>
            <w:tcW w:w="162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154.45</w:t>
            </w:r>
          </w:p>
        </w:tc>
        <w:tc>
          <w:tcPr>
            <w:tcW w:w="79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7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97.51</w:t>
            </w: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9.75</w:t>
            </w:r>
          </w:p>
        </w:tc>
        <w:tc>
          <w:tcPr>
            <w:tcW w:w="4184"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贯彻厉行节约要求，压缩经费开支。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82"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其中：市级转移支付资金</w:t>
            </w:r>
          </w:p>
        </w:tc>
        <w:tc>
          <w:tcPr>
            <w:tcW w:w="117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83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62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79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7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4184"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6617" w:type="dxa"/>
            <w:gridSpan w:val="4"/>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年初预期目标</w:t>
            </w:r>
          </w:p>
        </w:tc>
        <w:tc>
          <w:tcPr>
            <w:tcW w:w="7289"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00" w:hRule="atLeast"/>
        </w:trPr>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6617" w:type="dxa"/>
            <w:gridSpan w:val="4"/>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根据司法体制改革工作目标要求，保障各项司法行政工作顺利开展，完成各类信息化等装备配备保障任务。着力提高法治建设水平、法律服务水平，提高人民群众对司法公正的满意度，全力推进法治政府建设。继续保持各项司法业务工作走在全省前列，发挥青岛在全省的龙头作用。</w:t>
            </w:r>
          </w:p>
        </w:tc>
        <w:tc>
          <w:tcPr>
            <w:tcW w:w="7289"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根据司法体制改革工作目标要求，保障各项司法行政工作顺利开展，完成各类信息化等装备配备保障任务。着力提高法治建设水平、法律服务水平，提高人民群众对司法公正的满意度，全力推进法治政府建设。继续保持各项司法业务工作走在全省前列，发挥青岛在全省的龙头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4659" w:type="dxa"/>
            <w:gridSpan w:val="11"/>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年度绩效指标完成情况（90分）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753"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一级指标</w:t>
            </w:r>
          </w:p>
        </w:tc>
        <w:tc>
          <w:tcPr>
            <w:tcW w:w="1982" w:type="dxa"/>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3014"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1621"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797"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实际完成值</w:t>
            </w:r>
          </w:p>
        </w:tc>
        <w:tc>
          <w:tcPr>
            <w:tcW w:w="1780"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528"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088"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未完成指标的原因分析</w:t>
            </w:r>
          </w:p>
        </w:tc>
        <w:tc>
          <w:tcPr>
            <w:tcW w:w="2542"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偏离年初设定的绩效指标值较多(30%及以上)的原因分析</w:t>
            </w:r>
          </w:p>
        </w:tc>
        <w:tc>
          <w:tcPr>
            <w:tcW w:w="554"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753"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1982" w:type="dxa"/>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3014"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市级重大决策合法性审查率</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95 %</w:t>
            </w:r>
          </w:p>
        </w:tc>
        <w:tc>
          <w:tcPr>
            <w:tcW w:w="79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78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52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542"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55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753"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1982" w:type="dxa"/>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3014"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行政执法人员执法证审验数</w:t>
            </w:r>
          </w:p>
        </w:tc>
        <w:tc>
          <w:tcPr>
            <w:tcW w:w="162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1200 人</w:t>
            </w:r>
          </w:p>
        </w:tc>
        <w:tc>
          <w:tcPr>
            <w:tcW w:w="79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3025</w:t>
            </w:r>
          </w:p>
        </w:tc>
        <w:tc>
          <w:tcPr>
            <w:tcW w:w="17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8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54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55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753"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1982" w:type="dxa"/>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3014"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市级单位行政执法监督覆盖率</w:t>
            </w:r>
          </w:p>
        </w:tc>
        <w:tc>
          <w:tcPr>
            <w:tcW w:w="162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90 %</w:t>
            </w:r>
          </w:p>
        </w:tc>
        <w:tc>
          <w:tcPr>
            <w:tcW w:w="79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92</w:t>
            </w:r>
          </w:p>
        </w:tc>
        <w:tc>
          <w:tcPr>
            <w:tcW w:w="17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8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54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55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753"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1982" w:type="dxa"/>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3014"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行政复议行政应诉结案数量</w:t>
            </w:r>
          </w:p>
        </w:tc>
        <w:tc>
          <w:tcPr>
            <w:tcW w:w="162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1000 件</w:t>
            </w:r>
          </w:p>
        </w:tc>
        <w:tc>
          <w:tcPr>
            <w:tcW w:w="79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1190</w:t>
            </w:r>
          </w:p>
        </w:tc>
        <w:tc>
          <w:tcPr>
            <w:tcW w:w="17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8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54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55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75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1982"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3014" w:type="dxa"/>
            <w:gridSpan w:val="2"/>
            <w:tcBorders>
              <w:top w:val="single" w:color="000000" w:sz="4" w:space="0"/>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立法计划完成率</w:t>
            </w:r>
          </w:p>
        </w:tc>
        <w:tc>
          <w:tcPr>
            <w:tcW w:w="1621" w:type="dxa"/>
            <w:tcBorders>
              <w:top w:val="nil"/>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80 %</w:t>
            </w:r>
          </w:p>
        </w:tc>
        <w:tc>
          <w:tcPr>
            <w:tcW w:w="797"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780"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528"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88"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542"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554"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7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p>
        </w:tc>
        <w:tc>
          <w:tcPr>
            <w:tcW w:w="198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服务对象满意度指标</w:t>
            </w:r>
          </w:p>
        </w:tc>
        <w:tc>
          <w:tcPr>
            <w:tcW w:w="3014"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当事人满意度</w:t>
            </w:r>
          </w:p>
        </w:tc>
        <w:tc>
          <w:tcPr>
            <w:tcW w:w="16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80 %</w:t>
            </w:r>
          </w:p>
        </w:tc>
        <w:tc>
          <w:tcPr>
            <w:tcW w:w="7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1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52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54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5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7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效益指标</w:t>
            </w:r>
          </w:p>
        </w:tc>
        <w:tc>
          <w:tcPr>
            <w:tcW w:w="198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社会效益指标</w:t>
            </w:r>
          </w:p>
        </w:tc>
        <w:tc>
          <w:tcPr>
            <w:tcW w:w="3014"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行政诉讼单位负责人到庭应诉率</w:t>
            </w:r>
          </w:p>
        </w:tc>
        <w:tc>
          <w:tcPr>
            <w:tcW w:w="16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90 %</w:t>
            </w:r>
          </w:p>
        </w:tc>
        <w:tc>
          <w:tcPr>
            <w:tcW w:w="7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7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52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0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54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5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273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得分合计</w:t>
            </w:r>
          </w:p>
        </w:tc>
        <w:tc>
          <w:tcPr>
            <w:tcW w:w="11924"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273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总分</w:t>
            </w:r>
          </w:p>
        </w:tc>
        <w:tc>
          <w:tcPr>
            <w:tcW w:w="11924"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99.75</w:t>
            </w:r>
          </w:p>
        </w:tc>
      </w:tr>
    </w:tbl>
    <w:p>
      <w:pPr>
        <w:spacing w:line="400" w:lineRule="exact"/>
        <w:rPr>
          <w:rFonts w:ascii="仿宋_GB2312" w:hAnsi="仿宋_GB2312" w:eastAsia="仿宋_GB2312" w:cs="仿宋_GB2312"/>
          <w:sz w:val="28"/>
          <w:szCs w:val="28"/>
        </w:rPr>
        <w:sectPr>
          <w:pgSz w:w="16783" w:h="23757"/>
          <w:pgMar w:top="1701" w:right="1077" w:bottom="1701" w:left="1077" w:header="0" w:footer="1418" w:gutter="0"/>
          <w:cols w:space="720" w:num="1"/>
          <w:docGrid w:type="linesAndChars" w:linePitch="610" w:charSpace="-849"/>
        </w:sectPr>
      </w:pPr>
    </w:p>
    <w:p>
      <w:pPr>
        <w:spacing w:line="400" w:lineRule="exact"/>
        <w:rPr>
          <w:rFonts w:ascii="仿宋_GB2312" w:hAnsi="仿宋_GB2312" w:eastAsia="仿宋_GB2312" w:cs="仿宋_GB2312"/>
          <w:sz w:val="28"/>
          <w:szCs w:val="28"/>
        </w:rPr>
      </w:pPr>
    </w:p>
    <w:tbl>
      <w:tblPr>
        <w:tblStyle w:val="15"/>
        <w:tblW w:w="146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86"/>
        <w:gridCol w:w="1824"/>
        <w:gridCol w:w="947"/>
        <w:gridCol w:w="1648"/>
        <w:gridCol w:w="1357"/>
        <w:gridCol w:w="736"/>
        <w:gridCol w:w="1522"/>
        <w:gridCol w:w="422"/>
        <w:gridCol w:w="1173"/>
        <w:gridCol w:w="2785"/>
        <w:gridCol w:w="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14659" w:type="dxa"/>
            <w:gridSpan w:val="11"/>
            <w:vMerge w:val="restart"/>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color w:val="000000"/>
                <w:sz w:val="56"/>
                <w:szCs w:val="56"/>
              </w:rPr>
            </w:pPr>
            <w:r>
              <w:rPr>
                <w:rFonts w:hint="eastAsia" w:ascii="宋体" w:hAnsi="宋体" w:cs="宋体"/>
                <w:b/>
                <w:color w:val="000000"/>
                <w:kern w:val="0"/>
                <w:sz w:val="56"/>
                <w:szCs w:val="56"/>
              </w:rPr>
              <w:t>市级专项资金单位自评表（三级）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14659" w:type="dxa"/>
            <w:gridSpan w:val="11"/>
            <w:vMerge w:val="continue"/>
            <w:tcBorders>
              <w:top w:val="nil"/>
              <w:left w:val="nil"/>
              <w:bottom w:val="nil"/>
              <w:right w:val="nil"/>
            </w:tcBorders>
            <w:tcMar>
              <w:top w:w="15" w:type="dxa"/>
              <w:left w:w="15" w:type="dxa"/>
              <w:right w:w="15" w:type="dxa"/>
            </w:tcMar>
            <w:vAlign w:val="center"/>
          </w:tcPr>
          <w:p>
            <w:pPr>
              <w:jc w:val="center"/>
              <w:rPr>
                <w:rFonts w:ascii="宋体" w:hAnsi="宋体" w:cs="宋体"/>
                <w:b/>
                <w:color w:val="000000"/>
                <w:sz w:val="56"/>
                <w:szCs w:val="5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057" w:type="dxa"/>
            <w:gridSpan w:val="3"/>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填报部门（单位）：青岛市司法局</w:t>
            </w:r>
          </w:p>
        </w:tc>
        <w:tc>
          <w:tcPr>
            <w:tcW w:w="5263" w:type="dxa"/>
            <w:gridSpan w:val="4"/>
            <w:tcBorders>
              <w:top w:val="nil"/>
              <w:left w:val="nil"/>
              <w:bottom w:val="nil"/>
              <w:right w:val="nil"/>
            </w:tcBorders>
            <w:tcMar>
              <w:top w:w="15" w:type="dxa"/>
              <w:left w:w="15" w:type="dxa"/>
              <w:right w:w="15" w:type="dxa"/>
            </w:tcMar>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  2021  )年度</w:t>
            </w:r>
          </w:p>
        </w:tc>
        <w:tc>
          <w:tcPr>
            <w:tcW w:w="5339" w:type="dxa"/>
            <w:gridSpan w:val="4"/>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2771"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22-其他运转类</w:t>
            </w:r>
          </w:p>
        </w:tc>
        <w:tc>
          <w:tcPr>
            <w:tcW w:w="164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支出领域</w:t>
            </w:r>
          </w:p>
        </w:tc>
        <w:tc>
          <w:tcPr>
            <w:tcW w:w="2093"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其他运转类</w:t>
            </w:r>
          </w:p>
        </w:tc>
        <w:tc>
          <w:tcPr>
            <w:tcW w:w="1944"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资金名称</w:t>
            </w:r>
          </w:p>
        </w:tc>
        <w:tc>
          <w:tcPr>
            <w:tcW w:w="491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法律职业资格考试费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4419"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青岛市司法局部门</w:t>
            </w:r>
          </w:p>
        </w:tc>
        <w:tc>
          <w:tcPr>
            <w:tcW w:w="2093"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项目实施单位</w:t>
            </w:r>
          </w:p>
        </w:tc>
        <w:tc>
          <w:tcPr>
            <w:tcW w:w="6861"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青岛市司法局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预算执行情况（10分）</w:t>
            </w:r>
          </w:p>
        </w:tc>
        <w:tc>
          <w:tcPr>
            <w:tcW w:w="182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94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年初预算数</w:t>
            </w:r>
          </w:p>
        </w:tc>
        <w:tc>
          <w:tcPr>
            <w:tcW w:w="164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调整后的预算数（A）</w:t>
            </w:r>
          </w:p>
        </w:tc>
        <w:tc>
          <w:tcPr>
            <w:tcW w:w="135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73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5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执行率（B/A*100%）</w:t>
            </w:r>
          </w:p>
        </w:tc>
        <w:tc>
          <w:tcPr>
            <w:tcW w:w="4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491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未达到进度分析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2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94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90.5</w:t>
            </w:r>
          </w:p>
        </w:tc>
        <w:tc>
          <w:tcPr>
            <w:tcW w:w="164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90.5</w:t>
            </w:r>
          </w:p>
        </w:tc>
        <w:tc>
          <w:tcPr>
            <w:tcW w:w="135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90.5</w:t>
            </w:r>
          </w:p>
        </w:tc>
        <w:tc>
          <w:tcPr>
            <w:tcW w:w="73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491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trPr>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82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其中：市级转移支付资金</w:t>
            </w:r>
          </w:p>
        </w:tc>
        <w:tc>
          <w:tcPr>
            <w:tcW w:w="94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64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35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73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5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4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491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5776" w:type="dxa"/>
            <w:gridSpan w:val="4"/>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年初预期目标</w:t>
            </w:r>
          </w:p>
        </w:tc>
        <w:tc>
          <w:tcPr>
            <w:tcW w:w="7597"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5" w:hRule="atLeast"/>
        </w:trPr>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5776" w:type="dxa"/>
            <w:gridSpan w:val="4"/>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根据司法部要求，做好2021年度国家法律职业资格考试组织工作，确保为国家选拔优秀的法律从业人员。     </w:t>
            </w:r>
          </w:p>
        </w:tc>
        <w:tc>
          <w:tcPr>
            <w:tcW w:w="7597"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顺利完成2021年度国家法律职业资格考试组织工作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4659" w:type="dxa"/>
            <w:gridSpan w:val="11"/>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年度绩效指标完成情况（90分）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128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一级指标</w:t>
            </w:r>
          </w:p>
        </w:tc>
        <w:tc>
          <w:tcPr>
            <w:tcW w:w="1824" w:type="dxa"/>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2595"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1357"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736"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实际完成值</w:t>
            </w:r>
          </w:p>
        </w:tc>
        <w:tc>
          <w:tcPr>
            <w:tcW w:w="1522"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422"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173"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未完成指标的原因分析</w:t>
            </w:r>
          </w:p>
        </w:tc>
        <w:tc>
          <w:tcPr>
            <w:tcW w:w="2785"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偏离年初设定的绩效指标值较多(30%及以上)的原因分析</w:t>
            </w:r>
          </w:p>
        </w:tc>
        <w:tc>
          <w:tcPr>
            <w:tcW w:w="959"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8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1824" w:type="dxa"/>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2595"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主客观题考试人数</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6000 人</w:t>
            </w:r>
          </w:p>
        </w:tc>
        <w:tc>
          <w:tcPr>
            <w:tcW w:w="73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9800</w:t>
            </w:r>
          </w:p>
        </w:tc>
        <w:tc>
          <w:tcPr>
            <w:tcW w:w="1522"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12.5</w:t>
            </w:r>
          </w:p>
        </w:tc>
        <w:tc>
          <w:tcPr>
            <w:tcW w:w="422"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12.5</w:t>
            </w:r>
          </w:p>
        </w:tc>
        <w:tc>
          <w:tcPr>
            <w:tcW w:w="117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78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95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8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1824" w:type="dxa"/>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2595"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考试单人成本控制</w:t>
            </w:r>
          </w:p>
        </w:tc>
        <w:tc>
          <w:tcPr>
            <w:tcW w:w="135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20 元/人</w:t>
            </w:r>
          </w:p>
        </w:tc>
        <w:tc>
          <w:tcPr>
            <w:tcW w:w="73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5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12.5</w:t>
            </w:r>
          </w:p>
        </w:tc>
        <w:tc>
          <w:tcPr>
            <w:tcW w:w="4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5.81</w:t>
            </w:r>
          </w:p>
        </w:tc>
        <w:tc>
          <w:tcPr>
            <w:tcW w:w="117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4-自身原因</w:t>
            </w:r>
          </w:p>
        </w:tc>
        <w:tc>
          <w:tcPr>
            <w:tcW w:w="278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成本指标预估过低</w:t>
            </w:r>
          </w:p>
        </w:tc>
        <w:tc>
          <w:tcPr>
            <w:tcW w:w="95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成本指标预估过低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8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1824" w:type="dxa"/>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2595"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考生机位准备率</w:t>
            </w:r>
          </w:p>
        </w:tc>
        <w:tc>
          <w:tcPr>
            <w:tcW w:w="135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100 %</w:t>
            </w:r>
          </w:p>
        </w:tc>
        <w:tc>
          <w:tcPr>
            <w:tcW w:w="73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5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12.5</w:t>
            </w:r>
          </w:p>
        </w:tc>
        <w:tc>
          <w:tcPr>
            <w:tcW w:w="4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12.5</w:t>
            </w:r>
          </w:p>
        </w:tc>
        <w:tc>
          <w:tcPr>
            <w:tcW w:w="117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78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95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8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1824"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2595" w:type="dxa"/>
            <w:gridSpan w:val="2"/>
            <w:tcBorders>
              <w:top w:val="single" w:color="000000" w:sz="4" w:space="0"/>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十月下旬客观题考试，十一月下旬主观题考试</w:t>
            </w:r>
          </w:p>
        </w:tc>
        <w:tc>
          <w:tcPr>
            <w:tcW w:w="1357" w:type="dxa"/>
            <w:tcBorders>
              <w:top w:val="nil"/>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3 天</w:t>
            </w:r>
          </w:p>
        </w:tc>
        <w:tc>
          <w:tcPr>
            <w:tcW w:w="736"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522"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12.5</w:t>
            </w:r>
          </w:p>
        </w:tc>
        <w:tc>
          <w:tcPr>
            <w:tcW w:w="422"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12.5</w:t>
            </w:r>
          </w:p>
        </w:tc>
        <w:tc>
          <w:tcPr>
            <w:tcW w:w="1173"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785"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959"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p>
        </w:tc>
        <w:tc>
          <w:tcPr>
            <w:tcW w:w="182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服务对象满意度指标</w:t>
            </w:r>
          </w:p>
        </w:tc>
        <w:tc>
          <w:tcPr>
            <w:tcW w:w="259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考生满意度</w:t>
            </w:r>
          </w:p>
        </w:tc>
        <w:tc>
          <w:tcPr>
            <w:tcW w:w="13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90 %</w:t>
            </w:r>
          </w:p>
        </w:tc>
        <w:tc>
          <w:tcPr>
            <w:tcW w:w="73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98</w:t>
            </w:r>
          </w:p>
        </w:tc>
        <w:tc>
          <w:tcPr>
            <w:tcW w:w="15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4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7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7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95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效益指标</w:t>
            </w:r>
          </w:p>
        </w:tc>
        <w:tc>
          <w:tcPr>
            <w:tcW w:w="182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社会效益指标</w:t>
            </w:r>
          </w:p>
        </w:tc>
        <w:tc>
          <w:tcPr>
            <w:tcW w:w="259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法律职业资格考试正常举办</w:t>
            </w:r>
          </w:p>
        </w:tc>
        <w:tc>
          <w:tcPr>
            <w:tcW w:w="13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100 %</w:t>
            </w:r>
          </w:p>
        </w:tc>
        <w:tc>
          <w:tcPr>
            <w:tcW w:w="73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5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4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17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7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95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311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得分合计</w:t>
            </w:r>
          </w:p>
        </w:tc>
        <w:tc>
          <w:tcPr>
            <w:tcW w:w="11549"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311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总分</w:t>
            </w:r>
          </w:p>
        </w:tc>
        <w:tc>
          <w:tcPr>
            <w:tcW w:w="11549"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93.31</w:t>
            </w:r>
          </w:p>
        </w:tc>
      </w:tr>
    </w:tbl>
    <w:p>
      <w:pPr>
        <w:spacing w:line="400" w:lineRule="exact"/>
        <w:rPr>
          <w:rFonts w:ascii="仿宋_GB2312" w:hAnsi="仿宋_GB2312" w:eastAsia="仿宋_GB2312" w:cs="仿宋_GB2312"/>
          <w:sz w:val="28"/>
          <w:szCs w:val="28"/>
        </w:rPr>
        <w:sectPr>
          <w:pgSz w:w="16783" w:h="23757"/>
          <w:pgMar w:top="1701" w:right="1077" w:bottom="1701" w:left="1077" w:header="0" w:footer="1418" w:gutter="0"/>
          <w:cols w:space="720" w:num="1"/>
          <w:docGrid w:type="linesAndChars" w:linePitch="610" w:charSpace="-849"/>
        </w:sectPr>
      </w:pPr>
    </w:p>
    <w:p>
      <w:pPr>
        <w:spacing w:line="400" w:lineRule="exact"/>
        <w:rPr>
          <w:rFonts w:ascii="仿宋_GB2312" w:hAnsi="仿宋_GB2312" w:eastAsia="仿宋_GB2312" w:cs="仿宋_GB2312"/>
          <w:sz w:val="28"/>
          <w:szCs w:val="28"/>
        </w:rPr>
      </w:pPr>
    </w:p>
    <w:tbl>
      <w:tblPr>
        <w:tblStyle w:val="15"/>
        <w:tblW w:w="146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18"/>
        <w:gridCol w:w="2354"/>
        <w:gridCol w:w="1108"/>
        <w:gridCol w:w="2143"/>
        <w:gridCol w:w="1774"/>
        <w:gridCol w:w="739"/>
        <w:gridCol w:w="1630"/>
        <w:gridCol w:w="284"/>
        <w:gridCol w:w="768"/>
        <w:gridCol w:w="2428"/>
        <w:gridCol w:w="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14659" w:type="dxa"/>
            <w:gridSpan w:val="11"/>
            <w:vMerge w:val="restart"/>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color w:val="000000"/>
                <w:sz w:val="56"/>
                <w:szCs w:val="56"/>
              </w:rPr>
            </w:pPr>
            <w:r>
              <w:rPr>
                <w:rFonts w:hint="eastAsia" w:ascii="宋体" w:hAnsi="宋体" w:cs="宋体"/>
                <w:b/>
                <w:color w:val="000000"/>
                <w:kern w:val="0"/>
                <w:sz w:val="56"/>
                <w:szCs w:val="56"/>
              </w:rPr>
              <w:t>市级专项资金单位自评表（三级）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14659" w:type="dxa"/>
            <w:gridSpan w:val="11"/>
            <w:vMerge w:val="continue"/>
            <w:tcBorders>
              <w:top w:val="nil"/>
              <w:left w:val="nil"/>
              <w:bottom w:val="nil"/>
              <w:right w:val="nil"/>
            </w:tcBorders>
            <w:tcMar>
              <w:top w:w="15" w:type="dxa"/>
              <w:left w:w="15" w:type="dxa"/>
              <w:right w:w="15" w:type="dxa"/>
            </w:tcMar>
            <w:vAlign w:val="center"/>
          </w:tcPr>
          <w:p>
            <w:pPr>
              <w:jc w:val="center"/>
              <w:rPr>
                <w:rFonts w:ascii="宋体" w:hAnsi="宋体" w:cs="宋体"/>
                <w:b/>
                <w:color w:val="000000"/>
                <w:sz w:val="56"/>
                <w:szCs w:val="5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380" w:type="dxa"/>
            <w:gridSpan w:val="3"/>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填报部门（单位）：青岛市司法局</w:t>
            </w:r>
          </w:p>
        </w:tc>
        <w:tc>
          <w:tcPr>
            <w:tcW w:w="6286" w:type="dxa"/>
            <w:gridSpan w:val="4"/>
            <w:tcBorders>
              <w:top w:val="nil"/>
              <w:left w:val="nil"/>
              <w:bottom w:val="nil"/>
              <w:right w:val="nil"/>
            </w:tcBorders>
            <w:tcMar>
              <w:top w:w="15" w:type="dxa"/>
              <w:left w:w="15" w:type="dxa"/>
              <w:right w:w="15" w:type="dxa"/>
            </w:tcMar>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  2021  )年度</w:t>
            </w:r>
          </w:p>
        </w:tc>
        <w:tc>
          <w:tcPr>
            <w:tcW w:w="3993" w:type="dxa"/>
            <w:gridSpan w:val="4"/>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3462"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22-其他运转类</w:t>
            </w:r>
          </w:p>
        </w:tc>
        <w:tc>
          <w:tcPr>
            <w:tcW w:w="214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支出领域</w:t>
            </w:r>
          </w:p>
        </w:tc>
        <w:tc>
          <w:tcPr>
            <w:tcW w:w="2513"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其他运转类</w:t>
            </w:r>
          </w:p>
        </w:tc>
        <w:tc>
          <w:tcPr>
            <w:tcW w:w="2682"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资金名称</w:t>
            </w:r>
          </w:p>
        </w:tc>
        <w:tc>
          <w:tcPr>
            <w:tcW w:w="2941"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法律培训费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560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青岛市司法局部门</w:t>
            </w:r>
          </w:p>
        </w:tc>
        <w:tc>
          <w:tcPr>
            <w:tcW w:w="2513"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项目实施单位</w:t>
            </w:r>
          </w:p>
        </w:tc>
        <w:tc>
          <w:tcPr>
            <w:tcW w:w="5623"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青岛市司法局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9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预算执行情况（10分）</w:t>
            </w:r>
          </w:p>
        </w:tc>
        <w:tc>
          <w:tcPr>
            <w:tcW w:w="235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11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年初预算数</w:t>
            </w:r>
          </w:p>
        </w:tc>
        <w:tc>
          <w:tcPr>
            <w:tcW w:w="214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调整后的预算数（A）</w:t>
            </w:r>
          </w:p>
        </w:tc>
        <w:tc>
          <w:tcPr>
            <w:tcW w:w="177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73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63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执行率（B/A*100%）</w:t>
            </w:r>
          </w:p>
        </w:tc>
        <w:tc>
          <w:tcPr>
            <w:tcW w:w="10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2941"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未达到进度分析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9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35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1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214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77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24.83</w:t>
            </w:r>
          </w:p>
        </w:tc>
        <w:tc>
          <w:tcPr>
            <w:tcW w:w="73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63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91.96</w:t>
            </w:r>
          </w:p>
        </w:tc>
        <w:tc>
          <w:tcPr>
            <w:tcW w:w="10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9.2</w:t>
            </w:r>
          </w:p>
        </w:tc>
        <w:tc>
          <w:tcPr>
            <w:tcW w:w="2941"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9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35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其中：市级转移支付资金</w:t>
            </w:r>
          </w:p>
        </w:tc>
        <w:tc>
          <w:tcPr>
            <w:tcW w:w="11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14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77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73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63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0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2941"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9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7379" w:type="dxa"/>
            <w:gridSpan w:val="4"/>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年初预期目标</w:t>
            </w:r>
          </w:p>
        </w:tc>
        <w:tc>
          <w:tcPr>
            <w:tcW w:w="6362"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00" w:hRule="atLeast"/>
        </w:trPr>
        <w:tc>
          <w:tcPr>
            <w:tcW w:w="9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7379" w:type="dxa"/>
            <w:gridSpan w:val="4"/>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组织全市执法人员执法培训及执法考试、律师入职岗前培训、系统处级科级干部任职培训、基层司法局司法所业务能力提升培训、狱所安全管理培训等，提高行政执法人员、法律从业人员、基层司法行政人员的政治理论水平、业务素质</w:t>
            </w:r>
          </w:p>
        </w:tc>
        <w:tc>
          <w:tcPr>
            <w:tcW w:w="6362"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按年初计划组织我市执法人员执法培训、组织全面依法治市业务培训，提高行政执法人员执法水平，确保执法人员持证上岗，提高政府法治化水平。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4659" w:type="dxa"/>
            <w:gridSpan w:val="11"/>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年度绩效指标完成情况（90分）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9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一级指标</w:t>
            </w:r>
          </w:p>
        </w:tc>
        <w:tc>
          <w:tcPr>
            <w:tcW w:w="2354" w:type="dxa"/>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3251"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1774"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739"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实际完成值</w:t>
            </w:r>
          </w:p>
        </w:tc>
        <w:tc>
          <w:tcPr>
            <w:tcW w:w="1630"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284"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768"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未完成指标的原因分析</w:t>
            </w:r>
          </w:p>
        </w:tc>
        <w:tc>
          <w:tcPr>
            <w:tcW w:w="2428"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偏离年初设定的绩效指标值较多(30%及以上)的原因分析</w:t>
            </w:r>
          </w:p>
        </w:tc>
        <w:tc>
          <w:tcPr>
            <w:tcW w:w="513"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9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2354" w:type="dxa"/>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3251"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年初培训计划完成率</w:t>
            </w:r>
          </w:p>
        </w:tc>
        <w:tc>
          <w:tcPr>
            <w:tcW w:w="17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100 %</w:t>
            </w:r>
          </w:p>
        </w:tc>
        <w:tc>
          <w:tcPr>
            <w:tcW w:w="73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63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28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76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42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51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9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2354" w:type="dxa"/>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3251"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单人培训成本</w:t>
            </w:r>
          </w:p>
        </w:tc>
        <w:tc>
          <w:tcPr>
            <w:tcW w:w="177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400 元</w:t>
            </w:r>
          </w:p>
        </w:tc>
        <w:tc>
          <w:tcPr>
            <w:tcW w:w="73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200</w:t>
            </w:r>
          </w:p>
        </w:tc>
        <w:tc>
          <w:tcPr>
            <w:tcW w:w="163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28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42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51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9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2354" w:type="dxa"/>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3251"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行政执法人员培训次数</w:t>
            </w:r>
          </w:p>
        </w:tc>
        <w:tc>
          <w:tcPr>
            <w:tcW w:w="177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3 批次</w:t>
            </w:r>
          </w:p>
        </w:tc>
        <w:tc>
          <w:tcPr>
            <w:tcW w:w="73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3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28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42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51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9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2354" w:type="dxa"/>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3251"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行政执法人员及法律从业人员参加培训数量</w:t>
            </w:r>
          </w:p>
        </w:tc>
        <w:tc>
          <w:tcPr>
            <w:tcW w:w="177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200 人</w:t>
            </w:r>
          </w:p>
        </w:tc>
        <w:tc>
          <w:tcPr>
            <w:tcW w:w="73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588</w:t>
            </w:r>
          </w:p>
        </w:tc>
        <w:tc>
          <w:tcPr>
            <w:tcW w:w="163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28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42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51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91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2354"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3251" w:type="dxa"/>
            <w:gridSpan w:val="2"/>
            <w:tcBorders>
              <w:top w:val="single" w:color="000000" w:sz="4" w:space="0"/>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组织执法资格证考试和复审</w:t>
            </w:r>
          </w:p>
        </w:tc>
        <w:tc>
          <w:tcPr>
            <w:tcW w:w="1774" w:type="dxa"/>
            <w:tcBorders>
              <w:top w:val="nil"/>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2 天</w:t>
            </w:r>
          </w:p>
        </w:tc>
        <w:tc>
          <w:tcPr>
            <w:tcW w:w="739"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630"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284"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768"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428"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513"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91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p>
        </w:tc>
        <w:tc>
          <w:tcPr>
            <w:tcW w:w="23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服务对象满意度指标</w:t>
            </w:r>
          </w:p>
        </w:tc>
        <w:tc>
          <w:tcPr>
            <w:tcW w:w="325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参加培训人满意度</w:t>
            </w:r>
          </w:p>
        </w:tc>
        <w:tc>
          <w:tcPr>
            <w:tcW w:w="177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95 %</w:t>
            </w:r>
          </w:p>
        </w:tc>
        <w:tc>
          <w:tcPr>
            <w:tcW w:w="7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2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76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42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51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91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效益指标</w:t>
            </w:r>
          </w:p>
        </w:tc>
        <w:tc>
          <w:tcPr>
            <w:tcW w:w="235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社会效益指标</w:t>
            </w:r>
          </w:p>
        </w:tc>
        <w:tc>
          <w:tcPr>
            <w:tcW w:w="325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确保全市行政执法人员（新增和复审）培训考试持证上岗</w:t>
            </w:r>
          </w:p>
        </w:tc>
        <w:tc>
          <w:tcPr>
            <w:tcW w:w="177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3000 人</w:t>
            </w:r>
          </w:p>
        </w:tc>
        <w:tc>
          <w:tcPr>
            <w:tcW w:w="7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5000</w:t>
            </w:r>
          </w:p>
        </w:tc>
        <w:tc>
          <w:tcPr>
            <w:tcW w:w="1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2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76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42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51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3272"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得分合计</w:t>
            </w:r>
          </w:p>
        </w:tc>
        <w:tc>
          <w:tcPr>
            <w:tcW w:w="11387"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3272"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总分</w:t>
            </w:r>
          </w:p>
        </w:tc>
        <w:tc>
          <w:tcPr>
            <w:tcW w:w="11387"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99.2</w:t>
            </w:r>
          </w:p>
        </w:tc>
      </w:tr>
    </w:tbl>
    <w:p>
      <w:pPr>
        <w:spacing w:line="400" w:lineRule="exact"/>
        <w:rPr>
          <w:rFonts w:ascii="仿宋_GB2312" w:hAnsi="仿宋_GB2312" w:eastAsia="仿宋_GB2312" w:cs="仿宋_GB2312"/>
          <w:sz w:val="28"/>
          <w:szCs w:val="28"/>
        </w:rPr>
        <w:sectPr>
          <w:pgSz w:w="16783" w:h="23757"/>
          <w:pgMar w:top="1701" w:right="1077" w:bottom="1701" w:left="1077" w:header="0" w:footer="1418" w:gutter="0"/>
          <w:cols w:space="720" w:num="1"/>
          <w:docGrid w:type="linesAndChars" w:linePitch="610" w:charSpace="-849"/>
        </w:sectPr>
      </w:pPr>
    </w:p>
    <w:p>
      <w:pPr>
        <w:spacing w:line="400" w:lineRule="exact"/>
        <w:rPr>
          <w:rFonts w:ascii="仿宋_GB2312" w:hAnsi="仿宋_GB2312" w:eastAsia="仿宋_GB2312" w:cs="仿宋_GB2312"/>
          <w:sz w:val="28"/>
          <w:szCs w:val="28"/>
        </w:rPr>
      </w:pPr>
    </w:p>
    <w:tbl>
      <w:tblPr>
        <w:tblStyle w:val="15"/>
        <w:tblW w:w="146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59"/>
        <w:gridCol w:w="1366"/>
        <w:gridCol w:w="789"/>
        <w:gridCol w:w="630"/>
        <w:gridCol w:w="627"/>
        <w:gridCol w:w="1096"/>
        <w:gridCol w:w="164"/>
        <w:gridCol w:w="800"/>
        <w:gridCol w:w="21"/>
        <w:gridCol w:w="1504"/>
        <w:gridCol w:w="422"/>
        <w:gridCol w:w="1340"/>
        <w:gridCol w:w="2697"/>
        <w:gridCol w:w="1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14659" w:type="dxa"/>
            <w:gridSpan w:val="14"/>
            <w:vMerge w:val="restart"/>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color w:val="000000"/>
                <w:sz w:val="56"/>
                <w:szCs w:val="56"/>
              </w:rPr>
            </w:pPr>
            <w:r>
              <w:rPr>
                <w:rFonts w:hint="eastAsia" w:ascii="宋体" w:hAnsi="宋体" w:cs="宋体"/>
                <w:b/>
                <w:color w:val="000000"/>
                <w:kern w:val="0"/>
                <w:sz w:val="56"/>
                <w:szCs w:val="56"/>
              </w:rPr>
              <w:t>市级专项资金单位自评表（三级）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14659" w:type="dxa"/>
            <w:gridSpan w:val="14"/>
            <w:vMerge w:val="continue"/>
            <w:tcBorders>
              <w:top w:val="nil"/>
              <w:left w:val="nil"/>
              <w:bottom w:val="nil"/>
              <w:right w:val="nil"/>
            </w:tcBorders>
            <w:tcMar>
              <w:top w:w="15" w:type="dxa"/>
              <w:left w:w="15" w:type="dxa"/>
              <w:right w:w="15" w:type="dxa"/>
            </w:tcMar>
            <w:vAlign w:val="center"/>
          </w:tcPr>
          <w:p>
            <w:pPr>
              <w:jc w:val="center"/>
              <w:rPr>
                <w:rFonts w:ascii="宋体" w:hAnsi="宋体" w:cs="宋体"/>
                <w:b/>
                <w:color w:val="000000"/>
                <w:sz w:val="56"/>
                <w:szCs w:val="5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3414" w:type="dxa"/>
            <w:gridSpan w:val="3"/>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填报部门（单位）：青岛市法律援助中心</w:t>
            </w:r>
          </w:p>
        </w:tc>
        <w:tc>
          <w:tcPr>
            <w:tcW w:w="4842" w:type="dxa"/>
            <w:gridSpan w:val="7"/>
            <w:tcBorders>
              <w:top w:val="nil"/>
              <w:left w:val="nil"/>
              <w:bottom w:val="nil"/>
              <w:right w:val="nil"/>
            </w:tcBorders>
            <w:tcMar>
              <w:top w:w="15" w:type="dxa"/>
              <w:left w:w="15" w:type="dxa"/>
              <w:right w:w="15" w:type="dxa"/>
            </w:tcMar>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  2021  )年度</w:t>
            </w:r>
          </w:p>
        </w:tc>
        <w:tc>
          <w:tcPr>
            <w:tcW w:w="6403" w:type="dxa"/>
            <w:gridSpan w:val="4"/>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2155"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22-其他运转类</w:t>
            </w:r>
          </w:p>
        </w:tc>
        <w:tc>
          <w:tcPr>
            <w:tcW w:w="1257"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支出领域</w:t>
            </w:r>
          </w:p>
        </w:tc>
        <w:tc>
          <w:tcPr>
            <w:tcW w:w="206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其他运转类</w:t>
            </w:r>
          </w:p>
        </w:tc>
        <w:tc>
          <w:tcPr>
            <w:tcW w:w="194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资金名称</w:t>
            </w:r>
          </w:p>
        </w:tc>
        <w:tc>
          <w:tcPr>
            <w:tcW w:w="598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法律援助及12348业务费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3412" w:type="dxa"/>
            <w:gridSpan w:val="4"/>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青岛市司法局部门</w:t>
            </w:r>
          </w:p>
        </w:tc>
        <w:tc>
          <w:tcPr>
            <w:tcW w:w="206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项目实施单位</w:t>
            </w:r>
          </w:p>
        </w:tc>
        <w:tc>
          <w:tcPr>
            <w:tcW w:w="7928"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青岛市法律援助中心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5" w:hRule="atLeast"/>
        </w:trPr>
        <w:tc>
          <w:tcPr>
            <w:tcW w:w="125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预算执行情况（10分）</w:t>
            </w:r>
          </w:p>
        </w:tc>
        <w:tc>
          <w:tcPr>
            <w:tcW w:w="136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年初预算数</w:t>
            </w:r>
          </w:p>
        </w:tc>
        <w:tc>
          <w:tcPr>
            <w:tcW w:w="125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调整后的预算数（A）</w:t>
            </w:r>
          </w:p>
        </w:tc>
        <w:tc>
          <w:tcPr>
            <w:tcW w:w="109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96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52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执行率（B/A*100%）</w:t>
            </w:r>
          </w:p>
        </w:tc>
        <w:tc>
          <w:tcPr>
            <w:tcW w:w="4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598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未达到进度分析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12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36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216.5</w:t>
            </w:r>
          </w:p>
        </w:tc>
        <w:tc>
          <w:tcPr>
            <w:tcW w:w="125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216.5</w:t>
            </w:r>
          </w:p>
        </w:tc>
        <w:tc>
          <w:tcPr>
            <w:tcW w:w="109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213.42</w:t>
            </w:r>
          </w:p>
        </w:tc>
        <w:tc>
          <w:tcPr>
            <w:tcW w:w="96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52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98.58</w:t>
            </w:r>
          </w:p>
        </w:tc>
        <w:tc>
          <w:tcPr>
            <w:tcW w:w="4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9.86</w:t>
            </w:r>
          </w:p>
        </w:tc>
        <w:tc>
          <w:tcPr>
            <w:tcW w:w="598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Calibri" w:hAnsi="Calibri" w:cs="Calibri"/>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trPr>
        <w:tc>
          <w:tcPr>
            <w:tcW w:w="12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36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其中：市级转移支付资金</w:t>
            </w: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25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09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96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52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4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598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25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450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年初预期目标</w:t>
            </w:r>
          </w:p>
        </w:tc>
        <w:tc>
          <w:tcPr>
            <w:tcW w:w="8892" w:type="dxa"/>
            <w:gridSpan w:val="8"/>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5" w:hRule="atLeast"/>
        </w:trPr>
        <w:tc>
          <w:tcPr>
            <w:tcW w:w="12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450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年度办理法律援助案件满意度达80%以上，12348全年接话量大70000次以上。</w:t>
            </w:r>
          </w:p>
        </w:tc>
        <w:tc>
          <w:tcPr>
            <w:tcW w:w="8892" w:type="dxa"/>
            <w:gridSpan w:val="8"/>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年度办理法律援助案件满意度达到90%以上，12348全年接话量达到15万次以上。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4659" w:type="dxa"/>
            <w:gridSpan w:val="1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年度绩效指标完成情况（90分）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8" w:hRule="atLeast"/>
        </w:trPr>
        <w:tc>
          <w:tcPr>
            <w:tcW w:w="125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一级指标</w:t>
            </w:r>
          </w:p>
        </w:tc>
        <w:tc>
          <w:tcPr>
            <w:tcW w:w="1366" w:type="dxa"/>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1419"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1887" w:type="dxa"/>
            <w:gridSpan w:val="3"/>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821" w:type="dxa"/>
            <w:gridSpan w:val="2"/>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实际完成值</w:t>
            </w:r>
          </w:p>
        </w:tc>
        <w:tc>
          <w:tcPr>
            <w:tcW w:w="1504"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422"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340"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未完成指标的原因分析</w:t>
            </w:r>
          </w:p>
        </w:tc>
        <w:tc>
          <w:tcPr>
            <w:tcW w:w="2697"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偏离年初设定的绩效指标值较多(30%及以上)的原因分析</w:t>
            </w:r>
          </w:p>
        </w:tc>
        <w:tc>
          <w:tcPr>
            <w:tcW w:w="1944"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5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1366" w:type="dxa"/>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1419"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热线咨询量</w:t>
            </w:r>
          </w:p>
        </w:tc>
        <w:tc>
          <w:tcPr>
            <w:tcW w:w="188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90000 人次</w:t>
            </w:r>
          </w:p>
        </w:tc>
        <w:tc>
          <w:tcPr>
            <w:tcW w:w="821"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150997</w:t>
            </w:r>
          </w:p>
        </w:tc>
        <w:tc>
          <w:tcPr>
            <w:tcW w:w="150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8.33</w:t>
            </w:r>
          </w:p>
        </w:tc>
        <w:tc>
          <w:tcPr>
            <w:tcW w:w="422"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8.33</w:t>
            </w:r>
          </w:p>
        </w:tc>
        <w:tc>
          <w:tcPr>
            <w:tcW w:w="134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69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194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5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1366" w:type="dxa"/>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1419"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案件优良率</w:t>
            </w:r>
          </w:p>
        </w:tc>
        <w:tc>
          <w:tcPr>
            <w:tcW w:w="188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10 %</w:t>
            </w:r>
          </w:p>
        </w:tc>
        <w:tc>
          <w:tcPr>
            <w:tcW w:w="8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50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8.33</w:t>
            </w:r>
          </w:p>
        </w:tc>
        <w:tc>
          <w:tcPr>
            <w:tcW w:w="4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8.33</w:t>
            </w:r>
          </w:p>
        </w:tc>
        <w:tc>
          <w:tcPr>
            <w:tcW w:w="134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69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194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5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1366" w:type="dxa"/>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1419"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受援人回访率</w:t>
            </w:r>
          </w:p>
        </w:tc>
        <w:tc>
          <w:tcPr>
            <w:tcW w:w="188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20 %</w:t>
            </w:r>
          </w:p>
        </w:tc>
        <w:tc>
          <w:tcPr>
            <w:tcW w:w="8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66</w:t>
            </w:r>
          </w:p>
        </w:tc>
        <w:tc>
          <w:tcPr>
            <w:tcW w:w="150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8.33</w:t>
            </w:r>
          </w:p>
        </w:tc>
        <w:tc>
          <w:tcPr>
            <w:tcW w:w="4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8.33</w:t>
            </w:r>
          </w:p>
        </w:tc>
        <w:tc>
          <w:tcPr>
            <w:tcW w:w="134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69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194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5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1366" w:type="dxa"/>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1419"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指派律师人数</w:t>
            </w:r>
          </w:p>
        </w:tc>
        <w:tc>
          <w:tcPr>
            <w:tcW w:w="188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50 人次</w:t>
            </w:r>
          </w:p>
        </w:tc>
        <w:tc>
          <w:tcPr>
            <w:tcW w:w="8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400</w:t>
            </w:r>
          </w:p>
        </w:tc>
        <w:tc>
          <w:tcPr>
            <w:tcW w:w="150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8.33</w:t>
            </w:r>
          </w:p>
        </w:tc>
        <w:tc>
          <w:tcPr>
            <w:tcW w:w="4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8.33</w:t>
            </w:r>
          </w:p>
        </w:tc>
        <w:tc>
          <w:tcPr>
            <w:tcW w:w="134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69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194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5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1366" w:type="dxa"/>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1419"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援助案件完成率</w:t>
            </w:r>
          </w:p>
        </w:tc>
        <w:tc>
          <w:tcPr>
            <w:tcW w:w="188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90 次</w:t>
            </w:r>
          </w:p>
        </w:tc>
        <w:tc>
          <w:tcPr>
            <w:tcW w:w="8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86.29</w:t>
            </w:r>
          </w:p>
        </w:tc>
        <w:tc>
          <w:tcPr>
            <w:tcW w:w="150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8.33</w:t>
            </w:r>
          </w:p>
        </w:tc>
        <w:tc>
          <w:tcPr>
            <w:tcW w:w="4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7.99</w:t>
            </w:r>
          </w:p>
        </w:tc>
        <w:tc>
          <w:tcPr>
            <w:tcW w:w="134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2-经济社会等外部环境影响</w:t>
            </w:r>
          </w:p>
        </w:tc>
        <w:tc>
          <w:tcPr>
            <w:tcW w:w="269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因疫情影响审理机关未在审理期限内结案</w:t>
            </w:r>
          </w:p>
        </w:tc>
        <w:tc>
          <w:tcPr>
            <w:tcW w:w="194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因疫情影响审理机关未在审理期限内结案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trPr>
        <w:tc>
          <w:tcPr>
            <w:tcW w:w="125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136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1419" w:type="dxa"/>
            <w:gridSpan w:val="2"/>
            <w:tcBorders>
              <w:top w:val="single" w:color="000000" w:sz="4" w:space="0"/>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12348热线接通率</w:t>
            </w:r>
          </w:p>
        </w:tc>
        <w:tc>
          <w:tcPr>
            <w:tcW w:w="1887" w:type="dxa"/>
            <w:gridSpan w:val="3"/>
            <w:tcBorders>
              <w:top w:val="nil"/>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70 %</w:t>
            </w:r>
          </w:p>
        </w:tc>
        <w:tc>
          <w:tcPr>
            <w:tcW w:w="821" w:type="dxa"/>
            <w:gridSpan w:val="2"/>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72</w:t>
            </w:r>
          </w:p>
        </w:tc>
        <w:tc>
          <w:tcPr>
            <w:tcW w:w="1504"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8.33</w:t>
            </w:r>
          </w:p>
        </w:tc>
        <w:tc>
          <w:tcPr>
            <w:tcW w:w="422"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8.33</w:t>
            </w:r>
          </w:p>
        </w:tc>
        <w:tc>
          <w:tcPr>
            <w:tcW w:w="1340"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697"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1944"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1" w:hRule="atLeast"/>
        </w:trPr>
        <w:tc>
          <w:tcPr>
            <w:tcW w:w="1259" w:type="dxa"/>
            <w:tcBorders>
              <w:top w:val="single" w:color="000000" w:sz="4" w:space="0"/>
              <w:left w:val="single" w:color="000000" w:sz="4" w:space="0"/>
              <w:bottom w:val="nil"/>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p>
        </w:tc>
        <w:tc>
          <w:tcPr>
            <w:tcW w:w="13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服务对象满意度指标</w:t>
            </w:r>
          </w:p>
        </w:tc>
        <w:tc>
          <w:tcPr>
            <w:tcW w:w="141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援助案件投诉率</w:t>
            </w:r>
          </w:p>
        </w:tc>
        <w:tc>
          <w:tcPr>
            <w:tcW w:w="1887"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20 %</w:t>
            </w:r>
          </w:p>
        </w:tc>
        <w:tc>
          <w:tcPr>
            <w:tcW w:w="82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0.4</w:t>
            </w:r>
          </w:p>
        </w:tc>
        <w:tc>
          <w:tcPr>
            <w:tcW w:w="15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4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6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19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59" w:type="dxa"/>
            <w:tcBorders>
              <w:top w:val="single" w:color="000000" w:sz="4" w:space="0"/>
              <w:left w:val="single" w:color="000000" w:sz="4" w:space="0"/>
              <w:bottom w:val="nil"/>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p>
        </w:tc>
        <w:tc>
          <w:tcPr>
            <w:tcW w:w="13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服务对象满意度指标</w:t>
            </w:r>
          </w:p>
        </w:tc>
        <w:tc>
          <w:tcPr>
            <w:tcW w:w="141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援助对象满意度</w:t>
            </w:r>
          </w:p>
        </w:tc>
        <w:tc>
          <w:tcPr>
            <w:tcW w:w="1887"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80 %</w:t>
            </w:r>
          </w:p>
        </w:tc>
        <w:tc>
          <w:tcPr>
            <w:tcW w:w="82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15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4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6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19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59" w:type="dxa"/>
            <w:tcBorders>
              <w:top w:val="single" w:color="000000" w:sz="4" w:space="0"/>
              <w:left w:val="single" w:color="000000" w:sz="4" w:space="0"/>
              <w:bottom w:val="nil"/>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效益指标</w:t>
            </w:r>
          </w:p>
        </w:tc>
        <w:tc>
          <w:tcPr>
            <w:tcW w:w="13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社会效益指标</w:t>
            </w:r>
          </w:p>
        </w:tc>
        <w:tc>
          <w:tcPr>
            <w:tcW w:w="141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法律援助受益人增加</w:t>
            </w:r>
          </w:p>
        </w:tc>
        <w:tc>
          <w:tcPr>
            <w:tcW w:w="1887"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10人次 </w:t>
            </w:r>
          </w:p>
        </w:tc>
        <w:tc>
          <w:tcPr>
            <w:tcW w:w="82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5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4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3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6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19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262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得分合计</w:t>
            </w:r>
          </w:p>
        </w:tc>
        <w:tc>
          <w:tcPr>
            <w:tcW w:w="12034" w:type="dxa"/>
            <w:gridSpan w:val="1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262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总分</w:t>
            </w:r>
          </w:p>
        </w:tc>
        <w:tc>
          <w:tcPr>
            <w:tcW w:w="12034" w:type="dxa"/>
            <w:gridSpan w:val="1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99.5</w:t>
            </w:r>
          </w:p>
        </w:tc>
      </w:tr>
    </w:tbl>
    <w:p>
      <w:pPr>
        <w:spacing w:line="400" w:lineRule="exact"/>
        <w:rPr>
          <w:rFonts w:ascii="仿宋_GB2312" w:hAnsi="仿宋_GB2312" w:eastAsia="仿宋_GB2312" w:cs="仿宋_GB2312"/>
          <w:sz w:val="28"/>
          <w:szCs w:val="28"/>
        </w:rPr>
        <w:sectPr>
          <w:pgSz w:w="16783" w:h="23757"/>
          <w:pgMar w:top="1701" w:right="1077" w:bottom="1701" w:left="1077" w:header="0" w:footer="1418" w:gutter="0"/>
          <w:cols w:space="720" w:num="1"/>
          <w:docGrid w:type="linesAndChars" w:linePitch="610" w:charSpace="-849"/>
        </w:sectPr>
      </w:pPr>
    </w:p>
    <w:p>
      <w:pPr>
        <w:spacing w:line="400" w:lineRule="exact"/>
        <w:rPr>
          <w:rFonts w:ascii="仿宋_GB2312" w:hAnsi="仿宋_GB2312" w:eastAsia="仿宋_GB2312" w:cs="仿宋_GB2312"/>
          <w:sz w:val="28"/>
          <w:szCs w:val="28"/>
        </w:rPr>
      </w:pPr>
    </w:p>
    <w:tbl>
      <w:tblPr>
        <w:tblStyle w:val="15"/>
        <w:tblW w:w="146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32"/>
        <w:gridCol w:w="1486"/>
        <w:gridCol w:w="399"/>
        <w:gridCol w:w="402"/>
        <w:gridCol w:w="1363"/>
        <w:gridCol w:w="1135"/>
        <w:gridCol w:w="765"/>
        <w:gridCol w:w="1498"/>
        <w:gridCol w:w="422"/>
        <w:gridCol w:w="1184"/>
        <w:gridCol w:w="2630"/>
        <w:gridCol w:w="2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14659" w:type="dxa"/>
            <w:gridSpan w:val="12"/>
            <w:vMerge w:val="restart"/>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color w:val="000000"/>
                <w:sz w:val="56"/>
                <w:szCs w:val="56"/>
              </w:rPr>
            </w:pPr>
            <w:r>
              <w:rPr>
                <w:rFonts w:hint="eastAsia" w:ascii="宋体" w:hAnsi="宋体" w:cs="宋体"/>
                <w:b/>
                <w:color w:val="000000"/>
                <w:kern w:val="0"/>
                <w:sz w:val="56"/>
                <w:szCs w:val="56"/>
              </w:rPr>
              <w:t>市级专项资金单位自评表（三级）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14659" w:type="dxa"/>
            <w:gridSpan w:val="12"/>
            <w:vMerge w:val="continue"/>
            <w:tcBorders>
              <w:top w:val="nil"/>
              <w:left w:val="nil"/>
              <w:bottom w:val="nil"/>
              <w:right w:val="nil"/>
            </w:tcBorders>
            <w:tcMar>
              <w:top w:w="15" w:type="dxa"/>
              <w:left w:w="15" w:type="dxa"/>
              <w:right w:w="15" w:type="dxa"/>
            </w:tcMar>
            <w:vAlign w:val="center"/>
          </w:tcPr>
          <w:p>
            <w:pPr>
              <w:jc w:val="center"/>
              <w:rPr>
                <w:rFonts w:ascii="宋体" w:hAnsi="宋体" w:cs="宋体"/>
                <w:b/>
                <w:color w:val="000000"/>
                <w:sz w:val="56"/>
                <w:szCs w:val="5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3519" w:type="dxa"/>
            <w:gridSpan w:val="4"/>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填报部门（单位）：青岛市法律援助中心</w:t>
            </w:r>
          </w:p>
        </w:tc>
        <w:tc>
          <w:tcPr>
            <w:tcW w:w="4761" w:type="dxa"/>
            <w:gridSpan w:val="4"/>
            <w:tcBorders>
              <w:top w:val="nil"/>
              <w:left w:val="nil"/>
              <w:bottom w:val="nil"/>
              <w:right w:val="nil"/>
            </w:tcBorders>
            <w:tcMar>
              <w:top w:w="15" w:type="dxa"/>
              <w:left w:w="15" w:type="dxa"/>
              <w:right w:w="15" w:type="dxa"/>
            </w:tcMar>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  2021  )年度</w:t>
            </w:r>
          </w:p>
        </w:tc>
        <w:tc>
          <w:tcPr>
            <w:tcW w:w="6379" w:type="dxa"/>
            <w:gridSpan w:val="4"/>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228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22-其他运转类</w:t>
            </w:r>
          </w:p>
        </w:tc>
        <w:tc>
          <w:tcPr>
            <w:tcW w:w="136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支出领域</w:t>
            </w:r>
          </w:p>
        </w:tc>
        <w:tc>
          <w:tcPr>
            <w:tcW w:w="1900"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其他运转类</w:t>
            </w:r>
          </w:p>
        </w:tc>
        <w:tc>
          <w:tcPr>
            <w:tcW w:w="1920"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资金名称</w:t>
            </w:r>
          </w:p>
        </w:tc>
        <w:tc>
          <w:tcPr>
            <w:tcW w:w="595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公共法律服务中心建设运行费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3650" w:type="dxa"/>
            <w:gridSpan w:val="4"/>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青岛市司法局部门</w:t>
            </w:r>
          </w:p>
        </w:tc>
        <w:tc>
          <w:tcPr>
            <w:tcW w:w="1900"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项目实施单位</w:t>
            </w:r>
          </w:p>
        </w:tc>
        <w:tc>
          <w:tcPr>
            <w:tcW w:w="7877"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青岛市法律援助中心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3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预算执行情况（10分）</w:t>
            </w:r>
          </w:p>
        </w:tc>
        <w:tc>
          <w:tcPr>
            <w:tcW w:w="148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80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年初预算数</w:t>
            </w:r>
          </w:p>
        </w:tc>
        <w:tc>
          <w:tcPr>
            <w:tcW w:w="136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调整后的预算数（A）</w:t>
            </w:r>
          </w:p>
        </w:tc>
        <w:tc>
          <w:tcPr>
            <w:tcW w:w="113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7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49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执行率（B/A*100%）</w:t>
            </w:r>
          </w:p>
        </w:tc>
        <w:tc>
          <w:tcPr>
            <w:tcW w:w="4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595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未达到进度分析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48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80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37.8</w:t>
            </w:r>
          </w:p>
        </w:tc>
        <w:tc>
          <w:tcPr>
            <w:tcW w:w="136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37.8</w:t>
            </w:r>
          </w:p>
        </w:tc>
        <w:tc>
          <w:tcPr>
            <w:tcW w:w="113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36.71</w:t>
            </w:r>
          </w:p>
        </w:tc>
        <w:tc>
          <w:tcPr>
            <w:tcW w:w="7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9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97.12</w:t>
            </w:r>
          </w:p>
        </w:tc>
        <w:tc>
          <w:tcPr>
            <w:tcW w:w="4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9.71</w:t>
            </w:r>
          </w:p>
        </w:tc>
        <w:tc>
          <w:tcPr>
            <w:tcW w:w="595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预算基本执行完毕，剩余指标年底已交回。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48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其中：市级转移支付资金</w:t>
            </w:r>
          </w:p>
        </w:tc>
        <w:tc>
          <w:tcPr>
            <w:tcW w:w="80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36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13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7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49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4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595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3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4785"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年初预期目标</w:t>
            </w:r>
          </w:p>
        </w:tc>
        <w:tc>
          <w:tcPr>
            <w:tcW w:w="8642"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72" w:hRule="atLeast"/>
        </w:trPr>
        <w:tc>
          <w:tcPr>
            <w:tcW w:w="12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4785"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完成上级考核任务，处理非诉讼纠纷调解，进行法治宣传，公共法律服务中心正常运行。</w:t>
            </w:r>
          </w:p>
        </w:tc>
        <w:tc>
          <w:tcPr>
            <w:tcW w:w="8642"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根据年度工作安排，已完成年初预定的总体工作目标，公共法律服务中心运转正常。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4659" w:type="dxa"/>
            <w:gridSpan w:val="1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年度绩效指标完成情况（90分）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123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一级指标</w:t>
            </w:r>
          </w:p>
        </w:tc>
        <w:tc>
          <w:tcPr>
            <w:tcW w:w="1885"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1765"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1135"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765"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实际完成值</w:t>
            </w:r>
          </w:p>
        </w:tc>
        <w:tc>
          <w:tcPr>
            <w:tcW w:w="1498"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422"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c>
          <w:tcPr>
            <w:tcW w:w="1184"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未完成指标的原因分析</w:t>
            </w:r>
          </w:p>
        </w:tc>
        <w:tc>
          <w:tcPr>
            <w:tcW w:w="2630"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偏离年初设定的绩效指标值较多(30%及以上)的原因分析</w:t>
            </w:r>
          </w:p>
        </w:tc>
        <w:tc>
          <w:tcPr>
            <w:tcW w:w="2143"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3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1885"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1765"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项目总预算</w:t>
            </w:r>
          </w:p>
        </w:tc>
        <w:tc>
          <w:tcPr>
            <w:tcW w:w="1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37.8 万元</w:t>
            </w:r>
          </w:p>
        </w:tc>
        <w:tc>
          <w:tcPr>
            <w:tcW w:w="76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36.71</w:t>
            </w:r>
          </w:p>
        </w:tc>
        <w:tc>
          <w:tcPr>
            <w:tcW w:w="149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12.5</w:t>
            </w:r>
          </w:p>
        </w:tc>
        <w:tc>
          <w:tcPr>
            <w:tcW w:w="422"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12.5</w:t>
            </w:r>
          </w:p>
        </w:tc>
        <w:tc>
          <w:tcPr>
            <w:tcW w:w="118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w:t>
            </w:r>
          </w:p>
        </w:tc>
        <w:tc>
          <w:tcPr>
            <w:tcW w:w="263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w:t>
            </w:r>
          </w:p>
        </w:tc>
        <w:tc>
          <w:tcPr>
            <w:tcW w:w="214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3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1885"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1765"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办理非诉讼调解案件</w:t>
            </w:r>
          </w:p>
        </w:tc>
        <w:tc>
          <w:tcPr>
            <w:tcW w:w="11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100 件</w:t>
            </w:r>
          </w:p>
        </w:tc>
        <w:tc>
          <w:tcPr>
            <w:tcW w:w="7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6075</w:t>
            </w:r>
          </w:p>
        </w:tc>
        <w:tc>
          <w:tcPr>
            <w:tcW w:w="149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12.5</w:t>
            </w:r>
          </w:p>
        </w:tc>
        <w:tc>
          <w:tcPr>
            <w:tcW w:w="4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12.5</w:t>
            </w:r>
          </w:p>
        </w:tc>
        <w:tc>
          <w:tcPr>
            <w:tcW w:w="118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w:t>
            </w:r>
          </w:p>
        </w:tc>
        <w:tc>
          <w:tcPr>
            <w:tcW w:w="263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w:t>
            </w:r>
          </w:p>
        </w:tc>
        <w:tc>
          <w:tcPr>
            <w:tcW w:w="214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3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1885"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1765"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非诉讼调解案件成功率</w:t>
            </w:r>
          </w:p>
        </w:tc>
        <w:tc>
          <w:tcPr>
            <w:tcW w:w="11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50 %</w:t>
            </w:r>
          </w:p>
        </w:tc>
        <w:tc>
          <w:tcPr>
            <w:tcW w:w="7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9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12.5</w:t>
            </w:r>
          </w:p>
        </w:tc>
        <w:tc>
          <w:tcPr>
            <w:tcW w:w="4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8.5</w:t>
            </w:r>
          </w:p>
        </w:tc>
        <w:tc>
          <w:tcPr>
            <w:tcW w:w="118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2-经济社会等外部环境影响</w:t>
            </w:r>
          </w:p>
        </w:tc>
        <w:tc>
          <w:tcPr>
            <w:tcW w:w="263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非诉讼调解工作处于起步阶段，需要不断探索完善</w:t>
            </w:r>
          </w:p>
        </w:tc>
        <w:tc>
          <w:tcPr>
            <w:tcW w:w="214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非诉讼调解工作处于起步阶段，需要不断探索完善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3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1885"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1765"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接待咨询量</w:t>
            </w:r>
          </w:p>
        </w:tc>
        <w:tc>
          <w:tcPr>
            <w:tcW w:w="11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5000 人次</w:t>
            </w:r>
          </w:p>
        </w:tc>
        <w:tc>
          <w:tcPr>
            <w:tcW w:w="7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6000</w:t>
            </w:r>
          </w:p>
        </w:tc>
        <w:tc>
          <w:tcPr>
            <w:tcW w:w="149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12.5</w:t>
            </w:r>
          </w:p>
        </w:tc>
        <w:tc>
          <w:tcPr>
            <w:tcW w:w="4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12.5</w:t>
            </w:r>
          </w:p>
        </w:tc>
        <w:tc>
          <w:tcPr>
            <w:tcW w:w="118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63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14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3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p>
        </w:tc>
        <w:tc>
          <w:tcPr>
            <w:tcW w:w="1885" w:type="dxa"/>
            <w:gridSpan w:val="2"/>
            <w:tcBorders>
              <w:top w:val="single" w:color="000000" w:sz="4" w:space="0"/>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服务对象满意度指标</w:t>
            </w:r>
          </w:p>
        </w:tc>
        <w:tc>
          <w:tcPr>
            <w:tcW w:w="1765" w:type="dxa"/>
            <w:gridSpan w:val="2"/>
            <w:tcBorders>
              <w:top w:val="single" w:color="000000" w:sz="4" w:space="0"/>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调解成功案件满意度</w:t>
            </w:r>
          </w:p>
        </w:tc>
        <w:tc>
          <w:tcPr>
            <w:tcW w:w="1135" w:type="dxa"/>
            <w:tcBorders>
              <w:top w:val="nil"/>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85 %</w:t>
            </w:r>
          </w:p>
        </w:tc>
        <w:tc>
          <w:tcPr>
            <w:tcW w:w="765"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85</w:t>
            </w:r>
          </w:p>
        </w:tc>
        <w:tc>
          <w:tcPr>
            <w:tcW w:w="1498"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422"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84"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630"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143" w:type="dxa"/>
            <w:tcBorders>
              <w:top w:val="nil"/>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3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p>
        </w:tc>
        <w:tc>
          <w:tcPr>
            <w:tcW w:w="188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服务对象满意度指标</w:t>
            </w:r>
          </w:p>
        </w:tc>
        <w:tc>
          <w:tcPr>
            <w:tcW w:w="176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咨询人员满意度</w:t>
            </w:r>
          </w:p>
        </w:tc>
        <w:tc>
          <w:tcPr>
            <w:tcW w:w="11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85 %</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85</w:t>
            </w:r>
          </w:p>
        </w:tc>
        <w:tc>
          <w:tcPr>
            <w:tcW w:w="14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4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1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23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效益指标</w:t>
            </w:r>
          </w:p>
        </w:tc>
        <w:tc>
          <w:tcPr>
            <w:tcW w:w="188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经济效益指标</w:t>
            </w:r>
          </w:p>
        </w:tc>
        <w:tc>
          <w:tcPr>
            <w:tcW w:w="176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为企业化解纠纷</w:t>
            </w:r>
          </w:p>
        </w:tc>
        <w:tc>
          <w:tcPr>
            <w:tcW w:w="11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50 件</w:t>
            </w:r>
          </w:p>
        </w:tc>
        <w:tc>
          <w:tcPr>
            <w:tcW w:w="7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70</w:t>
            </w:r>
          </w:p>
        </w:tc>
        <w:tc>
          <w:tcPr>
            <w:tcW w:w="14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4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1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6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c>
          <w:tcPr>
            <w:tcW w:w="21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3117"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得分合计</w:t>
            </w:r>
          </w:p>
        </w:tc>
        <w:tc>
          <w:tcPr>
            <w:tcW w:w="11542"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3117"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总分</w:t>
            </w:r>
          </w:p>
        </w:tc>
        <w:tc>
          <w:tcPr>
            <w:tcW w:w="11542" w:type="dxa"/>
            <w:gridSpan w:val="9"/>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95.71</w:t>
            </w:r>
          </w:p>
        </w:tc>
      </w:tr>
    </w:tbl>
    <w:p>
      <w:pPr>
        <w:spacing w:line="400" w:lineRule="exact"/>
        <w:rPr>
          <w:rFonts w:ascii="仿宋_GB2312" w:hAnsi="仿宋_GB2312" w:eastAsia="仿宋_GB2312" w:cs="仿宋_GB2312"/>
          <w:sz w:val="28"/>
          <w:szCs w:val="28"/>
        </w:rPr>
      </w:pPr>
    </w:p>
    <w:p>
      <w:pPr>
        <w:spacing w:line="400" w:lineRule="exact"/>
        <w:rPr>
          <w:rFonts w:ascii="仿宋_GB2312" w:hAnsi="仿宋_GB2312" w:eastAsia="仿宋_GB2312" w:cs="仿宋_GB2312"/>
          <w:sz w:val="28"/>
          <w:szCs w:val="28"/>
        </w:rPr>
      </w:pPr>
    </w:p>
    <w:p>
      <w:pPr>
        <w:spacing w:line="400" w:lineRule="exact"/>
        <w:rPr>
          <w:rFonts w:ascii="仿宋_GB2312" w:hAnsi="仿宋_GB2312" w:eastAsia="仿宋_GB2312" w:cs="仿宋_GB2312"/>
          <w:sz w:val="28"/>
          <w:szCs w:val="28"/>
        </w:rPr>
        <w:sectPr>
          <w:pgSz w:w="16783" w:h="23757"/>
          <w:pgMar w:top="1701" w:right="1077" w:bottom="1701" w:left="1077" w:header="0" w:footer="1418" w:gutter="0"/>
          <w:cols w:space="720" w:num="1"/>
          <w:docGrid w:type="linesAndChars" w:linePitch="610" w:charSpace="-849"/>
        </w:sectPr>
      </w:pPr>
    </w:p>
    <w:p>
      <w:pPr>
        <w:spacing w:after="305" w:afterLines="50" w:line="600" w:lineRule="exact"/>
        <w:ind w:firstLine="42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2021年度项目支出部门评价情况汇总表</w:t>
      </w:r>
    </w:p>
    <w:p>
      <w:pPr>
        <w:widowControl/>
        <w:spacing w:before="610" w:beforeLines="100"/>
        <w:jc w:val="left"/>
        <w:textAlignment w:val="center"/>
        <w:rPr>
          <w:rFonts w:ascii="黑体" w:hAnsi="宋体" w:eastAsia="黑体" w:cs="黑体"/>
          <w:color w:val="000000"/>
          <w:kern w:val="0"/>
          <w:sz w:val="28"/>
          <w:szCs w:val="28"/>
        </w:rPr>
      </w:pPr>
      <w:r>
        <w:rPr>
          <w:rFonts w:hint="eastAsia" w:ascii="黑体" w:hAnsi="宋体" w:eastAsia="黑体" w:cs="黑体"/>
          <w:color w:val="000000"/>
          <w:kern w:val="0"/>
          <w:sz w:val="28"/>
          <w:szCs w:val="28"/>
        </w:rPr>
        <w:t>部门：青岛市司法局</w:t>
      </w:r>
    </w:p>
    <w:tbl>
      <w:tblPr>
        <w:tblStyle w:val="15"/>
        <w:tblW w:w="1346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4"/>
        <w:gridCol w:w="3803"/>
        <w:gridCol w:w="1145"/>
        <w:gridCol w:w="1145"/>
        <w:gridCol w:w="1144"/>
        <w:gridCol w:w="1145"/>
        <w:gridCol w:w="1145"/>
        <w:gridCol w:w="1145"/>
        <w:gridCol w:w="1145"/>
        <w:gridCol w:w="1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blHeader/>
        </w:trPr>
        <w:tc>
          <w:tcPr>
            <w:tcW w:w="504" w:type="dxa"/>
            <w:vMerge w:val="restart"/>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序号</w:t>
            </w:r>
          </w:p>
        </w:tc>
        <w:tc>
          <w:tcPr>
            <w:tcW w:w="380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评价资金名称</w:t>
            </w:r>
          </w:p>
        </w:tc>
        <w:tc>
          <w:tcPr>
            <w:tcW w:w="9158" w:type="dxa"/>
            <w:gridSpan w:val="8"/>
            <w:tcBorders>
              <w:top w:val="single" w:color="auto" w:sz="4" w:space="0"/>
              <w:left w:val="nil"/>
              <w:bottom w:val="single" w:color="auto" w:sz="4" w:space="0"/>
              <w:right w:val="single" w:color="000000" w:sz="4" w:space="0"/>
            </w:tcBorders>
            <w:tcMar>
              <w:top w:w="15" w:type="dxa"/>
              <w:left w:w="15" w:type="dxa"/>
              <w:right w:w="15" w:type="dxa"/>
            </w:tcMar>
            <w:vAlign w:val="bottom"/>
          </w:tcPr>
          <w:p>
            <w:pPr>
              <w:widowControl/>
              <w:jc w:val="center"/>
              <w:textAlignment w:val="bottom"/>
              <w:rPr>
                <w:rFonts w:ascii="仿宋" w:hAnsi="仿宋" w:eastAsia="仿宋" w:cs="仿宋"/>
                <w:b/>
                <w:sz w:val="24"/>
              </w:rPr>
            </w:pPr>
            <w:r>
              <w:rPr>
                <w:rFonts w:hint="eastAsia" w:ascii="仿宋" w:hAnsi="仿宋" w:eastAsia="仿宋" w:cs="仿宋"/>
                <w:b/>
                <w:kern w:val="0"/>
                <w:sz w:val="24"/>
              </w:rPr>
              <w:t>评价结果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5" w:hRule="atLeast"/>
          <w:tblHeader/>
        </w:trPr>
        <w:tc>
          <w:tcPr>
            <w:tcW w:w="504" w:type="dxa"/>
            <w:vMerge w:val="continue"/>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b/>
                <w:color w:val="000000"/>
                <w:sz w:val="24"/>
              </w:rPr>
            </w:pPr>
          </w:p>
        </w:tc>
        <w:tc>
          <w:tcPr>
            <w:tcW w:w="380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b/>
                <w:color w:val="000000"/>
                <w:sz w:val="24"/>
              </w:rPr>
            </w:pPr>
          </w:p>
        </w:tc>
        <w:tc>
          <w:tcPr>
            <w:tcW w:w="11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投入得分</w:t>
            </w:r>
          </w:p>
        </w:tc>
        <w:tc>
          <w:tcPr>
            <w:tcW w:w="11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过程得分</w:t>
            </w:r>
          </w:p>
        </w:tc>
        <w:tc>
          <w:tcPr>
            <w:tcW w:w="114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产出得分</w:t>
            </w:r>
          </w:p>
        </w:tc>
        <w:tc>
          <w:tcPr>
            <w:tcW w:w="11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color w:val="000000"/>
                <w:sz w:val="24"/>
              </w:rPr>
            </w:pPr>
            <w:r>
              <w:rPr>
                <w:rFonts w:hint="eastAsia" w:ascii="仿宋" w:hAnsi="仿宋" w:eastAsia="仿宋" w:cs="仿宋"/>
                <w:b/>
                <w:color w:val="000000"/>
                <w:kern w:val="0"/>
                <w:sz w:val="24"/>
              </w:rPr>
              <w:t>效果得分</w:t>
            </w:r>
          </w:p>
        </w:tc>
        <w:tc>
          <w:tcPr>
            <w:tcW w:w="11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color w:val="000000"/>
                <w:sz w:val="24"/>
              </w:rPr>
            </w:pPr>
            <w:r>
              <w:rPr>
                <w:rFonts w:hint="eastAsia" w:ascii="仿宋" w:hAnsi="仿宋" w:eastAsia="仿宋" w:cs="仿宋"/>
                <w:b/>
                <w:color w:val="000000"/>
                <w:kern w:val="0"/>
                <w:sz w:val="24"/>
              </w:rPr>
              <w:t>评价总分</w:t>
            </w:r>
          </w:p>
        </w:tc>
        <w:tc>
          <w:tcPr>
            <w:tcW w:w="114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color w:val="000000"/>
                <w:sz w:val="24"/>
              </w:rPr>
            </w:pPr>
            <w:r>
              <w:rPr>
                <w:rFonts w:hint="eastAsia" w:ascii="仿宋" w:hAnsi="仿宋" w:eastAsia="仿宋" w:cs="仿宋"/>
                <w:b/>
                <w:color w:val="000000"/>
                <w:kern w:val="0"/>
                <w:sz w:val="24"/>
              </w:rPr>
              <w:t>评价等级</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发现问题</w:t>
            </w:r>
          </w:p>
        </w:tc>
        <w:tc>
          <w:tcPr>
            <w:tcW w:w="1144"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相关建议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504" w:type="dxa"/>
            <w:tcBorders>
              <w:top w:val="nil"/>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3803"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法制专项业务费</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10</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24.1</w:t>
            </w:r>
          </w:p>
        </w:tc>
        <w:tc>
          <w:tcPr>
            <w:tcW w:w="1144"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25</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40</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99.1</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优</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　</w:t>
            </w:r>
          </w:p>
        </w:tc>
        <w:tc>
          <w:tcPr>
            <w:tcW w:w="1144"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504" w:type="dxa"/>
            <w:tcBorders>
              <w:top w:val="nil"/>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2</w:t>
            </w:r>
          </w:p>
        </w:tc>
        <w:tc>
          <w:tcPr>
            <w:tcW w:w="3803"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警用服装费</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10</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24.2</w:t>
            </w:r>
          </w:p>
        </w:tc>
        <w:tc>
          <w:tcPr>
            <w:tcW w:w="1144"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25</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40</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99.2</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优</w:t>
            </w:r>
          </w:p>
        </w:tc>
        <w:tc>
          <w:tcPr>
            <w:tcW w:w="1145" w:type="dxa"/>
            <w:tcBorders>
              <w:top w:val="nil"/>
              <w:left w:val="nil"/>
              <w:bottom w:val="single" w:color="auto" w:sz="4" w:space="0"/>
              <w:right w:val="single" w:color="auto" w:sz="4" w:space="0"/>
            </w:tcBorders>
            <w:tcMar>
              <w:top w:w="15" w:type="dxa"/>
              <w:left w:w="15" w:type="dxa"/>
              <w:right w:w="15" w:type="dxa"/>
            </w:tcMar>
            <w:vAlign w:val="bottom"/>
          </w:tcPr>
          <w:p>
            <w:pPr>
              <w:widowControl/>
              <w:jc w:val="left"/>
              <w:textAlignment w:val="bottom"/>
              <w:rPr>
                <w:rFonts w:ascii="仿宋" w:hAnsi="仿宋" w:eastAsia="仿宋" w:cs="仿宋"/>
                <w:sz w:val="20"/>
                <w:szCs w:val="20"/>
              </w:rPr>
            </w:pPr>
            <w:r>
              <w:rPr>
                <w:rFonts w:hint="eastAsia" w:ascii="仿宋" w:hAnsi="仿宋" w:eastAsia="仿宋" w:cs="仿宋"/>
                <w:kern w:val="0"/>
                <w:sz w:val="20"/>
                <w:szCs w:val="20"/>
              </w:rPr>
              <w:t>　</w:t>
            </w:r>
          </w:p>
        </w:tc>
        <w:tc>
          <w:tcPr>
            <w:tcW w:w="1144" w:type="dxa"/>
            <w:tcBorders>
              <w:top w:val="nil"/>
              <w:left w:val="nil"/>
              <w:bottom w:val="single" w:color="auto" w:sz="4" w:space="0"/>
              <w:right w:val="single" w:color="auto" w:sz="4" w:space="0"/>
            </w:tcBorders>
            <w:tcMar>
              <w:top w:w="15" w:type="dxa"/>
              <w:left w:w="15" w:type="dxa"/>
              <w:right w:w="15" w:type="dxa"/>
            </w:tcMar>
            <w:vAlign w:val="bottom"/>
          </w:tcPr>
          <w:p>
            <w:pPr>
              <w:widowControl/>
              <w:jc w:val="left"/>
              <w:textAlignment w:val="bottom"/>
              <w:rPr>
                <w:rFonts w:ascii="仿宋" w:hAnsi="仿宋" w:eastAsia="仿宋" w:cs="仿宋"/>
                <w:sz w:val="20"/>
                <w:szCs w:val="20"/>
              </w:rPr>
            </w:pPr>
            <w:r>
              <w:rPr>
                <w:rFonts w:hint="eastAsia" w:ascii="仿宋" w:hAnsi="仿宋" w:eastAsia="仿宋" w:cs="仿宋"/>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504" w:type="dxa"/>
            <w:tcBorders>
              <w:top w:val="nil"/>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3</w:t>
            </w:r>
          </w:p>
        </w:tc>
        <w:tc>
          <w:tcPr>
            <w:tcW w:w="3803"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法律职业资格考试费</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10</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25</w:t>
            </w:r>
          </w:p>
        </w:tc>
        <w:tc>
          <w:tcPr>
            <w:tcW w:w="1144"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19</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30</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84</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良</w:t>
            </w:r>
          </w:p>
        </w:tc>
        <w:tc>
          <w:tcPr>
            <w:tcW w:w="1145"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宋体" w:hAnsi="宋体" w:cs="宋体"/>
                <w:sz w:val="13"/>
                <w:szCs w:val="13"/>
              </w:rPr>
            </w:pPr>
            <w:r>
              <w:rPr>
                <w:rFonts w:hint="eastAsia" w:ascii="宋体" w:hAnsi="宋体" w:cs="宋体"/>
                <w:kern w:val="0"/>
                <w:sz w:val="13"/>
                <w:szCs w:val="13"/>
              </w:rPr>
              <w:t>成本指标超额</w:t>
            </w:r>
          </w:p>
        </w:tc>
        <w:tc>
          <w:tcPr>
            <w:tcW w:w="1144"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sz w:val="13"/>
                <w:szCs w:val="13"/>
              </w:rPr>
            </w:pPr>
            <w:r>
              <w:rPr>
                <w:rFonts w:hint="eastAsia" w:ascii="宋体" w:hAnsi="宋体" w:cs="宋体"/>
                <w:kern w:val="0"/>
                <w:sz w:val="13"/>
                <w:szCs w:val="13"/>
              </w:rPr>
              <w:t>控制成本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504" w:type="dxa"/>
            <w:tcBorders>
              <w:top w:val="nil"/>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4</w:t>
            </w:r>
          </w:p>
        </w:tc>
        <w:tc>
          <w:tcPr>
            <w:tcW w:w="3803"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普法人民监督员涉法涉诉专项经费</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9</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25</w:t>
            </w:r>
          </w:p>
        </w:tc>
        <w:tc>
          <w:tcPr>
            <w:tcW w:w="1144"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25</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40</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99</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优</w:t>
            </w:r>
          </w:p>
        </w:tc>
        <w:tc>
          <w:tcPr>
            <w:tcW w:w="1145" w:type="dxa"/>
            <w:tcBorders>
              <w:top w:val="nil"/>
              <w:left w:val="nil"/>
              <w:bottom w:val="single" w:color="auto" w:sz="4" w:space="0"/>
              <w:right w:val="single" w:color="auto" w:sz="4" w:space="0"/>
            </w:tcBorders>
            <w:tcMar>
              <w:top w:w="15" w:type="dxa"/>
              <w:left w:w="15" w:type="dxa"/>
              <w:right w:w="15"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rPr>
              <w:t>　</w:t>
            </w:r>
          </w:p>
        </w:tc>
        <w:tc>
          <w:tcPr>
            <w:tcW w:w="1144" w:type="dxa"/>
            <w:tcBorders>
              <w:top w:val="nil"/>
              <w:left w:val="nil"/>
              <w:bottom w:val="single" w:color="auto" w:sz="4" w:space="0"/>
              <w:right w:val="single" w:color="auto" w:sz="4" w:space="0"/>
            </w:tcBorders>
            <w:tcMar>
              <w:top w:w="15" w:type="dxa"/>
              <w:left w:w="15" w:type="dxa"/>
              <w:right w:w="15"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504" w:type="dxa"/>
            <w:tcBorders>
              <w:top w:val="nil"/>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5</w:t>
            </w:r>
          </w:p>
        </w:tc>
        <w:tc>
          <w:tcPr>
            <w:tcW w:w="3803"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法律培训费</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9.7</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23</w:t>
            </w:r>
          </w:p>
        </w:tc>
        <w:tc>
          <w:tcPr>
            <w:tcW w:w="1144"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25</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40</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97.7</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优</w:t>
            </w:r>
          </w:p>
        </w:tc>
        <w:tc>
          <w:tcPr>
            <w:tcW w:w="1145" w:type="dxa"/>
            <w:tcBorders>
              <w:top w:val="nil"/>
              <w:left w:val="nil"/>
              <w:bottom w:val="single" w:color="auto" w:sz="4" w:space="0"/>
              <w:right w:val="single" w:color="auto" w:sz="4" w:space="0"/>
            </w:tcBorders>
            <w:tcMar>
              <w:top w:w="15" w:type="dxa"/>
              <w:left w:w="15" w:type="dxa"/>
              <w:right w:w="15"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rPr>
              <w:t>　</w:t>
            </w:r>
          </w:p>
        </w:tc>
        <w:tc>
          <w:tcPr>
            <w:tcW w:w="1144" w:type="dxa"/>
            <w:tcBorders>
              <w:top w:val="nil"/>
              <w:left w:val="nil"/>
              <w:bottom w:val="single" w:color="auto" w:sz="4" w:space="0"/>
              <w:right w:val="single" w:color="auto" w:sz="4" w:space="0"/>
            </w:tcBorders>
            <w:tcMar>
              <w:top w:w="15" w:type="dxa"/>
              <w:left w:w="15" w:type="dxa"/>
              <w:right w:w="15"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504" w:type="dxa"/>
            <w:tcBorders>
              <w:top w:val="nil"/>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6</w:t>
            </w:r>
          </w:p>
        </w:tc>
        <w:tc>
          <w:tcPr>
            <w:tcW w:w="3803"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惠企政策法律服务费</w:t>
            </w:r>
            <w:bookmarkStart w:id="0" w:name="_GoBack"/>
            <w:bookmarkEnd w:id="0"/>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9.6</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25</w:t>
            </w:r>
          </w:p>
        </w:tc>
        <w:tc>
          <w:tcPr>
            <w:tcW w:w="1144"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25</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40</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99.6</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优</w:t>
            </w:r>
          </w:p>
        </w:tc>
        <w:tc>
          <w:tcPr>
            <w:tcW w:w="1145" w:type="dxa"/>
            <w:tcBorders>
              <w:top w:val="nil"/>
              <w:left w:val="nil"/>
              <w:bottom w:val="single" w:color="auto" w:sz="4" w:space="0"/>
              <w:right w:val="single" w:color="auto" w:sz="4" w:space="0"/>
            </w:tcBorders>
            <w:tcMar>
              <w:top w:w="15" w:type="dxa"/>
              <w:left w:w="15" w:type="dxa"/>
              <w:right w:w="15"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rPr>
              <w:t>　</w:t>
            </w:r>
          </w:p>
        </w:tc>
        <w:tc>
          <w:tcPr>
            <w:tcW w:w="1144" w:type="dxa"/>
            <w:tcBorders>
              <w:top w:val="nil"/>
              <w:left w:val="nil"/>
              <w:bottom w:val="single" w:color="auto" w:sz="4" w:space="0"/>
              <w:right w:val="single" w:color="auto" w:sz="4" w:space="0"/>
            </w:tcBorders>
            <w:tcMar>
              <w:top w:w="15" w:type="dxa"/>
              <w:left w:w="15" w:type="dxa"/>
              <w:right w:w="15"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504" w:type="dxa"/>
            <w:tcBorders>
              <w:top w:val="nil"/>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val="en-US" w:eastAsia="zh-CN"/>
              </w:rPr>
              <w:t>7</w:t>
            </w:r>
          </w:p>
        </w:tc>
        <w:tc>
          <w:tcPr>
            <w:tcW w:w="3803"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法律援助及12348业务费</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10</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24.75</w:t>
            </w:r>
          </w:p>
        </w:tc>
        <w:tc>
          <w:tcPr>
            <w:tcW w:w="1144"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22.6</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40</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97.35</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优</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　</w:t>
            </w:r>
          </w:p>
        </w:tc>
        <w:tc>
          <w:tcPr>
            <w:tcW w:w="1144"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504" w:type="dxa"/>
            <w:tcBorders>
              <w:top w:val="nil"/>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hint="eastAsia" w:ascii="仿宋" w:hAnsi="仿宋" w:eastAsia="仿宋" w:cs="仿宋"/>
                <w:color w:val="000000"/>
                <w:sz w:val="24"/>
                <w:lang w:eastAsia="zh-CN"/>
              </w:rPr>
            </w:pPr>
            <w:r>
              <w:rPr>
                <w:rFonts w:hint="eastAsia" w:ascii="仿宋" w:hAnsi="仿宋" w:eastAsia="仿宋" w:cs="仿宋"/>
                <w:color w:val="000000"/>
                <w:kern w:val="0"/>
                <w:sz w:val="24"/>
                <w:lang w:val="en-US" w:eastAsia="zh-CN"/>
              </w:rPr>
              <w:t>8</w:t>
            </w:r>
          </w:p>
        </w:tc>
        <w:tc>
          <w:tcPr>
            <w:tcW w:w="3803"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公共法律服务中心建设运行费</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10</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24.25</w:t>
            </w:r>
          </w:p>
        </w:tc>
        <w:tc>
          <w:tcPr>
            <w:tcW w:w="1144"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21.25</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40</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95.5</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优</w:t>
            </w:r>
          </w:p>
        </w:tc>
        <w:tc>
          <w:tcPr>
            <w:tcW w:w="114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　</w:t>
            </w:r>
          </w:p>
        </w:tc>
        <w:tc>
          <w:tcPr>
            <w:tcW w:w="1144"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　</w:t>
            </w:r>
          </w:p>
        </w:tc>
      </w:tr>
    </w:tbl>
    <w:p>
      <w:pPr>
        <w:spacing w:line="400" w:lineRule="exact"/>
        <w:rPr>
          <w:rFonts w:ascii="仿宋_GB2312" w:eastAsia="仿宋_GB2312"/>
          <w:b/>
          <w:szCs w:val="32"/>
        </w:rPr>
      </w:pPr>
    </w:p>
    <w:p>
      <w:pPr>
        <w:spacing w:line="400" w:lineRule="exact"/>
        <w:rPr>
          <w:rFonts w:ascii="仿宋_GB2312" w:eastAsia="仿宋_GB2312"/>
          <w:bCs/>
          <w:szCs w:val="32"/>
        </w:rPr>
      </w:pPr>
      <w:r>
        <w:rPr>
          <w:rFonts w:hint="eastAsia" w:ascii="仿宋_GB2312" w:eastAsia="仿宋_GB2312"/>
          <w:bCs/>
          <w:szCs w:val="32"/>
        </w:rPr>
        <w:t xml:space="preserve">    本部门开展的另外</w:t>
      </w:r>
      <w:r>
        <w:rPr>
          <w:rFonts w:ascii="仿宋_GB2312" w:eastAsia="仿宋_GB2312"/>
          <w:bCs/>
          <w:szCs w:val="32"/>
        </w:rPr>
        <w:t>14</w:t>
      </w:r>
      <w:r>
        <w:rPr>
          <w:rFonts w:hint="eastAsia" w:ascii="仿宋_GB2312" w:eastAsia="仿宋_GB2312"/>
          <w:bCs/>
          <w:szCs w:val="32"/>
        </w:rPr>
        <w:t>项部门评价因项目涉密按规定不予公开。</w:t>
      </w:r>
    </w:p>
    <w:p>
      <w:pPr>
        <w:spacing w:after="305" w:afterLines="50" w:line="600" w:lineRule="exact"/>
        <w:rPr>
          <w:rFonts w:ascii="方正小标宋简体" w:hAnsi="方正小标宋简体" w:eastAsia="方正小标宋简体" w:cs="方正小标宋简体"/>
          <w:sz w:val="24"/>
        </w:rPr>
        <w:sectPr>
          <w:pgSz w:w="16838" w:h="11906" w:orient="landscape"/>
          <w:pgMar w:top="1077" w:right="1701" w:bottom="1077" w:left="1701" w:header="0" w:footer="1418" w:gutter="0"/>
          <w:cols w:space="720" w:num="1"/>
          <w:docGrid w:type="linesAndChars" w:linePitch="610" w:charSpace="-849"/>
        </w:sectPr>
      </w:pPr>
    </w:p>
    <w:tbl>
      <w:tblPr>
        <w:tblStyle w:val="15"/>
        <w:tblW w:w="14659"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2"/>
        <w:gridCol w:w="1036"/>
        <w:gridCol w:w="1148"/>
        <w:gridCol w:w="574"/>
        <w:gridCol w:w="629"/>
        <w:gridCol w:w="3146"/>
        <w:gridCol w:w="1055"/>
        <w:gridCol w:w="4591"/>
        <w:gridCol w:w="666"/>
        <w:gridCol w:w="1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12901" w:type="dxa"/>
            <w:gridSpan w:val="8"/>
            <w:tcBorders>
              <w:top w:val="nil"/>
              <w:left w:val="nil"/>
              <w:bottom w:val="nil"/>
              <w:right w:val="nil"/>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Cs w:val="32"/>
              </w:rPr>
            </w:pPr>
            <w:r>
              <w:rPr>
                <w:rFonts w:hint="eastAsia" w:ascii="仿宋_GB2312" w:hAnsi="Tahoma" w:eastAsia="仿宋_GB2312" w:cs="仿宋_GB2312"/>
                <w:b/>
                <w:color w:val="000000"/>
                <w:kern w:val="0"/>
                <w:szCs w:val="32"/>
              </w:rPr>
              <w:t>法制专项业务费项目支出绩效评价指标体系</w:t>
            </w:r>
          </w:p>
        </w:tc>
        <w:tc>
          <w:tcPr>
            <w:tcW w:w="666" w:type="dxa"/>
            <w:tcBorders>
              <w:top w:val="nil"/>
              <w:left w:val="nil"/>
              <w:bottom w:val="nil"/>
              <w:right w:val="nil"/>
            </w:tcBorders>
            <w:tcMar>
              <w:top w:w="15" w:type="dxa"/>
              <w:left w:w="15" w:type="dxa"/>
              <w:right w:w="15" w:type="dxa"/>
            </w:tcMar>
            <w:vAlign w:val="center"/>
          </w:tcPr>
          <w:p>
            <w:pPr>
              <w:jc w:val="center"/>
              <w:rPr>
                <w:rFonts w:ascii="仿宋_GB2312" w:hAnsi="Tahoma" w:eastAsia="仿宋_GB2312" w:cs="仿宋_GB2312"/>
                <w:b/>
                <w:color w:val="000000"/>
                <w:szCs w:val="32"/>
              </w:rPr>
            </w:pPr>
          </w:p>
        </w:tc>
        <w:tc>
          <w:tcPr>
            <w:tcW w:w="1092"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7255" w:type="dxa"/>
            <w:gridSpan w:val="6"/>
            <w:tcBorders>
              <w:top w:val="nil"/>
              <w:left w:val="nil"/>
              <w:bottom w:val="single" w:color="auto" w:sz="4" w:space="0"/>
              <w:right w:val="nil"/>
            </w:tcBorders>
            <w:tcMar>
              <w:top w:w="15" w:type="dxa"/>
              <w:left w:w="15" w:type="dxa"/>
              <w:right w:w="15" w:type="dxa"/>
            </w:tcMar>
            <w:vAlign w:val="center"/>
          </w:tcPr>
          <w:p>
            <w:pPr>
              <w:widowControl/>
              <w:jc w:val="left"/>
              <w:textAlignment w:val="center"/>
              <w:rPr>
                <w:rFonts w:ascii="仿宋_GB2312" w:hAnsi="Tahoma" w:eastAsia="仿宋_GB2312" w:cs="仿宋_GB2312"/>
                <w:b/>
                <w:color w:val="000000"/>
                <w:sz w:val="24"/>
              </w:rPr>
            </w:pPr>
            <w:r>
              <w:rPr>
                <w:rFonts w:hint="eastAsia" w:ascii="仿宋_GB2312" w:hAnsi="Tahoma" w:eastAsia="仿宋_GB2312" w:cs="仿宋_GB2312"/>
                <w:b/>
                <w:color w:val="000000"/>
                <w:kern w:val="0"/>
                <w:sz w:val="24"/>
              </w:rPr>
              <w:t>项目单位：青岛市司法局</w:t>
            </w:r>
          </w:p>
        </w:tc>
        <w:tc>
          <w:tcPr>
            <w:tcW w:w="1055" w:type="dxa"/>
            <w:tcBorders>
              <w:top w:val="nil"/>
              <w:left w:val="nil"/>
              <w:bottom w:val="nil"/>
              <w:right w:val="nil"/>
            </w:tcBorders>
            <w:tcMar>
              <w:top w:w="15" w:type="dxa"/>
              <w:left w:w="15" w:type="dxa"/>
              <w:right w:w="15" w:type="dxa"/>
            </w:tcMar>
            <w:vAlign w:val="center"/>
          </w:tcPr>
          <w:p>
            <w:pPr>
              <w:jc w:val="center"/>
              <w:rPr>
                <w:rFonts w:ascii="仿宋_GB2312" w:hAnsi="Tahoma" w:eastAsia="仿宋_GB2312" w:cs="仿宋_GB2312"/>
                <w:b/>
                <w:color w:val="000000"/>
                <w:szCs w:val="32"/>
              </w:rPr>
            </w:pPr>
          </w:p>
        </w:tc>
        <w:tc>
          <w:tcPr>
            <w:tcW w:w="4591" w:type="dxa"/>
            <w:tcBorders>
              <w:top w:val="nil"/>
              <w:left w:val="nil"/>
              <w:bottom w:val="nil"/>
              <w:right w:val="nil"/>
            </w:tcBorders>
            <w:tcMar>
              <w:top w:w="15" w:type="dxa"/>
              <w:left w:w="15" w:type="dxa"/>
              <w:right w:w="15" w:type="dxa"/>
            </w:tcMar>
            <w:vAlign w:val="center"/>
          </w:tcPr>
          <w:p>
            <w:pPr>
              <w:jc w:val="center"/>
              <w:rPr>
                <w:rFonts w:ascii="仿宋_GB2312" w:hAnsi="Tahoma" w:eastAsia="仿宋_GB2312" w:cs="仿宋_GB2312"/>
                <w:b/>
                <w:color w:val="000000"/>
                <w:szCs w:val="32"/>
              </w:rPr>
            </w:pPr>
          </w:p>
        </w:tc>
        <w:tc>
          <w:tcPr>
            <w:tcW w:w="666" w:type="dxa"/>
            <w:tcBorders>
              <w:top w:val="nil"/>
              <w:left w:val="nil"/>
              <w:bottom w:val="nil"/>
              <w:right w:val="nil"/>
            </w:tcBorders>
            <w:tcMar>
              <w:top w:w="15" w:type="dxa"/>
              <w:left w:w="15" w:type="dxa"/>
              <w:right w:w="15" w:type="dxa"/>
            </w:tcMar>
            <w:vAlign w:val="center"/>
          </w:tcPr>
          <w:p>
            <w:pPr>
              <w:jc w:val="center"/>
              <w:rPr>
                <w:rFonts w:ascii="仿宋_GB2312" w:hAnsi="Tahoma" w:eastAsia="仿宋_GB2312" w:cs="仿宋_GB2312"/>
                <w:b/>
                <w:color w:val="000000"/>
                <w:szCs w:val="32"/>
              </w:rPr>
            </w:pPr>
          </w:p>
        </w:tc>
        <w:tc>
          <w:tcPr>
            <w:tcW w:w="1092"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722" w:type="dxa"/>
            <w:tcBorders>
              <w:top w:val="nil"/>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一级</w:t>
            </w:r>
            <w:r>
              <w:rPr>
                <w:rFonts w:hint="eastAsia" w:ascii="仿宋_GB2312" w:hAnsi="Tahoma" w:eastAsia="仿宋_GB2312" w:cs="仿宋_GB2312"/>
                <w:b/>
                <w:color w:val="000000"/>
                <w:kern w:val="0"/>
                <w:sz w:val="22"/>
                <w:szCs w:val="22"/>
              </w:rPr>
              <w:br/>
            </w:r>
            <w:r>
              <w:rPr>
                <w:rFonts w:hint="eastAsia" w:ascii="仿宋_GB2312" w:hAnsi="Tahoma" w:eastAsia="仿宋_GB2312" w:cs="仿宋_GB2312"/>
                <w:b/>
                <w:color w:val="000000"/>
                <w:kern w:val="0"/>
                <w:sz w:val="22"/>
                <w:szCs w:val="22"/>
              </w:rPr>
              <w:t>指标</w:t>
            </w:r>
          </w:p>
        </w:tc>
        <w:tc>
          <w:tcPr>
            <w:tcW w:w="1036"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二级指标</w:t>
            </w:r>
          </w:p>
        </w:tc>
        <w:tc>
          <w:tcPr>
            <w:tcW w:w="114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三级指标</w:t>
            </w:r>
          </w:p>
        </w:tc>
        <w:tc>
          <w:tcPr>
            <w:tcW w:w="574"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四级指标</w:t>
            </w:r>
          </w:p>
        </w:tc>
        <w:tc>
          <w:tcPr>
            <w:tcW w:w="629"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权重</w:t>
            </w:r>
          </w:p>
        </w:tc>
        <w:tc>
          <w:tcPr>
            <w:tcW w:w="3146"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指标解释</w:t>
            </w:r>
          </w:p>
        </w:tc>
        <w:tc>
          <w:tcPr>
            <w:tcW w:w="1055"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标杆值</w:t>
            </w:r>
          </w:p>
        </w:tc>
        <w:tc>
          <w:tcPr>
            <w:tcW w:w="4591"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评分标准</w:t>
            </w:r>
          </w:p>
        </w:tc>
        <w:tc>
          <w:tcPr>
            <w:tcW w:w="66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得分</w:t>
            </w:r>
          </w:p>
        </w:tc>
        <w:tc>
          <w:tcPr>
            <w:tcW w:w="109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25" w:hRule="atLeast"/>
        </w:trPr>
        <w:tc>
          <w:tcPr>
            <w:tcW w:w="722"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决策</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（10分）</w:t>
            </w:r>
          </w:p>
        </w:tc>
        <w:tc>
          <w:tcPr>
            <w:tcW w:w="1036"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项目立项（2分）</w:t>
            </w:r>
          </w:p>
        </w:tc>
        <w:tc>
          <w:tcPr>
            <w:tcW w:w="114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立项依据</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充分性</w:t>
            </w:r>
          </w:p>
        </w:tc>
        <w:tc>
          <w:tcPr>
            <w:tcW w:w="57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29"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314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项目立项是否符合法律法规、相关政策、发展规划以及部门职责，用以反映和考核项目立项依据情况。</w:t>
            </w:r>
          </w:p>
        </w:tc>
        <w:tc>
          <w:tcPr>
            <w:tcW w:w="10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充分</w:t>
            </w:r>
          </w:p>
        </w:tc>
        <w:tc>
          <w:tcPr>
            <w:tcW w:w="4591"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①项目立项是否符合国家法律法规、国民经济发展规划和相关政策；</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②项目立项是否符合行业发展规划和政策要求；</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③项目立项是否与部门职责范围相符，属于部门履职所需；</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④项目是否属于公共财政支持范围，是否符合中央、地方事权支出责任划分原则；</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⑤项目是否与相关部门同类项目或部门内部相关项目不重复。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5项各占1/5权重分，每有一项不满足，则扣除相应权重分。</w:t>
            </w:r>
          </w:p>
        </w:tc>
        <w:tc>
          <w:tcPr>
            <w:tcW w:w="666"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109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722"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14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立项程序</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规范性</w:t>
            </w:r>
          </w:p>
        </w:tc>
        <w:tc>
          <w:tcPr>
            <w:tcW w:w="57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29"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314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项目的申请、设立过程是否符合相关要求，用以反映和考核项目立项的规范情况。</w:t>
            </w:r>
          </w:p>
        </w:tc>
        <w:tc>
          <w:tcPr>
            <w:tcW w:w="10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规范</w:t>
            </w:r>
          </w:p>
        </w:tc>
        <w:tc>
          <w:tcPr>
            <w:tcW w:w="4591"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①项目按照规定的程序申请设立；</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②所提交的文件、材料符合相关要求；</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③事前已经过必要的可行性研究、专家论证、风险评估、绩效评估、集体决策等。</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若①②③齐全得权重100%；如不符合①得0分；缺②扣权重1/3；缺③扣权重1/3。</w:t>
            </w:r>
          </w:p>
        </w:tc>
        <w:tc>
          <w:tcPr>
            <w:tcW w:w="666"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109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722"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6"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绩效目标（4分）</w:t>
            </w:r>
          </w:p>
        </w:tc>
        <w:tc>
          <w:tcPr>
            <w:tcW w:w="114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绩效目标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合理性</w:t>
            </w:r>
          </w:p>
        </w:tc>
        <w:tc>
          <w:tcPr>
            <w:tcW w:w="57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29"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314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项目所设定的绩效目标是否依据充分，是否符合客观实际，用以反映和考核项目绩效目标与项目实施的相符情况。</w:t>
            </w:r>
          </w:p>
        </w:tc>
        <w:tc>
          <w:tcPr>
            <w:tcW w:w="10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合理</w:t>
            </w:r>
          </w:p>
        </w:tc>
        <w:tc>
          <w:tcPr>
            <w:tcW w:w="4591"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①项目有绩效目标；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②项目绩效目标与实际工作内容具有相关性；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③项目预期产出效益和效果符合正常的业绩水平；</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④绩效目标与预算确定的项目投资额或资金量相匹配。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w:t>
            </w:r>
          </w:p>
        </w:tc>
        <w:tc>
          <w:tcPr>
            <w:tcW w:w="666"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1.7</w:t>
            </w:r>
          </w:p>
        </w:tc>
        <w:tc>
          <w:tcPr>
            <w:tcW w:w="109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45" w:hRule="atLeast"/>
        </w:trPr>
        <w:tc>
          <w:tcPr>
            <w:tcW w:w="722"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14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绩效指标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明确性</w:t>
            </w:r>
          </w:p>
        </w:tc>
        <w:tc>
          <w:tcPr>
            <w:tcW w:w="57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29"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314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依据绩效目标设定的绩效指标是否清晰、细化、可衡量等，用以反映和考核项目绩效目标的明细化情况。</w:t>
            </w:r>
          </w:p>
        </w:tc>
        <w:tc>
          <w:tcPr>
            <w:tcW w:w="10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明确</w:t>
            </w:r>
          </w:p>
        </w:tc>
        <w:tc>
          <w:tcPr>
            <w:tcW w:w="4591"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①将项目绩效目标细化分解为具体的绩效指标；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②指标值清晰、可衡量；</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③指标值与项目年度任务数或计划数相对应。</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3项各占1/3权重分，每有一项不满足，则扣除相应权重分。</w:t>
            </w:r>
          </w:p>
        </w:tc>
        <w:tc>
          <w:tcPr>
            <w:tcW w:w="666"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109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45" w:hRule="atLeast"/>
        </w:trPr>
        <w:tc>
          <w:tcPr>
            <w:tcW w:w="722"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6"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资金投入（4分）</w:t>
            </w:r>
          </w:p>
        </w:tc>
        <w:tc>
          <w:tcPr>
            <w:tcW w:w="114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预算编制</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科学性</w:t>
            </w:r>
          </w:p>
        </w:tc>
        <w:tc>
          <w:tcPr>
            <w:tcW w:w="57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29"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314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项目预算编制是否经过科学论证、有明确标准，资金额度与年度目标是否相适应，用以反映和考核项目预算编制的科学性、合理性情况。</w:t>
            </w:r>
          </w:p>
        </w:tc>
        <w:tc>
          <w:tcPr>
            <w:tcW w:w="10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科学</w:t>
            </w:r>
          </w:p>
        </w:tc>
        <w:tc>
          <w:tcPr>
            <w:tcW w:w="4591"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①预算编制经过科学论证；</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②预算内容与项目内容匹配；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③预算额度测算依据充分，按照标准编制；</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④预算确定的项目投资额或资金量与工作任务相匹配。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w:t>
            </w:r>
          </w:p>
        </w:tc>
        <w:tc>
          <w:tcPr>
            <w:tcW w:w="666"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109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15" w:hRule="atLeast"/>
        </w:trPr>
        <w:tc>
          <w:tcPr>
            <w:tcW w:w="722"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14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资金分配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合理性</w:t>
            </w:r>
          </w:p>
        </w:tc>
        <w:tc>
          <w:tcPr>
            <w:tcW w:w="57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29"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314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考察项目资金分配是否有测算依据，预算安排内容与专项资金的设立目的及年度工作重点是否一致，用以反映和考核项目预算资金分配的科学性、合理性。</w:t>
            </w:r>
          </w:p>
        </w:tc>
        <w:tc>
          <w:tcPr>
            <w:tcW w:w="10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合理</w:t>
            </w:r>
          </w:p>
        </w:tc>
        <w:tc>
          <w:tcPr>
            <w:tcW w:w="4591"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①项目资金分配有测算依据得1/2权重分；</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②根据预算安排内容与专项资金的设立目的及年度工作重点的匹配程度判断，分别得年度剩余权重的100%、75%、50%、25%和0%。</w:t>
            </w:r>
          </w:p>
        </w:tc>
        <w:tc>
          <w:tcPr>
            <w:tcW w:w="666"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109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0" w:hRule="atLeast"/>
        </w:trPr>
        <w:tc>
          <w:tcPr>
            <w:tcW w:w="722"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过程</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（25分）</w:t>
            </w:r>
          </w:p>
        </w:tc>
        <w:tc>
          <w:tcPr>
            <w:tcW w:w="1036"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资金管理（8分）</w:t>
            </w:r>
          </w:p>
        </w:tc>
        <w:tc>
          <w:tcPr>
            <w:tcW w:w="114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资金到位率</w:t>
            </w:r>
          </w:p>
        </w:tc>
        <w:tc>
          <w:tcPr>
            <w:tcW w:w="57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29"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314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实际到位资金与预算资金的比率，用以反映和考核上年度资金落实情况对项目实施的总体保障程度。资金到位率=（实际到位资金/预算资金）*100%。</w:t>
            </w:r>
          </w:p>
        </w:tc>
        <w:tc>
          <w:tcPr>
            <w:tcW w:w="10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4591"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资金到位率达100%得相应权重的100%，每下降1%扣5%权重，扣完相应权重为止。</w:t>
            </w:r>
          </w:p>
        </w:tc>
        <w:tc>
          <w:tcPr>
            <w:tcW w:w="666"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109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722"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14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预算执行率</w:t>
            </w:r>
          </w:p>
        </w:tc>
        <w:tc>
          <w:tcPr>
            <w:tcW w:w="57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29"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314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项目预算资金是否按照计划执行，用以反映或考核项目预算执行情况。预算执行率=（实际支出金额/实际到位资金）×100%。</w:t>
            </w:r>
          </w:p>
        </w:tc>
        <w:tc>
          <w:tcPr>
            <w:tcW w:w="10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4591"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①已完成的项目，预算执行率100%得满分，每降低1%扣5%权重分，扣完为止。②实施期项目，预算执行率与项目当年实施进度相匹配，预算执行率与项目实际完成率相比较，每偏离1%扣5%权重，扣完相应权重为止。</w:t>
            </w:r>
          </w:p>
        </w:tc>
        <w:tc>
          <w:tcPr>
            <w:tcW w:w="66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4.4</w:t>
            </w:r>
          </w:p>
        </w:tc>
        <w:tc>
          <w:tcPr>
            <w:tcW w:w="109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0" w:hRule="atLeast"/>
        </w:trPr>
        <w:tc>
          <w:tcPr>
            <w:tcW w:w="722"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14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资金使用</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合规性</w:t>
            </w:r>
          </w:p>
        </w:tc>
        <w:tc>
          <w:tcPr>
            <w:tcW w:w="57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29"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314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项目资金使用是否符合相关的财务管理制度规定，用以反映和考核项目资金的规范运行情况。</w:t>
            </w:r>
          </w:p>
        </w:tc>
        <w:tc>
          <w:tcPr>
            <w:tcW w:w="10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合规</w:t>
            </w:r>
          </w:p>
        </w:tc>
        <w:tc>
          <w:tcPr>
            <w:tcW w:w="4591"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①符合国家财经法规和财务管理制度以及有关专项资金管理办法的规定；</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②资金的拨付有完整的审批程序和手续；</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③符合项目预算批复或合同规定的用途；</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④不存在截留、挤占、挪用、虚列支出等情况。</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4项全部符合视为使用合规，得满分；存在①或③或④不满足时属于严重违规事项，本项指标不得分；在①③④同时符合，②不符合时，本项指标得75%权重分；</w:t>
            </w:r>
          </w:p>
        </w:tc>
        <w:tc>
          <w:tcPr>
            <w:tcW w:w="666"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109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5" w:hRule="atLeast"/>
        </w:trPr>
        <w:tc>
          <w:tcPr>
            <w:tcW w:w="722"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6"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组织实施（17分）</w:t>
            </w:r>
            <w:r>
              <w:rPr>
                <w:rFonts w:ascii="Arial" w:hAnsi="Arial" w:eastAsia="仿宋_GB2312" w:cs="Arial"/>
                <w:color w:val="000000"/>
                <w:kern w:val="0"/>
                <w:sz w:val="22"/>
                <w:szCs w:val="22"/>
              </w:rPr>
              <w:t> </w:t>
            </w:r>
          </w:p>
        </w:tc>
        <w:tc>
          <w:tcPr>
            <w:tcW w:w="114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xml:space="preserve"> 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健全性</w:t>
            </w:r>
          </w:p>
        </w:tc>
        <w:tc>
          <w:tcPr>
            <w:tcW w:w="57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29"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314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项目实施单位的管理制度是否健全，是否已制定或具有相应的财务和业务管理制度，财务和业务管理制度是否合法、合规、完整。用以反映和考核财务和业务管理制度对项目顺利实施的保障情况。</w:t>
            </w:r>
          </w:p>
        </w:tc>
        <w:tc>
          <w:tcPr>
            <w:tcW w:w="10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健全</w:t>
            </w:r>
          </w:p>
        </w:tc>
        <w:tc>
          <w:tcPr>
            <w:tcW w:w="4591"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①制定或具有相应的财务管理制度；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②制定或具有相应的业务管理制度；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③财务管理制度合法、合规、完整；</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④业务管理制度合法、合规、完整。</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4项各占1/4权重分，每有一项不满足，则扣除相应权重分。（需根据实际情况细化制度和修改权重比）</w:t>
            </w:r>
          </w:p>
        </w:tc>
        <w:tc>
          <w:tcPr>
            <w:tcW w:w="66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109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25" w:hRule="atLeast"/>
        </w:trPr>
        <w:tc>
          <w:tcPr>
            <w:tcW w:w="722"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14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绩效管理有效性</w:t>
            </w:r>
          </w:p>
        </w:tc>
        <w:tc>
          <w:tcPr>
            <w:tcW w:w="57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29"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314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上年度绩效评价结果应用于预算安排、政策调整和改进管理情况、本次自评和评价资料报送情况。</w:t>
            </w:r>
          </w:p>
        </w:tc>
        <w:tc>
          <w:tcPr>
            <w:tcW w:w="10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有效</w:t>
            </w:r>
          </w:p>
        </w:tc>
        <w:tc>
          <w:tcPr>
            <w:tcW w:w="4591"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①本次自评、部门评价资料报送及时性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②本次自评、部门评价资料完整性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③上年度评价结果应用情况</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3项各占1/3权重分，每有一项不满足，则扣除相应权重分。（需根据实际情况细化制度和修改权重比）</w:t>
            </w:r>
          </w:p>
        </w:tc>
        <w:tc>
          <w:tcPr>
            <w:tcW w:w="666"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109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18" w:hRule="atLeast"/>
        </w:trPr>
        <w:tc>
          <w:tcPr>
            <w:tcW w:w="722"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14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制度执行</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有效性</w:t>
            </w:r>
          </w:p>
        </w:tc>
        <w:tc>
          <w:tcPr>
            <w:tcW w:w="57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29"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314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项目实施是否符合相关管理规定，用以反映和考核相关管理制度的有效执行情况。</w:t>
            </w:r>
          </w:p>
        </w:tc>
        <w:tc>
          <w:tcPr>
            <w:tcW w:w="10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有效</w:t>
            </w:r>
          </w:p>
        </w:tc>
        <w:tc>
          <w:tcPr>
            <w:tcW w:w="4591"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①遵守相关法律法规和相关管理规定；</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②项目调整及支出调整手续完备；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③项目合同书、验收报告、技术鉴定等资料齐全并及时归档；</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④项目实施的人员条件、场地设备、信息支撑等落实到位。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4项各占1/4权重分，每有一项不满足，则扣除相应权重分。（需根据实际情况细化制度和修改权重比）</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一票否决事项：在巡视巡查、监督检查、审计等工作中发现评价期项目存在问题，本项不得分。</w:t>
            </w:r>
          </w:p>
        </w:tc>
        <w:tc>
          <w:tcPr>
            <w:tcW w:w="666"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109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trPr>
        <w:tc>
          <w:tcPr>
            <w:tcW w:w="722"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(25分)</w:t>
            </w:r>
          </w:p>
        </w:tc>
        <w:tc>
          <w:tcPr>
            <w:tcW w:w="1036"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产出数量（6分）</w:t>
            </w:r>
          </w:p>
        </w:tc>
        <w:tc>
          <w:tcPr>
            <w:tcW w:w="1148"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实际完成率</w:t>
            </w:r>
          </w:p>
        </w:tc>
        <w:tc>
          <w:tcPr>
            <w:tcW w:w="574"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29" w:type="dxa"/>
            <w:tcBorders>
              <w:top w:val="nil"/>
              <w:left w:val="nil"/>
              <w:bottom w:val="single" w:color="auto" w:sz="4" w:space="0"/>
              <w:right w:val="single" w:color="auto" w:sz="4" w:space="0"/>
            </w:tcBorders>
            <w:tcMar>
              <w:top w:w="15" w:type="dxa"/>
              <w:left w:w="15" w:type="dxa"/>
              <w:right w:w="15" w:type="dxa"/>
            </w:tcMar>
            <w:vAlign w:val="center"/>
          </w:tcPr>
          <w:p>
            <w:pPr>
              <w:widowControl/>
              <w:jc w:val="righ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3</w:t>
            </w:r>
          </w:p>
        </w:tc>
        <w:tc>
          <w:tcPr>
            <w:tcW w:w="314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行政执法人员执法证审验数</w:t>
            </w:r>
          </w:p>
        </w:tc>
        <w:tc>
          <w:tcPr>
            <w:tcW w:w="10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≥1200人</w:t>
            </w:r>
          </w:p>
        </w:tc>
        <w:tc>
          <w:tcPr>
            <w:tcW w:w="4591"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实际完成率达100%，则得满分，每低于1%，扣除5%权重分，扣完为止。实际产出数偏离计划产出数30%及以上，计算得分后再加扣5分。</w:t>
            </w:r>
          </w:p>
        </w:tc>
        <w:tc>
          <w:tcPr>
            <w:tcW w:w="666"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3</w:t>
            </w:r>
          </w:p>
        </w:tc>
        <w:tc>
          <w:tcPr>
            <w:tcW w:w="109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5" w:hRule="atLeast"/>
        </w:trPr>
        <w:tc>
          <w:tcPr>
            <w:tcW w:w="722"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14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57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629" w:type="dxa"/>
            <w:tcBorders>
              <w:top w:val="nil"/>
              <w:left w:val="nil"/>
              <w:bottom w:val="single" w:color="auto" w:sz="4" w:space="0"/>
              <w:right w:val="single" w:color="auto" w:sz="4" w:space="0"/>
            </w:tcBorders>
            <w:tcMar>
              <w:top w:w="15" w:type="dxa"/>
              <w:left w:w="15" w:type="dxa"/>
              <w:right w:w="15" w:type="dxa"/>
            </w:tcMar>
            <w:vAlign w:val="center"/>
          </w:tcPr>
          <w:p>
            <w:pPr>
              <w:widowControl/>
              <w:jc w:val="righ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3</w:t>
            </w:r>
          </w:p>
        </w:tc>
        <w:tc>
          <w:tcPr>
            <w:tcW w:w="314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行政复议行政应诉结案数量（率）</w:t>
            </w:r>
          </w:p>
        </w:tc>
        <w:tc>
          <w:tcPr>
            <w:tcW w:w="10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≥1000件</w:t>
            </w:r>
          </w:p>
        </w:tc>
        <w:tc>
          <w:tcPr>
            <w:tcW w:w="4591"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实际完成率达100%，则得满分，每低于1%，扣除5%权重分，扣完为止。实际产出数偏离计划产出数30%及以上，计算得分后再加扣5分。</w:t>
            </w:r>
          </w:p>
        </w:tc>
        <w:tc>
          <w:tcPr>
            <w:tcW w:w="666"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3</w:t>
            </w:r>
          </w:p>
        </w:tc>
        <w:tc>
          <w:tcPr>
            <w:tcW w:w="109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22"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6" w:type="dxa"/>
            <w:vMerge w:val="restart"/>
            <w:tcBorders>
              <w:top w:val="nil"/>
              <w:left w:val="single" w:color="auto" w:sz="4" w:space="0"/>
              <w:bottom w:val="nil"/>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产出质量（14分）</w:t>
            </w:r>
          </w:p>
        </w:tc>
        <w:tc>
          <w:tcPr>
            <w:tcW w:w="1148" w:type="dxa"/>
            <w:vMerge w:val="restart"/>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质量达标率</w:t>
            </w:r>
          </w:p>
        </w:tc>
        <w:tc>
          <w:tcPr>
            <w:tcW w:w="574" w:type="dxa"/>
            <w:vMerge w:val="restart"/>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2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314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立法计划完成率</w:t>
            </w:r>
          </w:p>
        </w:tc>
        <w:tc>
          <w:tcPr>
            <w:tcW w:w="105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宋体" w:hAnsi="宋体" w:cs="宋体"/>
                <w:color w:val="000000"/>
                <w:kern w:val="0"/>
                <w:sz w:val="22"/>
                <w:szCs w:val="22"/>
              </w:rPr>
              <w:t>≥</w:t>
            </w:r>
            <w:r>
              <w:rPr>
                <w:rFonts w:hint="eastAsia" w:ascii="仿宋_GB2312" w:hAnsi="Tahoma" w:eastAsia="仿宋_GB2312" w:cs="仿宋_GB2312"/>
                <w:color w:val="000000"/>
                <w:kern w:val="0"/>
                <w:sz w:val="22"/>
                <w:szCs w:val="22"/>
              </w:rPr>
              <w:t>80%</w:t>
            </w:r>
          </w:p>
        </w:tc>
        <w:tc>
          <w:tcPr>
            <w:tcW w:w="4591"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质量达标率达100%，则得满分，每低于1%，扣除5%权重分，扣完为止。</w:t>
            </w:r>
          </w:p>
        </w:tc>
        <w:tc>
          <w:tcPr>
            <w:tcW w:w="666"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109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722"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6" w:type="dxa"/>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148" w:type="dxa"/>
            <w:vMerge w:val="continue"/>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574" w:type="dxa"/>
            <w:vMerge w:val="continue"/>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62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314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行政诉讼单位负责人到庭应诉率</w:t>
            </w:r>
          </w:p>
        </w:tc>
        <w:tc>
          <w:tcPr>
            <w:tcW w:w="105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宋体" w:hAnsi="宋体" w:cs="宋体"/>
                <w:color w:val="000000"/>
                <w:kern w:val="0"/>
                <w:sz w:val="22"/>
                <w:szCs w:val="22"/>
              </w:rPr>
              <w:t>≥</w:t>
            </w:r>
            <w:r>
              <w:rPr>
                <w:rFonts w:hint="eastAsia" w:ascii="仿宋_GB2312" w:hAnsi="Tahoma" w:eastAsia="仿宋_GB2312" w:cs="仿宋_GB2312"/>
                <w:color w:val="000000"/>
                <w:kern w:val="0"/>
                <w:sz w:val="22"/>
                <w:szCs w:val="22"/>
              </w:rPr>
              <w:t>90%</w:t>
            </w:r>
          </w:p>
        </w:tc>
        <w:tc>
          <w:tcPr>
            <w:tcW w:w="4591"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质量达标率达100%，则得满分，每低于1%，扣除5%权重分，扣完为止。</w:t>
            </w:r>
          </w:p>
        </w:tc>
        <w:tc>
          <w:tcPr>
            <w:tcW w:w="666"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109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722"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6" w:type="dxa"/>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148" w:type="dxa"/>
            <w:vMerge w:val="continue"/>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574" w:type="dxa"/>
            <w:vMerge w:val="continue"/>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62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3146"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市级重大决策合法性审查率</w:t>
            </w:r>
          </w:p>
        </w:tc>
        <w:tc>
          <w:tcPr>
            <w:tcW w:w="1055"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宋体" w:hAnsi="宋体" w:cs="宋体"/>
                <w:color w:val="000000"/>
                <w:kern w:val="0"/>
                <w:sz w:val="22"/>
                <w:szCs w:val="22"/>
              </w:rPr>
              <w:t>≥</w:t>
            </w:r>
            <w:r>
              <w:rPr>
                <w:rFonts w:hint="eastAsia" w:ascii="仿宋_GB2312" w:hAnsi="Tahoma" w:eastAsia="仿宋_GB2312" w:cs="仿宋_GB2312"/>
                <w:color w:val="000000"/>
                <w:kern w:val="0"/>
                <w:sz w:val="22"/>
                <w:szCs w:val="22"/>
              </w:rPr>
              <w:t>95%</w:t>
            </w:r>
          </w:p>
        </w:tc>
        <w:tc>
          <w:tcPr>
            <w:tcW w:w="4591"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质量达标率达100%，则得满分，每低于1%，扣除5%权重分，扣完为止。</w:t>
            </w:r>
          </w:p>
        </w:tc>
        <w:tc>
          <w:tcPr>
            <w:tcW w:w="666"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109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0" w:hRule="atLeast"/>
        </w:trPr>
        <w:tc>
          <w:tcPr>
            <w:tcW w:w="722"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6" w:type="dxa"/>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148" w:type="dxa"/>
            <w:vMerge w:val="continue"/>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574" w:type="dxa"/>
            <w:vMerge w:val="continue"/>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62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314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市级单位行政执法监督覆盖率</w:t>
            </w:r>
          </w:p>
        </w:tc>
        <w:tc>
          <w:tcPr>
            <w:tcW w:w="105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宋体" w:hAnsi="宋体" w:cs="宋体"/>
                <w:color w:val="000000"/>
                <w:kern w:val="0"/>
                <w:sz w:val="22"/>
                <w:szCs w:val="22"/>
              </w:rPr>
              <w:t>≥</w:t>
            </w:r>
            <w:r>
              <w:rPr>
                <w:rFonts w:hint="eastAsia" w:ascii="仿宋_GB2312" w:hAnsi="Tahoma" w:eastAsia="仿宋_GB2312" w:cs="仿宋_GB2312"/>
                <w:color w:val="000000"/>
                <w:kern w:val="0"/>
                <w:sz w:val="22"/>
                <w:szCs w:val="22"/>
              </w:rPr>
              <w:t>90%</w:t>
            </w:r>
          </w:p>
        </w:tc>
        <w:tc>
          <w:tcPr>
            <w:tcW w:w="4591"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质量达标率达100%，则得满分，每低于1%，扣除5%权重分，扣完为止。</w:t>
            </w:r>
          </w:p>
        </w:tc>
        <w:tc>
          <w:tcPr>
            <w:tcW w:w="666"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109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0" w:hRule="atLeast"/>
        </w:trPr>
        <w:tc>
          <w:tcPr>
            <w:tcW w:w="722"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产出时效</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（5分）</w:t>
            </w:r>
          </w:p>
        </w:tc>
        <w:tc>
          <w:tcPr>
            <w:tcW w:w="114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完成及时率</w:t>
            </w:r>
          </w:p>
        </w:tc>
        <w:tc>
          <w:tcPr>
            <w:tcW w:w="574"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29"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314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各项目是否均按照计划、文件批复等相关规定及时完成，用以反映和考核项目产出时效目标的实现程度。多个项目计算完成及时率=及时完成的项目数/计划项目数*100%</w:t>
            </w:r>
          </w:p>
        </w:tc>
        <w:tc>
          <w:tcPr>
            <w:tcW w:w="10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4591"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项目完成及时率达100%，则得满分，每低于1%，扣除5%权重分，扣完为止。</w:t>
            </w:r>
          </w:p>
        </w:tc>
        <w:tc>
          <w:tcPr>
            <w:tcW w:w="666"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109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60" w:hRule="atLeast"/>
        </w:trPr>
        <w:tc>
          <w:tcPr>
            <w:tcW w:w="722"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效益</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（40分）</w:t>
            </w:r>
          </w:p>
        </w:tc>
        <w:tc>
          <w:tcPr>
            <w:tcW w:w="103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社会效益</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（25分）</w:t>
            </w:r>
          </w:p>
        </w:tc>
        <w:tc>
          <w:tcPr>
            <w:tcW w:w="114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社会效益</w:t>
            </w:r>
          </w:p>
        </w:tc>
        <w:tc>
          <w:tcPr>
            <w:tcW w:w="574" w:type="dxa"/>
            <w:tcBorders>
              <w:top w:val="nil"/>
              <w:left w:val="nil"/>
              <w:bottom w:val="nil"/>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29"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25</w:t>
            </w:r>
          </w:p>
        </w:tc>
        <w:tc>
          <w:tcPr>
            <w:tcW w:w="314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保障各项司法行政工作顺利开展，提高法制建设水平，法律服务水平，提高人民群众对司法公正的满意度，全力推进法制政府建设。</w:t>
            </w:r>
          </w:p>
        </w:tc>
        <w:tc>
          <w:tcPr>
            <w:tcW w:w="1055"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4591"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效益总分与产出总分挂钩。如产出总得分率为90%（含）-100%，则项目效益得分按×产出得分率计算；产出得分率80%（含）-90%，则项目效益按80%计算；产出得分率60%（含）-80%，则项目效益按60%计算；产出得分率小于60%，则项目效益不得分。</w:t>
            </w:r>
          </w:p>
        </w:tc>
        <w:tc>
          <w:tcPr>
            <w:tcW w:w="66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25</w:t>
            </w:r>
          </w:p>
        </w:tc>
        <w:tc>
          <w:tcPr>
            <w:tcW w:w="109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722"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可持续</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影响（7分）</w:t>
            </w:r>
          </w:p>
        </w:tc>
        <w:tc>
          <w:tcPr>
            <w:tcW w:w="114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项目发展机制可持续性</w:t>
            </w:r>
          </w:p>
        </w:tc>
        <w:tc>
          <w:tcPr>
            <w:tcW w:w="57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2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7</w:t>
            </w:r>
          </w:p>
        </w:tc>
        <w:tc>
          <w:tcPr>
            <w:tcW w:w="314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项目运转是否形成了可持续发展的机制。</w:t>
            </w:r>
          </w:p>
        </w:tc>
        <w:tc>
          <w:tcPr>
            <w:tcW w:w="105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4591"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项目运转形成了可持续发展的机制，是指明确管理机构，明确职责、人员分工、管理制度措施则得满分，少一项则扣除25%的权重分。</w:t>
            </w:r>
          </w:p>
        </w:tc>
        <w:tc>
          <w:tcPr>
            <w:tcW w:w="666"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7</w:t>
            </w:r>
          </w:p>
        </w:tc>
        <w:tc>
          <w:tcPr>
            <w:tcW w:w="109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5" w:hRule="atLeast"/>
        </w:trPr>
        <w:tc>
          <w:tcPr>
            <w:tcW w:w="722"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满意度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（8分）</w:t>
            </w:r>
          </w:p>
        </w:tc>
        <w:tc>
          <w:tcPr>
            <w:tcW w:w="114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服务对象</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满意度</w:t>
            </w:r>
          </w:p>
        </w:tc>
        <w:tc>
          <w:tcPr>
            <w:tcW w:w="574"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29"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8</w:t>
            </w:r>
          </w:p>
        </w:tc>
        <w:tc>
          <w:tcPr>
            <w:tcW w:w="314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考察服务对象对项目实施效果的满意程度。</w:t>
            </w:r>
          </w:p>
        </w:tc>
        <w:tc>
          <w:tcPr>
            <w:tcW w:w="10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宋体" w:hAnsi="宋体" w:cs="宋体"/>
                <w:color w:val="000000"/>
                <w:kern w:val="0"/>
                <w:sz w:val="22"/>
                <w:szCs w:val="22"/>
              </w:rPr>
              <w:t>≥</w:t>
            </w:r>
            <w:r>
              <w:rPr>
                <w:rFonts w:hint="eastAsia" w:ascii="仿宋_GB2312" w:hAnsi="Tahoma" w:eastAsia="仿宋_GB2312" w:cs="仿宋_GB2312"/>
                <w:color w:val="000000"/>
                <w:kern w:val="0"/>
                <w:sz w:val="22"/>
                <w:szCs w:val="22"/>
              </w:rPr>
              <w:t>80%</w:t>
            </w:r>
          </w:p>
        </w:tc>
        <w:tc>
          <w:tcPr>
            <w:tcW w:w="4591"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服务对象满意度达≥80%，则得满分，每降低1%，扣除5%权重分。</w:t>
            </w:r>
          </w:p>
        </w:tc>
        <w:tc>
          <w:tcPr>
            <w:tcW w:w="66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8</w:t>
            </w:r>
          </w:p>
        </w:tc>
        <w:tc>
          <w:tcPr>
            <w:tcW w:w="109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3480"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合计</w:t>
            </w:r>
          </w:p>
        </w:tc>
        <w:tc>
          <w:tcPr>
            <w:tcW w:w="629"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100</w:t>
            </w:r>
          </w:p>
        </w:tc>
        <w:tc>
          <w:tcPr>
            <w:tcW w:w="314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10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459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66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99.1</w:t>
            </w:r>
          </w:p>
        </w:tc>
        <w:tc>
          <w:tcPr>
            <w:tcW w:w="109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99.10%</w:t>
            </w:r>
          </w:p>
        </w:tc>
      </w:tr>
    </w:tbl>
    <w:p>
      <w:pPr>
        <w:spacing w:after="305" w:afterLines="50" w:line="600" w:lineRule="exact"/>
        <w:rPr>
          <w:rFonts w:ascii="方正小标宋简体" w:hAnsi="方正小标宋简体" w:eastAsia="方正小标宋简体" w:cs="方正小标宋简体"/>
          <w:sz w:val="24"/>
        </w:rPr>
        <w:sectPr>
          <w:pgSz w:w="16783" w:h="23757"/>
          <w:pgMar w:top="1701" w:right="1077" w:bottom="1701" w:left="1077" w:header="0" w:footer="1418" w:gutter="0"/>
          <w:cols w:space="720" w:num="1"/>
          <w:docGrid w:type="linesAndChars" w:linePitch="610" w:charSpace="-849"/>
        </w:sectPr>
      </w:pPr>
    </w:p>
    <w:tbl>
      <w:tblPr>
        <w:tblStyle w:val="15"/>
        <w:tblW w:w="14659"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3"/>
        <w:gridCol w:w="981"/>
        <w:gridCol w:w="875"/>
        <w:gridCol w:w="543"/>
        <w:gridCol w:w="596"/>
        <w:gridCol w:w="3468"/>
        <w:gridCol w:w="998"/>
        <w:gridCol w:w="4694"/>
        <w:gridCol w:w="578"/>
        <w:gridCol w:w="1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12838" w:type="dxa"/>
            <w:gridSpan w:val="8"/>
            <w:tcBorders>
              <w:top w:val="nil"/>
              <w:left w:val="nil"/>
              <w:bottom w:val="nil"/>
              <w:right w:val="nil"/>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Cs w:val="32"/>
              </w:rPr>
            </w:pPr>
            <w:r>
              <w:rPr>
                <w:rFonts w:hint="eastAsia" w:ascii="仿宋_GB2312" w:hAnsi="Tahoma" w:eastAsia="仿宋_GB2312" w:cs="仿宋_GB2312"/>
                <w:b/>
                <w:color w:val="000000"/>
                <w:kern w:val="0"/>
                <w:szCs w:val="32"/>
              </w:rPr>
              <w:t>警用服装费项目支出绩效评价指标体系</w:t>
            </w:r>
          </w:p>
        </w:tc>
        <w:tc>
          <w:tcPr>
            <w:tcW w:w="578"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c>
          <w:tcPr>
            <w:tcW w:w="1243"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7146" w:type="dxa"/>
            <w:gridSpan w:val="6"/>
            <w:tcBorders>
              <w:top w:val="nil"/>
              <w:left w:val="nil"/>
              <w:bottom w:val="single" w:color="auto" w:sz="4" w:space="0"/>
              <w:right w:val="nil"/>
            </w:tcBorders>
            <w:tcMar>
              <w:top w:w="15" w:type="dxa"/>
              <w:left w:w="15" w:type="dxa"/>
              <w:right w:w="15" w:type="dxa"/>
            </w:tcMar>
            <w:vAlign w:val="center"/>
          </w:tcPr>
          <w:p>
            <w:pPr>
              <w:widowControl/>
              <w:jc w:val="left"/>
              <w:textAlignment w:val="center"/>
              <w:rPr>
                <w:rFonts w:ascii="仿宋_GB2312" w:hAnsi="Tahoma" w:eastAsia="仿宋_GB2312" w:cs="仿宋_GB2312"/>
                <w:b/>
                <w:color w:val="000000"/>
                <w:sz w:val="24"/>
              </w:rPr>
            </w:pPr>
            <w:r>
              <w:rPr>
                <w:rFonts w:hint="eastAsia" w:ascii="仿宋_GB2312" w:hAnsi="Tahoma" w:eastAsia="仿宋_GB2312" w:cs="仿宋_GB2312"/>
                <w:b/>
                <w:color w:val="000000"/>
                <w:kern w:val="0"/>
                <w:sz w:val="24"/>
              </w:rPr>
              <w:t>项目单位：青岛市司法局</w:t>
            </w:r>
          </w:p>
        </w:tc>
        <w:tc>
          <w:tcPr>
            <w:tcW w:w="998" w:type="dxa"/>
            <w:tcBorders>
              <w:top w:val="nil"/>
              <w:left w:val="nil"/>
              <w:bottom w:val="nil"/>
              <w:right w:val="nil"/>
            </w:tcBorders>
            <w:tcMar>
              <w:top w:w="15" w:type="dxa"/>
              <w:left w:w="15" w:type="dxa"/>
              <w:right w:w="15" w:type="dxa"/>
            </w:tcMar>
            <w:vAlign w:val="center"/>
          </w:tcPr>
          <w:p>
            <w:pPr>
              <w:jc w:val="center"/>
              <w:rPr>
                <w:rFonts w:ascii="仿宋_GB2312" w:hAnsi="Tahoma" w:eastAsia="仿宋_GB2312" w:cs="仿宋_GB2312"/>
                <w:b/>
                <w:color w:val="000000"/>
                <w:szCs w:val="32"/>
              </w:rPr>
            </w:pPr>
          </w:p>
        </w:tc>
        <w:tc>
          <w:tcPr>
            <w:tcW w:w="4694" w:type="dxa"/>
            <w:tcBorders>
              <w:top w:val="nil"/>
              <w:left w:val="nil"/>
              <w:bottom w:val="nil"/>
              <w:right w:val="nil"/>
            </w:tcBorders>
            <w:tcMar>
              <w:top w:w="15" w:type="dxa"/>
              <w:left w:w="15" w:type="dxa"/>
              <w:right w:w="15" w:type="dxa"/>
            </w:tcMar>
            <w:vAlign w:val="center"/>
          </w:tcPr>
          <w:p>
            <w:pPr>
              <w:jc w:val="center"/>
              <w:rPr>
                <w:rFonts w:ascii="仿宋_GB2312" w:hAnsi="Tahoma" w:eastAsia="仿宋_GB2312" w:cs="仿宋_GB2312"/>
                <w:b/>
                <w:color w:val="000000"/>
                <w:szCs w:val="32"/>
              </w:rPr>
            </w:pPr>
          </w:p>
        </w:tc>
        <w:tc>
          <w:tcPr>
            <w:tcW w:w="578"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c>
          <w:tcPr>
            <w:tcW w:w="1243"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683" w:type="dxa"/>
            <w:tcBorders>
              <w:top w:val="nil"/>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一级</w:t>
            </w:r>
            <w:r>
              <w:rPr>
                <w:rFonts w:hint="eastAsia" w:ascii="仿宋_GB2312" w:hAnsi="Tahoma" w:eastAsia="仿宋_GB2312" w:cs="仿宋_GB2312"/>
                <w:b/>
                <w:color w:val="000000"/>
                <w:kern w:val="0"/>
                <w:sz w:val="22"/>
                <w:szCs w:val="22"/>
              </w:rPr>
              <w:br/>
            </w:r>
            <w:r>
              <w:rPr>
                <w:rFonts w:hint="eastAsia" w:ascii="仿宋_GB2312" w:hAnsi="Tahoma" w:eastAsia="仿宋_GB2312" w:cs="仿宋_GB2312"/>
                <w:b/>
                <w:color w:val="000000"/>
                <w:kern w:val="0"/>
                <w:sz w:val="22"/>
                <w:szCs w:val="22"/>
              </w:rPr>
              <w:t>指标</w:t>
            </w:r>
          </w:p>
        </w:tc>
        <w:tc>
          <w:tcPr>
            <w:tcW w:w="981"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二级指标</w:t>
            </w:r>
          </w:p>
        </w:tc>
        <w:tc>
          <w:tcPr>
            <w:tcW w:w="87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三级指标</w:t>
            </w:r>
          </w:p>
        </w:tc>
        <w:tc>
          <w:tcPr>
            <w:tcW w:w="543"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四级指标</w:t>
            </w:r>
          </w:p>
        </w:tc>
        <w:tc>
          <w:tcPr>
            <w:tcW w:w="596"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权重</w:t>
            </w:r>
          </w:p>
        </w:tc>
        <w:tc>
          <w:tcPr>
            <w:tcW w:w="346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指标解释</w:t>
            </w:r>
          </w:p>
        </w:tc>
        <w:tc>
          <w:tcPr>
            <w:tcW w:w="998"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标杆值</w:t>
            </w:r>
          </w:p>
        </w:tc>
        <w:tc>
          <w:tcPr>
            <w:tcW w:w="4694"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评分标准</w:t>
            </w:r>
          </w:p>
        </w:tc>
        <w:tc>
          <w:tcPr>
            <w:tcW w:w="578"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得分</w:t>
            </w:r>
          </w:p>
        </w:tc>
        <w:tc>
          <w:tcPr>
            <w:tcW w:w="124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25" w:hRule="atLeast"/>
        </w:trPr>
        <w:tc>
          <w:tcPr>
            <w:tcW w:w="68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决策</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（10分）</w:t>
            </w:r>
          </w:p>
        </w:tc>
        <w:tc>
          <w:tcPr>
            <w:tcW w:w="98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项目立项（2分）</w:t>
            </w:r>
          </w:p>
        </w:tc>
        <w:tc>
          <w:tcPr>
            <w:tcW w:w="8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立项依据</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充分性</w:t>
            </w:r>
          </w:p>
        </w:tc>
        <w:tc>
          <w:tcPr>
            <w:tcW w:w="5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59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346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项目立项是否符合法律法规、相关政策、发展规划以及部门职责，用以反映和考核项目立项依据情况。</w:t>
            </w:r>
          </w:p>
        </w:tc>
        <w:tc>
          <w:tcPr>
            <w:tcW w:w="99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充分</w:t>
            </w:r>
          </w:p>
        </w:tc>
        <w:tc>
          <w:tcPr>
            <w:tcW w:w="4694"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①项目立项是否符合国家法律法规、国民经济发展规划和相关政策；</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②项目立项是否符合行业发展规划和政策要求；</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③项目立项是否与部门职责范围相符，属于部门履职所需；</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④项目是否属于公共财政支持范围，是否符合中央、地方事权支出责任划分原则；</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⑤项目是否与相关部门同类项目或部门内部相关项目不重复。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5项各占1/5权重分，每有一项不满足，则扣除相应权重分。</w:t>
            </w:r>
          </w:p>
        </w:tc>
        <w:tc>
          <w:tcPr>
            <w:tcW w:w="57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12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68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8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立项程序</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规范性</w:t>
            </w:r>
          </w:p>
        </w:tc>
        <w:tc>
          <w:tcPr>
            <w:tcW w:w="5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59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346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项目的申请、设立过程是否符合相关要求，用以反映和考核项目立项的规范情况。</w:t>
            </w:r>
          </w:p>
        </w:tc>
        <w:tc>
          <w:tcPr>
            <w:tcW w:w="99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规范</w:t>
            </w:r>
          </w:p>
        </w:tc>
        <w:tc>
          <w:tcPr>
            <w:tcW w:w="4694"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①项目按照规定的程序申请设立；</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②所提交的文件、材料符合相关要求；</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③事前已经过必要的可行性研究、专家论证、风险评估、绩效评估、集体决策等。</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若①②③齐全得权重100%；如不符合①得0分；缺②扣权重1/3；缺③扣权重1/3。</w:t>
            </w:r>
          </w:p>
        </w:tc>
        <w:tc>
          <w:tcPr>
            <w:tcW w:w="57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12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68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8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绩效目标（4分）</w:t>
            </w:r>
          </w:p>
        </w:tc>
        <w:tc>
          <w:tcPr>
            <w:tcW w:w="8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绩效目标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合理性</w:t>
            </w:r>
          </w:p>
        </w:tc>
        <w:tc>
          <w:tcPr>
            <w:tcW w:w="5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59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346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项目所设定的绩效目标是否依据充分，是否符合客观实际，用以反映和考核项目绩效目标与项目实施的相符情况。</w:t>
            </w:r>
          </w:p>
        </w:tc>
        <w:tc>
          <w:tcPr>
            <w:tcW w:w="99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合理</w:t>
            </w:r>
          </w:p>
        </w:tc>
        <w:tc>
          <w:tcPr>
            <w:tcW w:w="4694"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①项目有绩效目标；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②项目绩效目标与实际工作内容具有相关性；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③项目预期产出效益和效果符合正常的业绩水平；</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④绩效目标与预算确定的项目投资额或资金量相匹配。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w:t>
            </w:r>
          </w:p>
        </w:tc>
        <w:tc>
          <w:tcPr>
            <w:tcW w:w="57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12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45" w:hRule="atLeast"/>
        </w:trPr>
        <w:tc>
          <w:tcPr>
            <w:tcW w:w="68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8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绩效指标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明确性</w:t>
            </w:r>
          </w:p>
        </w:tc>
        <w:tc>
          <w:tcPr>
            <w:tcW w:w="5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59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346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依据绩效目标设定的绩效指标是否清晰、细化、可衡量等，用以反映和考核项目绩效目标的明细化情况。</w:t>
            </w:r>
          </w:p>
        </w:tc>
        <w:tc>
          <w:tcPr>
            <w:tcW w:w="99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明确</w:t>
            </w:r>
          </w:p>
        </w:tc>
        <w:tc>
          <w:tcPr>
            <w:tcW w:w="4694"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①将项目绩效目标细化分解为具体的绩效指标；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②指标值清晰、可衡量；</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③指标值与项目年度任务数或计划数相对应。</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3项各占1/3权重分，每有一项不满足，则扣除相应权重分。</w:t>
            </w:r>
          </w:p>
        </w:tc>
        <w:tc>
          <w:tcPr>
            <w:tcW w:w="57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12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45" w:hRule="atLeast"/>
        </w:trPr>
        <w:tc>
          <w:tcPr>
            <w:tcW w:w="68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8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资金投入（4分）</w:t>
            </w:r>
          </w:p>
        </w:tc>
        <w:tc>
          <w:tcPr>
            <w:tcW w:w="8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预算编制</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科学性</w:t>
            </w:r>
          </w:p>
        </w:tc>
        <w:tc>
          <w:tcPr>
            <w:tcW w:w="5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59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346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项目预算编制是否经过科学论证、有明确标准，资金额度与年度目标是否相适应，用以反映和考核项目预算编制的科学性、合理性情况。</w:t>
            </w:r>
          </w:p>
        </w:tc>
        <w:tc>
          <w:tcPr>
            <w:tcW w:w="99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科学</w:t>
            </w:r>
          </w:p>
        </w:tc>
        <w:tc>
          <w:tcPr>
            <w:tcW w:w="4694"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①预算编制经过科学论证；</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②预算内容与项目内容匹配；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③预算额度测算依据充分，按照标准编制；</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④预算确定的项目投资额或资金量与工作任务相匹配。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w:t>
            </w:r>
          </w:p>
        </w:tc>
        <w:tc>
          <w:tcPr>
            <w:tcW w:w="57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12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2" w:hRule="atLeast"/>
        </w:trPr>
        <w:tc>
          <w:tcPr>
            <w:tcW w:w="68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8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资金分配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合理性</w:t>
            </w:r>
          </w:p>
        </w:tc>
        <w:tc>
          <w:tcPr>
            <w:tcW w:w="5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59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346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考察项目资金分配是否有测算依据，预算安排内容与专项资金的设立目的及年度工作重点是否一致，用以反映和考核项目预算资金分配的科学性、合理性。</w:t>
            </w:r>
          </w:p>
        </w:tc>
        <w:tc>
          <w:tcPr>
            <w:tcW w:w="99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合理</w:t>
            </w:r>
          </w:p>
        </w:tc>
        <w:tc>
          <w:tcPr>
            <w:tcW w:w="4694"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①项目资金分配有测算依据得1/2权重分；</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②根据预算安排内容与专项资金的设立目的及年度工作重点的匹配程度判断，分别得年度剩余权重的100%、75%、50%、25%和0%。</w:t>
            </w:r>
          </w:p>
        </w:tc>
        <w:tc>
          <w:tcPr>
            <w:tcW w:w="57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12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0" w:hRule="atLeast"/>
        </w:trPr>
        <w:tc>
          <w:tcPr>
            <w:tcW w:w="68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过程</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（25分）</w:t>
            </w:r>
          </w:p>
        </w:tc>
        <w:tc>
          <w:tcPr>
            <w:tcW w:w="98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资金管理（8分）</w:t>
            </w:r>
          </w:p>
        </w:tc>
        <w:tc>
          <w:tcPr>
            <w:tcW w:w="8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资金到位率</w:t>
            </w:r>
          </w:p>
        </w:tc>
        <w:tc>
          <w:tcPr>
            <w:tcW w:w="5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59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346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实际到位资金与预算资金的比率，用以反映和考核上年度资金落实情况对项目实施的总体保障程度。资金到位率=（实际到位资金/预算资金）*100%。</w:t>
            </w:r>
          </w:p>
        </w:tc>
        <w:tc>
          <w:tcPr>
            <w:tcW w:w="99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4694"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资金到位率达100%得相应权重的100%，每下降1%扣5%权重，扣完相应权重为止。</w:t>
            </w:r>
          </w:p>
        </w:tc>
        <w:tc>
          <w:tcPr>
            <w:tcW w:w="57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12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68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8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预算执行率</w:t>
            </w:r>
          </w:p>
        </w:tc>
        <w:tc>
          <w:tcPr>
            <w:tcW w:w="5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59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346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项目预算资金是否按照计划执行，用以反映或考核项目预算执行情况。预算执行率=（实际支出金额/实际到位资金）×100%。</w:t>
            </w:r>
          </w:p>
        </w:tc>
        <w:tc>
          <w:tcPr>
            <w:tcW w:w="99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4694"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①已完成的项目，预算执行率100%得满分，每降低1%扣5%权重分，扣完为止。②实施期项目，预算执行率与项目当年实施进度相匹配，预算执行率与项目实际完成率相比较，每偏离1%扣5%权重，扣完相应权重为止。</w:t>
            </w:r>
          </w:p>
        </w:tc>
        <w:tc>
          <w:tcPr>
            <w:tcW w:w="57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4.2</w:t>
            </w:r>
          </w:p>
        </w:tc>
        <w:tc>
          <w:tcPr>
            <w:tcW w:w="12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0" w:hRule="atLeast"/>
        </w:trPr>
        <w:tc>
          <w:tcPr>
            <w:tcW w:w="68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8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资金使用</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合规性</w:t>
            </w:r>
          </w:p>
        </w:tc>
        <w:tc>
          <w:tcPr>
            <w:tcW w:w="5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59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346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项目资金使用是否符合相关的财务管理制度规定，用以反映和考核项目资金的规范运行情况。</w:t>
            </w:r>
          </w:p>
        </w:tc>
        <w:tc>
          <w:tcPr>
            <w:tcW w:w="99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合规</w:t>
            </w:r>
          </w:p>
        </w:tc>
        <w:tc>
          <w:tcPr>
            <w:tcW w:w="4694"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①符合国家财经法规和财务管理制度以及有关专项资金管理办法的规定；</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②资金的拨付有完整的审批程序和手续；</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③符合项目预算批复或合同规定的用途；</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④不存在截留、挤占、挪用、虚列支出等情况。</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4项全部符合视为使用合规，得满分；存在①或③或④不满足时属于严重违规事项，本项指标不得分；在①③④同时符合，②不符合时，本项指标得75%权重分；</w:t>
            </w:r>
          </w:p>
        </w:tc>
        <w:tc>
          <w:tcPr>
            <w:tcW w:w="57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12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5" w:hRule="atLeast"/>
        </w:trPr>
        <w:tc>
          <w:tcPr>
            <w:tcW w:w="68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8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组织实施（17分）</w:t>
            </w:r>
            <w:r>
              <w:rPr>
                <w:rFonts w:ascii="Arial" w:hAnsi="Arial" w:eastAsia="仿宋_GB2312" w:cs="Arial"/>
                <w:color w:val="000000"/>
                <w:kern w:val="0"/>
                <w:sz w:val="22"/>
                <w:szCs w:val="22"/>
              </w:rPr>
              <w:t> </w:t>
            </w:r>
          </w:p>
        </w:tc>
        <w:tc>
          <w:tcPr>
            <w:tcW w:w="8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xml:space="preserve"> 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健全性</w:t>
            </w:r>
          </w:p>
        </w:tc>
        <w:tc>
          <w:tcPr>
            <w:tcW w:w="5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59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346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项目实施单位的管理制度是否健全，是否已制定或具有相应的财务和业务管理制度，财务和业务管理制度是否合法、合规、完整。用以反映和考核财务和业务管理制度对项目顺利实施的保障情况。</w:t>
            </w:r>
          </w:p>
        </w:tc>
        <w:tc>
          <w:tcPr>
            <w:tcW w:w="99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健全</w:t>
            </w:r>
          </w:p>
        </w:tc>
        <w:tc>
          <w:tcPr>
            <w:tcW w:w="4694"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①制定或具有相应的财务管理制度；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②制定或具有相应的业务管理制度；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③财务管理制度合法、合规、完整；</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④业务管理制度合法、合规、完整。</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4项各占1/4权重分，每有一项不满足，则扣除相应权重分。（需根据实际情况细化制度和修改权重比）</w:t>
            </w:r>
          </w:p>
        </w:tc>
        <w:tc>
          <w:tcPr>
            <w:tcW w:w="57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12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5" w:hRule="atLeast"/>
        </w:trPr>
        <w:tc>
          <w:tcPr>
            <w:tcW w:w="68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8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绩效管理有效性</w:t>
            </w:r>
          </w:p>
        </w:tc>
        <w:tc>
          <w:tcPr>
            <w:tcW w:w="5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59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346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上年度绩效评价结果应用于预算安排、政策调整和改进管理情况、本次自评和评价资料报送情况。</w:t>
            </w:r>
          </w:p>
        </w:tc>
        <w:tc>
          <w:tcPr>
            <w:tcW w:w="99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有效</w:t>
            </w:r>
          </w:p>
        </w:tc>
        <w:tc>
          <w:tcPr>
            <w:tcW w:w="4694"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①本次自评、部门评价资料报送及时性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②本次自评、部门评价资料完整性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③上年度评价结果应用情况</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3项各占1/3权重分，每有一项不满足，则扣除相应权重分。（需根据实际情况细化制度和修改权重比）</w:t>
            </w:r>
          </w:p>
        </w:tc>
        <w:tc>
          <w:tcPr>
            <w:tcW w:w="57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12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18" w:hRule="atLeast"/>
        </w:trPr>
        <w:tc>
          <w:tcPr>
            <w:tcW w:w="68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8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制度执行</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有效性</w:t>
            </w:r>
          </w:p>
        </w:tc>
        <w:tc>
          <w:tcPr>
            <w:tcW w:w="5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59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346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项目实施是否符合相关管理规定，用以反映和考核相关管理制度的有效执行情况。</w:t>
            </w:r>
          </w:p>
        </w:tc>
        <w:tc>
          <w:tcPr>
            <w:tcW w:w="99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有效</w:t>
            </w:r>
          </w:p>
        </w:tc>
        <w:tc>
          <w:tcPr>
            <w:tcW w:w="4694"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①遵守相关法律法规和相关管理规定；</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②项目调整及支出调整手续完备；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③项目合同书、验收报告、技术鉴定等资料齐全并及时归档；</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④项目实施的人员条件、场地设备、信息支撑等落实到位。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4项各占1/4权重分，每有一项不满足，则扣除相应权重分。（需根据实际情况细化制度和修改权重比）</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一票否决事项：在巡视巡查、监督检查、审计等工作中发现评价期项目存在问题，本项不得分。</w:t>
            </w:r>
          </w:p>
        </w:tc>
        <w:tc>
          <w:tcPr>
            <w:tcW w:w="57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12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8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(25分)</w:t>
            </w:r>
          </w:p>
        </w:tc>
        <w:tc>
          <w:tcPr>
            <w:tcW w:w="981"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产出数量（4分）</w:t>
            </w:r>
          </w:p>
        </w:tc>
        <w:tc>
          <w:tcPr>
            <w:tcW w:w="875" w:type="dxa"/>
            <w:tcBorders>
              <w:top w:val="nil"/>
              <w:left w:val="nil"/>
              <w:bottom w:val="nil"/>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实际完成率</w:t>
            </w:r>
          </w:p>
        </w:tc>
        <w:tc>
          <w:tcPr>
            <w:tcW w:w="543"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59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346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警用被服采购数量</w:t>
            </w:r>
          </w:p>
        </w:tc>
        <w:tc>
          <w:tcPr>
            <w:tcW w:w="99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  10000 件（套）</w:t>
            </w:r>
          </w:p>
        </w:tc>
        <w:tc>
          <w:tcPr>
            <w:tcW w:w="4694"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实际完成率达100%，则得满分，每低于1%，扣除5%权重分，扣完为止。实际产出数偏离计划产出数30%及以上，计算得分后再加扣5分。</w:t>
            </w:r>
          </w:p>
        </w:tc>
        <w:tc>
          <w:tcPr>
            <w:tcW w:w="57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12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xml:space="preserve">13685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83"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81" w:type="dxa"/>
            <w:vMerge w:val="restart"/>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产出质量（16分）</w:t>
            </w:r>
          </w:p>
        </w:tc>
        <w:tc>
          <w:tcPr>
            <w:tcW w:w="875" w:type="dxa"/>
            <w:vMerge w:val="restart"/>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质量达标率</w:t>
            </w:r>
          </w:p>
        </w:tc>
        <w:tc>
          <w:tcPr>
            <w:tcW w:w="543" w:type="dxa"/>
            <w:vMerge w:val="restart"/>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59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346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警用被装产品政府采购率</w:t>
            </w:r>
          </w:p>
        </w:tc>
        <w:tc>
          <w:tcPr>
            <w:tcW w:w="99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95 %</w:t>
            </w:r>
          </w:p>
        </w:tc>
        <w:tc>
          <w:tcPr>
            <w:tcW w:w="4694"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质量达标率达100%，则得满分，每低于1%，扣除5%权重分，扣完为止。</w:t>
            </w:r>
          </w:p>
        </w:tc>
        <w:tc>
          <w:tcPr>
            <w:tcW w:w="57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12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683"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81" w:type="dxa"/>
            <w:vMerge w:val="continue"/>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75" w:type="dxa"/>
            <w:vMerge w:val="continue"/>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543" w:type="dxa"/>
            <w:vMerge w:val="continue"/>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59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346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警用被装产品合格率</w:t>
            </w:r>
          </w:p>
        </w:tc>
        <w:tc>
          <w:tcPr>
            <w:tcW w:w="998" w:type="dxa"/>
            <w:tcBorders>
              <w:top w:val="nil"/>
              <w:left w:val="nil"/>
              <w:bottom w:val="nil"/>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95 %</w:t>
            </w:r>
          </w:p>
        </w:tc>
        <w:tc>
          <w:tcPr>
            <w:tcW w:w="4694"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质量达标率达100%，则得满分，每低于1%，扣除5%权重分，扣完为止。</w:t>
            </w:r>
          </w:p>
        </w:tc>
        <w:tc>
          <w:tcPr>
            <w:tcW w:w="57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12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683"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81" w:type="dxa"/>
            <w:vMerge w:val="continue"/>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75" w:type="dxa"/>
            <w:vMerge w:val="continue"/>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543" w:type="dxa"/>
            <w:vMerge w:val="continue"/>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59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346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当年警服采购完成率</w:t>
            </w:r>
          </w:p>
        </w:tc>
        <w:tc>
          <w:tcPr>
            <w:tcW w:w="998" w:type="dxa"/>
            <w:tcBorders>
              <w:top w:val="single" w:color="auto" w:sz="4" w:space="0"/>
              <w:left w:val="nil"/>
              <w:bottom w:val="nil"/>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694"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质量达标率达100%，则得满分，每低于1%，扣除5%权重分，扣完为止。</w:t>
            </w:r>
          </w:p>
        </w:tc>
        <w:tc>
          <w:tcPr>
            <w:tcW w:w="57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12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683"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81" w:type="dxa"/>
            <w:vMerge w:val="continue"/>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75" w:type="dxa"/>
            <w:vMerge w:val="continue"/>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543" w:type="dxa"/>
            <w:vMerge w:val="continue"/>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59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346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警用被装按标准配备率</w:t>
            </w:r>
          </w:p>
        </w:tc>
        <w:tc>
          <w:tcPr>
            <w:tcW w:w="99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4694"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质量达标率达100%，则得满分，每低于1%，扣除5%权重分，扣完为止。</w:t>
            </w:r>
          </w:p>
        </w:tc>
        <w:tc>
          <w:tcPr>
            <w:tcW w:w="57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12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5" w:hRule="atLeast"/>
        </w:trPr>
        <w:tc>
          <w:tcPr>
            <w:tcW w:w="68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81"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产出时效</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（5分）</w:t>
            </w:r>
          </w:p>
        </w:tc>
        <w:tc>
          <w:tcPr>
            <w:tcW w:w="8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完成及时率</w:t>
            </w:r>
          </w:p>
        </w:tc>
        <w:tc>
          <w:tcPr>
            <w:tcW w:w="543"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59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346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各项目是否均按照计划、文件批复等相关规定及时完成，用以反映和考核项目产出时效目标的实现程度多个项目计算完成及时率=及时完成的项目数/计划项目数*100%</w:t>
            </w:r>
          </w:p>
        </w:tc>
        <w:tc>
          <w:tcPr>
            <w:tcW w:w="99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4694"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项目完成及时率达100%，则得满分，每低于1%，扣除5%权重分，扣完为止。</w:t>
            </w:r>
          </w:p>
        </w:tc>
        <w:tc>
          <w:tcPr>
            <w:tcW w:w="57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12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25" w:hRule="atLeast"/>
        </w:trPr>
        <w:tc>
          <w:tcPr>
            <w:tcW w:w="68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效益</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（40分）</w:t>
            </w:r>
          </w:p>
        </w:tc>
        <w:tc>
          <w:tcPr>
            <w:tcW w:w="98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社会效益</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（25分）</w:t>
            </w:r>
          </w:p>
        </w:tc>
        <w:tc>
          <w:tcPr>
            <w:tcW w:w="8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社会效益</w:t>
            </w:r>
          </w:p>
        </w:tc>
        <w:tc>
          <w:tcPr>
            <w:tcW w:w="543" w:type="dxa"/>
            <w:tcBorders>
              <w:top w:val="nil"/>
              <w:left w:val="nil"/>
              <w:bottom w:val="nil"/>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596"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25</w:t>
            </w:r>
          </w:p>
        </w:tc>
        <w:tc>
          <w:tcPr>
            <w:tcW w:w="346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加强了司法队伍正规化建设，规范了司法机关人民警察着装管理，树立了人民警察良好形象。</w:t>
            </w:r>
          </w:p>
        </w:tc>
        <w:tc>
          <w:tcPr>
            <w:tcW w:w="998"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4694"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效益总分与产出总分挂钩。如产出总得分率为90%（含）-100%，则项目效益得分按×产出得分率计算；产出得分率80%（含）-90%，则项目效益按80%计算；产出得分率60%（含）-80%，则项目效益按60%计算；产出得分率小于60%，则项目效益不得分。</w:t>
            </w:r>
          </w:p>
        </w:tc>
        <w:tc>
          <w:tcPr>
            <w:tcW w:w="57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25</w:t>
            </w:r>
          </w:p>
        </w:tc>
        <w:tc>
          <w:tcPr>
            <w:tcW w:w="12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68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81" w:type="dxa"/>
            <w:tcBorders>
              <w:top w:val="nil"/>
              <w:left w:val="nil"/>
              <w:bottom w:val="nil"/>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可持续</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影响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（7分）</w:t>
            </w:r>
          </w:p>
        </w:tc>
        <w:tc>
          <w:tcPr>
            <w:tcW w:w="8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项目发展机制可持续性</w:t>
            </w:r>
          </w:p>
        </w:tc>
        <w:tc>
          <w:tcPr>
            <w:tcW w:w="54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59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7</w:t>
            </w:r>
          </w:p>
        </w:tc>
        <w:tc>
          <w:tcPr>
            <w:tcW w:w="346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考察项目运转是否形成了可持续发展的机制。</w:t>
            </w:r>
          </w:p>
        </w:tc>
        <w:tc>
          <w:tcPr>
            <w:tcW w:w="998"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4694"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项目运转形成了可持续发展的机制，是指明确管理机构，明确职责、人员分工、管理制度措施则得满分，少一项则扣除25%的权重分。</w:t>
            </w:r>
          </w:p>
        </w:tc>
        <w:tc>
          <w:tcPr>
            <w:tcW w:w="57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7</w:t>
            </w:r>
          </w:p>
        </w:tc>
        <w:tc>
          <w:tcPr>
            <w:tcW w:w="12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68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8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满意度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（8分）</w:t>
            </w:r>
          </w:p>
        </w:tc>
        <w:tc>
          <w:tcPr>
            <w:tcW w:w="8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被服使用人</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满意度</w:t>
            </w:r>
          </w:p>
        </w:tc>
        <w:tc>
          <w:tcPr>
            <w:tcW w:w="543"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59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8</w:t>
            </w:r>
          </w:p>
        </w:tc>
        <w:tc>
          <w:tcPr>
            <w:tcW w:w="346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考察被服使用人对项目实施效果的满意程度。</w:t>
            </w:r>
          </w:p>
        </w:tc>
        <w:tc>
          <w:tcPr>
            <w:tcW w:w="99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宋体" w:hAnsi="宋体" w:cs="宋体"/>
                <w:color w:val="000000"/>
                <w:kern w:val="0"/>
                <w:sz w:val="22"/>
                <w:szCs w:val="22"/>
              </w:rPr>
              <w:t>≥</w:t>
            </w:r>
            <w:r>
              <w:rPr>
                <w:rFonts w:hint="eastAsia" w:ascii="仿宋_GB2312" w:hAnsi="Tahoma" w:eastAsia="仿宋_GB2312" w:cs="仿宋_GB2312"/>
                <w:color w:val="000000"/>
                <w:kern w:val="0"/>
                <w:sz w:val="22"/>
                <w:szCs w:val="22"/>
              </w:rPr>
              <w:t>95%</w:t>
            </w:r>
          </w:p>
        </w:tc>
        <w:tc>
          <w:tcPr>
            <w:tcW w:w="4694"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被服使用人满意度达95%，则得满分，每降低1%，扣除5%权重分。（b根据历史数据、绩效目标、考核目标等确定，通常不低于80%，若低于则需作出说明；若项目存在潜在受益服务对象，应同时对其进行满意度打分。）</w:t>
            </w:r>
          </w:p>
        </w:tc>
        <w:tc>
          <w:tcPr>
            <w:tcW w:w="57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8</w:t>
            </w:r>
          </w:p>
        </w:tc>
        <w:tc>
          <w:tcPr>
            <w:tcW w:w="12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3082"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合计</w:t>
            </w:r>
          </w:p>
        </w:tc>
        <w:tc>
          <w:tcPr>
            <w:tcW w:w="59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100</w:t>
            </w:r>
          </w:p>
        </w:tc>
        <w:tc>
          <w:tcPr>
            <w:tcW w:w="346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99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469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57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99.2</w:t>
            </w:r>
          </w:p>
        </w:tc>
        <w:tc>
          <w:tcPr>
            <w:tcW w:w="12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99.20%</w:t>
            </w:r>
          </w:p>
        </w:tc>
      </w:tr>
    </w:tbl>
    <w:p>
      <w:pPr>
        <w:spacing w:after="305" w:afterLines="50" w:line="600" w:lineRule="exact"/>
        <w:rPr>
          <w:rFonts w:ascii="方正小标宋简体" w:hAnsi="方正小标宋简体" w:eastAsia="方正小标宋简体" w:cs="方正小标宋简体"/>
          <w:sz w:val="24"/>
        </w:rPr>
        <w:sectPr>
          <w:pgSz w:w="16783" w:h="23757"/>
          <w:pgMar w:top="1701" w:right="1077" w:bottom="1701" w:left="1077" w:header="0" w:footer="1418" w:gutter="0"/>
          <w:cols w:space="720" w:num="1"/>
          <w:docGrid w:type="linesAndChars" w:linePitch="610" w:charSpace="-849"/>
        </w:sectPr>
      </w:pPr>
    </w:p>
    <w:tbl>
      <w:tblPr>
        <w:tblStyle w:val="15"/>
        <w:tblW w:w="14659"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11"/>
        <w:gridCol w:w="1021"/>
        <w:gridCol w:w="912"/>
        <w:gridCol w:w="565"/>
        <w:gridCol w:w="620"/>
        <w:gridCol w:w="4230"/>
        <w:gridCol w:w="1732"/>
        <w:gridCol w:w="3482"/>
        <w:gridCol w:w="420"/>
        <w:gridCol w:w="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13273" w:type="dxa"/>
            <w:gridSpan w:val="8"/>
            <w:tcBorders>
              <w:top w:val="nil"/>
              <w:left w:val="nil"/>
              <w:bottom w:val="nil"/>
              <w:right w:val="nil"/>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Cs w:val="32"/>
              </w:rPr>
            </w:pPr>
            <w:r>
              <w:rPr>
                <w:rFonts w:hint="eastAsia" w:ascii="仿宋_GB2312" w:hAnsi="Tahoma" w:eastAsia="仿宋_GB2312" w:cs="仿宋_GB2312"/>
                <w:b/>
                <w:color w:val="000000"/>
                <w:kern w:val="0"/>
                <w:szCs w:val="32"/>
              </w:rPr>
              <w:t>法律职业资格考试费项目支出绩效评价指标体系</w:t>
            </w:r>
          </w:p>
        </w:tc>
        <w:tc>
          <w:tcPr>
            <w:tcW w:w="420"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c>
          <w:tcPr>
            <w:tcW w:w="966"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8059" w:type="dxa"/>
            <w:gridSpan w:val="6"/>
            <w:tcBorders>
              <w:top w:val="nil"/>
              <w:left w:val="nil"/>
              <w:bottom w:val="single" w:color="auto" w:sz="4" w:space="0"/>
              <w:right w:val="nil"/>
            </w:tcBorders>
            <w:tcMar>
              <w:top w:w="15" w:type="dxa"/>
              <w:left w:w="15" w:type="dxa"/>
              <w:right w:w="15" w:type="dxa"/>
            </w:tcMar>
            <w:vAlign w:val="center"/>
          </w:tcPr>
          <w:p>
            <w:pPr>
              <w:widowControl/>
              <w:jc w:val="left"/>
              <w:textAlignment w:val="center"/>
              <w:rPr>
                <w:rFonts w:ascii="仿宋_GB2312" w:hAnsi="Tahoma" w:eastAsia="仿宋_GB2312" w:cs="仿宋_GB2312"/>
                <w:b/>
                <w:color w:val="000000"/>
                <w:sz w:val="24"/>
              </w:rPr>
            </w:pPr>
            <w:r>
              <w:rPr>
                <w:rFonts w:hint="eastAsia" w:ascii="仿宋_GB2312" w:hAnsi="Tahoma" w:eastAsia="仿宋_GB2312" w:cs="仿宋_GB2312"/>
                <w:b/>
                <w:color w:val="000000"/>
                <w:kern w:val="0"/>
                <w:sz w:val="24"/>
              </w:rPr>
              <w:t>项目单位：青岛市司法局</w:t>
            </w:r>
          </w:p>
        </w:tc>
        <w:tc>
          <w:tcPr>
            <w:tcW w:w="1732" w:type="dxa"/>
            <w:tcBorders>
              <w:top w:val="nil"/>
              <w:left w:val="nil"/>
              <w:bottom w:val="nil"/>
              <w:right w:val="nil"/>
            </w:tcBorders>
            <w:tcMar>
              <w:top w:w="15" w:type="dxa"/>
              <w:left w:w="15" w:type="dxa"/>
              <w:right w:w="15" w:type="dxa"/>
            </w:tcMar>
            <w:vAlign w:val="center"/>
          </w:tcPr>
          <w:p>
            <w:pPr>
              <w:jc w:val="center"/>
              <w:rPr>
                <w:rFonts w:ascii="仿宋_GB2312" w:hAnsi="Tahoma" w:eastAsia="仿宋_GB2312" w:cs="仿宋_GB2312"/>
                <w:b/>
                <w:color w:val="000000"/>
                <w:szCs w:val="32"/>
              </w:rPr>
            </w:pPr>
          </w:p>
        </w:tc>
        <w:tc>
          <w:tcPr>
            <w:tcW w:w="3482" w:type="dxa"/>
            <w:tcBorders>
              <w:top w:val="nil"/>
              <w:left w:val="nil"/>
              <w:bottom w:val="nil"/>
              <w:right w:val="nil"/>
            </w:tcBorders>
            <w:tcMar>
              <w:top w:w="15" w:type="dxa"/>
              <w:left w:w="15" w:type="dxa"/>
              <w:right w:w="15" w:type="dxa"/>
            </w:tcMar>
            <w:vAlign w:val="center"/>
          </w:tcPr>
          <w:p>
            <w:pPr>
              <w:jc w:val="center"/>
              <w:rPr>
                <w:rFonts w:ascii="仿宋_GB2312" w:hAnsi="Tahoma" w:eastAsia="仿宋_GB2312" w:cs="仿宋_GB2312"/>
                <w:b/>
                <w:color w:val="000000"/>
                <w:szCs w:val="32"/>
              </w:rPr>
            </w:pPr>
          </w:p>
        </w:tc>
        <w:tc>
          <w:tcPr>
            <w:tcW w:w="420"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c>
          <w:tcPr>
            <w:tcW w:w="966"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711" w:type="dxa"/>
            <w:tcBorders>
              <w:top w:val="nil"/>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一级</w:t>
            </w:r>
            <w:r>
              <w:rPr>
                <w:rFonts w:hint="eastAsia" w:ascii="仿宋_GB2312" w:hAnsi="Tahoma" w:eastAsia="仿宋_GB2312" w:cs="仿宋_GB2312"/>
                <w:b/>
                <w:color w:val="000000"/>
                <w:kern w:val="0"/>
                <w:sz w:val="22"/>
                <w:szCs w:val="22"/>
              </w:rPr>
              <w:br/>
            </w:r>
            <w:r>
              <w:rPr>
                <w:rFonts w:hint="eastAsia" w:ascii="仿宋_GB2312" w:hAnsi="Tahoma" w:eastAsia="仿宋_GB2312" w:cs="仿宋_GB2312"/>
                <w:b/>
                <w:color w:val="000000"/>
                <w:kern w:val="0"/>
                <w:sz w:val="22"/>
                <w:szCs w:val="22"/>
              </w:rPr>
              <w:t>指标</w:t>
            </w:r>
          </w:p>
        </w:tc>
        <w:tc>
          <w:tcPr>
            <w:tcW w:w="1021"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二级指标</w:t>
            </w:r>
          </w:p>
        </w:tc>
        <w:tc>
          <w:tcPr>
            <w:tcW w:w="912"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三级指标</w:t>
            </w:r>
          </w:p>
        </w:tc>
        <w:tc>
          <w:tcPr>
            <w:tcW w:w="56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四级指标</w:t>
            </w:r>
          </w:p>
        </w:tc>
        <w:tc>
          <w:tcPr>
            <w:tcW w:w="6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权重</w:t>
            </w:r>
          </w:p>
        </w:tc>
        <w:tc>
          <w:tcPr>
            <w:tcW w:w="423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指标解释</w:t>
            </w:r>
          </w:p>
        </w:tc>
        <w:tc>
          <w:tcPr>
            <w:tcW w:w="1732"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标杆值</w:t>
            </w:r>
          </w:p>
        </w:tc>
        <w:tc>
          <w:tcPr>
            <w:tcW w:w="3482"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评分标准</w:t>
            </w:r>
          </w:p>
        </w:tc>
        <w:tc>
          <w:tcPr>
            <w:tcW w:w="4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得分</w:t>
            </w:r>
          </w:p>
        </w:tc>
        <w:tc>
          <w:tcPr>
            <w:tcW w:w="96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0" w:hRule="atLeast"/>
        </w:trPr>
        <w:tc>
          <w:tcPr>
            <w:tcW w:w="71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决策</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（10分）</w:t>
            </w:r>
          </w:p>
        </w:tc>
        <w:tc>
          <w:tcPr>
            <w:tcW w:w="102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项目立项（2分）</w:t>
            </w:r>
          </w:p>
        </w:tc>
        <w:tc>
          <w:tcPr>
            <w:tcW w:w="91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立项依据</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充分性</w:t>
            </w:r>
          </w:p>
        </w:tc>
        <w:tc>
          <w:tcPr>
            <w:tcW w:w="56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423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项目立项是否符合法律法规、相关政策、发展规划以及部门职责，用以反映和考核项目立项依据情况。</w:t>
            </w:r>
          </w:p>
        </w:tc>
        <w:tc>
          <w:tcPr>
            <w:tcW w:w="173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充分</w:t>
            </w:r>
          </w:p>
        </w:tc>
        <w:tc>
          <w:tcPr>
            <w:tcW w:w="3482"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①项目立项是否符合国家法律法规、国民经济发展规划和相关政策；</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②项目立项是否符合行业发展规划和政策要求；</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③项目立项是否与部门职责范围相符，属于部门履职所需；</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④项目是否属于公共财政支持范围，是否符合中央、地方事权支出责任划分原则；</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⑤项目是否与相关部门同类项目或部门内部相关项目不重复。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5项各占1/5权重分，每有一项不满足，则扣除相应权重分。</w:t>
            </w:r>
          </w:p>
        </w:tc>
        <w:tc>
          <w:tcPr>
            <w:tcW w:w="4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96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71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2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1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立项程序</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规范性</w:t>
            </w:r>
          </w:p>
        </w:tc>
        <w:tc>
          <w:tcPr>
            <w:tcW w:w="56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423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项目的申请、设立过程是否符合相关要求，用以反映和考核项目立项的规范情况。</w:t>
            </w:r>
          </w:p>
        </w:tc>
        <w:tc>
          <w:tcPr>
            <w:tcW w:w="173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规范</w:t>
            </w:r>
          </w:p>
        </w:tc>
        <w:tc>
          <w:tcPr>
            <w:tcW w:w="3482"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①项目按照规定的程序申请设立；</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②所提交的文件、材料符合相关要求；</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③事前已经过必要的可行性研究、专家论证、风险评估、绩效评估、集体决策等。</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若①②③齐全得权重100%；如不符合①得0分；缺②扣权重1/3；缺③扣权重1/3。</w:t>
            </w:r>
          </w:p>
        </w:tc>
        <w:tc>
          <w:tcPr>
            <w:tcW w:w="4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96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71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2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绩效目标（4分）</w:t>
            </w:r>
          </w:p>
        </w:tc>
        <w:tc>
          <w:tcPr>
            <w:tcW w:w="91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绩效目标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合理性</w:t>
            </w:r>
          </w:p>
        </w:tc>
        <w:tc>
          <w:tcPr>
            <w:tcW w:w="56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423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项目所设定的绩效目标是否依据充分，是否符合客观实际，用以反映和考核项目绩效目标与项目实施的相符情况。</w:t>
            </w:r>
          </w:p>
        </w:tc>
        <w:tc>
          <w:tcPr>
            <w:tcW w:w="173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合理</w:t>
            </w:r>
          </w:p>
        </w:tc>
        <w:tc>
          <w:tcPr>
            <w:tcW w:w="3482"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①项目有绩效目标；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②项目绩效目标与实际工作内容具有相关性；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③项目预期产出效益和效果符合正常的业绩水平；</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④绩效目标与预算确定的项目投资额或资金量相匹配。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w:t>
            </w:r>
          </w:p>
        </w:tc>
        <w:tc>
          <w:tcPr>
            <w:tcW w:w="4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96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45" w:hRule="atLeast"/>
        </w:trPr>
        <w:tc>
          <w:tcPr>
            <w:tcW w:w="71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2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1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绩效指标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明确性</w:t>
            </w:r>
          </w:p>
        </w:tc>
        <w:tc>
          <w:tcPr>
            <w:tcW w:w="56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423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依据绩效目标设定的绩效指标是否清晰、细化、可衡量等，用以反映和考核项目绩效目标的明细化情况。</w:t>
            </w:r>
          </w:p>
        </w:tc>
        <w:tc>
          <w:tcPr>
            <w:tcW w:w="173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明确</w:t>
            </w:r>
          </w:p>
        </w:tc>
        <w:tc>
          <w:tcPr>
            <w:tcW w:w="3482"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①将项目绩效目标细化分解为具体的绩效指标；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②指标值清晰、可衡量；</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③指标值与项目年度任务数或计划数相对应。</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3项各占1/3权重分，每有一项不满足，则扣除相应权重分。</w:t>
            </w:r>
          </w:p>
        </w:tc>
        <w:tc>
          <w:tcPr>
            <w:tcW w:w="4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96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70" w:hRule="atLeast"/>
        </w:trPr>
        <w:tc>
          <w:tcPr>
            <w:tcW w:w="71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2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资金投入（4分）</w:t>
            </w:r>
          </w:p>
        </w:tc>
        <w:tc>
          <w:tcPr>
            <w:tcW w:w="91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预算编制</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科学性</w:t>
            </w:r>
          </w:p>
        </w:tc>
        <w:tc>
          <w:tcPr>
            <w:tcW w:w="56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423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项目预算编制是否经过科学论证、有明确标准，资金额度与年度目标是否相适应，用以反映和考核项目预算编制的科学性、合理性情况。</w:t>
            </w:r>
          </w:p>
        </w:tc>
        <w:tc>
          <w:tcPr>
            <w:tcW w:w="173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科学</w:t>
            </w:r>
          </w:p>
        </w:tc>
        <w:tc>
          <w:tcPr>
            <w:tcW w:w="3482"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①预算编制经过科学论证；</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②预算内容与项目内容匹配；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③预算额度测算依据充分，按照标准编制；</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④预算确定的项目投资额或资金量与工作任务相匹配。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w:t>
            </w:r>
          </w:p>
        </w:tc>
        <w:tc>
          <w:tcPr>
            <w:tcW w:w="4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96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71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2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1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资金分配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合理性</w:t>
            </w:r>
          </w:p>
        </w:tc>
        <w:tc>
          <w:tcPr>
            <w:tcW w:w="56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423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考察项目资金分配是否有测算依据，预算安排内容与专项资金的设立目的及年度工作重点是否一致，用以反映和考核项目预算资金分配的科学性、合理性。</w:t>
            </w:r>
          </w:p>
        </w:tc>
        <w:tc>
          <w:tcPr>
            <w:tcW w:w="173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合理</w:t>
            </w:r>
          </w:p>
        </w:tc>
        <w:tc>
          <w:tcPr>
            <w:tcW w:w="3482"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①项目资金分配有测算依据得1/2权重分；</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②根据预算安排内容与专项资金的设立目的及年度工作重点的匹配程度判断，分别得年度剩余权重的100%、75%、50%、25%和0%。</w:t>
            </w:r>
          </w:p>
        </w:tc>
        <w:tc>
          <w:tcPr>
            <w:tcW w:w="4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96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60" w:hRule="atLeast"/>
        </w:trPr>
        <w:tc>
          <w:tcPr>
            <w:tcW w:w="71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过程</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（25分）</w:t>
            </w:r>
          </w:p>
        </w:tc>
        <w:tc>
          <w:tcPr>
            <w:tcW w:w="102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资金管理（8分）</w:t>
            </w:r>
          </w:p>
        </w:tc>
        <w:tc>
          <w:tcPr>
            <w:tcW w:w="91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资金到位率</w:t>
            </w:r>
          </w:p>
        </w:tc>
        <w:tc>
          <w:tcPr>
            <w:tcW w:w="56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423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实际到位资金与预算资金的比率，用以反映和考核上年度资金落实情况对项目实施的总体保障程度。资金到位率=（实际到位资金/预算资金）*100%。</w:t>
            </w:r>
          </w:p>
        </w:tc>
        <w:tc>
          <w:tcPr>
            <w:tcW w:w="173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3482"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资金到位率达100%得相应权重的100%，每下降1%扣5%权重，扣完相应权重为止。</w:t>
            </w:r>
          </w:p>
        </w:tc>
        <w:tc>
          <w:tcPr>
            <w:tcW w:w="4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96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71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2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1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预算执行率</w:t>
            </w:r>
          </w:p>
        </w:tc>
        <w:tc>
          <w:tcPr>
            <w:tcW w:w="56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423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项目预算资金是否按照计划执行，用以反映或考核项目预算执行情况。预算执行率=（实际支出金额/实际到位资金）×100%。</w:t>
            </w:r>
          </w:p>
        </w:tc>
        <w:tc>
          <w:tcPr>
            <w:tcW w:w="173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3482"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①已完成的项目，预算执行率100%得满分，每降低1%扣5%权重分，扣完为止。②实施期项目，预算执行率与项目当年实施进度相匹配，预算执行率与项目实际完成率相比较，每偏离1%扣5%权重，扣完相应权重为止。</w:t>
            </w:r>
          </w:p>
        </w:tc>
        <w:tc>
          <w:tcPr>
            <w:tcW w:w="4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96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0" w:hRule="atLeast"/>
        </w:trPr>
        <w:tc>
          <w:tcPr>
            <w:tcW w:w="71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2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1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资金使用</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合规性</w:t>
            </w:r>
          </w:p>
        </w:tc>
        <w:tc>
          <w:tcPr>
            <w:tcW w:w="56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423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项目资金使用是否符合相关的财务管理制度规定，用以反映和考核项目资金的规范运行情况。</w:t>
            </w:r>
          </w:p>
        </w:tc>
        <w:tc>
          <w:tcPr>
            <w:tcW w:w="173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合规</w:t>
            </w:r>
          </w:p>
        </w:tc>
        <w:tc>
          <w:tcPr>
            <w:tcW w:w="3482"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①符合国家财经法规和财务管理制度以及有关专项资金管理办法的规定；</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②资金的拨付有完整的审批程序和手续；</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③符合项目预算批复或合同规定的用途；</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④不存在截留、挤占、挪用、虚列支出等情况。</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4项全部符合视为使用合规，得满分；存在①或③或④不满足时属于严重违规事项，本项指标不得分；在①③④同时符合，②不符合时，本项指标得75%权重分；</w:t>
            </w:r>
          </w:p>
        </w:tc>
        <w:tc>
          <w:tcPr>
            <w:tcW w:w="4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96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5" w:hRule="atLeast"/>
        </w:trPr>
        <w:tc>
          <w:tcPr>
            <w:tcW w:w="71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2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组织实施（17分）</w:t>
            </w:r>
            <w:r>
              <w:rPr>
                <w:rFonts w:ascii="Arial" w:hAnsi="Arial" w:eastAsia="仿宋_GB2312" w:cs="Arial"/>
                <w:color w:val="000000"/>
                <w:kern w:val="0"/>
                <w:sz w:val="22"/>
                <w:szCs w:val="22"/>
              </w:rPr>
              <w:t> </w:t>
            </w:r>
          </w:p>
        </w:tc>
        <w:tc>
          <w:tcPr>
            <w:tcW w:w="91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xml:space="preserve"> 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健全性</w:t>
            </w:r>
          </w:p>
        </w:tc>
        <w:tc>
          <w:tcPr>
            <w:tcW w:w="56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423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项目实施单位的管理制度是否健全，是否已制定或具有相应的财务和业务管理制度，财务和业务管理制度是否合法、合规、完整。用以反映和考核财务和业务管理制度对项目顺利实施的保障情况。</w:t>
            </w:r>
          </w:p>
        </w:tc>
        <w:tc>
          <w:tcPr>
            <w:tcW w:w="173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健全</w:t>
            </w:r>
          </w:p>
        </w:tc>
        <w:tc>
          <w:tcPr>
            <w:tcW w:w="3482"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①制定或具有相应的财务管理制度；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②制定或具有相应的业务管理制度；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③财务管理制度合法、合规、完整；</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④业务管理制度合法、合规、完整。</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4项各占1/4权重分，每有一项不满足，则扣除相应权重分。（需根据实际情况细化制度和修改权重比）</w:t>
            </w:r>
          </w:p>
        </w:tc>
        <w:tc>
          <w:tcPr>
            <w:tcW w:w="4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96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5" w:hRule="atLeast"/>
        </w:trPr>
        <w:tc>
          <w:tcPr>
            <w:tcW w:w="71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2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1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绩效管理有效性</w:t>
            </w:r>
          </w:p>
        </w:tc>
        <w:tc>
          <w:tcPr>
            <w:tcW w:w="56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423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上年度绩效评价结果应用于预算安排、政策调整和改进管理情况、本次自评和评价资料报送情况。</w:t>
            </w:r>
          </w:p>
        </w:tc>
        <w:tc>
          <w:tcPr>
            <w:tcW w:w="173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有效</w:t>
            </w:r>
          </w:p>
        </w:tc>
        <w:tc>
          <w:tcPr>
            <w:tcW w:w="3482"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①本次自评、部门评价资料报送及时性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②本次自评、部门评价资料完整性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③上年度评价结果应用情况</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3项各占1/3权重分，每有一项不满足，则扣除相应权重分。（需根据实际情况细化制度和修改权重比）</w:t>
            </w:r>
          </w:p>
        </w:tc>
        <w:tc>
          <w:tcPr>
            <w:tcW w:w="4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96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18" w:hRule="atLeast"/>
        </w:trPr>
        <w:tc>
          <w:tcPr>
            <w:tcW w:w="71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2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1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制度执行</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有效性</w:t>
            </w:r>
          </w:p>
        </w:tc>
        <w:tc>
          <w:tcPr>
            <w:tcW w:w="56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423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项目实施是否符合相关管理规定，用以反映和考核相关管理制度的有效执行情况。</w:t>
            </w:r>
          </w:p>
        </w:tc>
        <w:tc>
          <w:tcPr>
            <w:tcW w:w="173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有效</w:t>
            </w:r>
          </w:p>
        </w:tc>
        <w:tc>
          <w:tcPr>
            <w:tcW w:w="3482"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①遵守相关法律法规和相关管理规定；</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②项目调整及支出调整手续完备；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③项目合同书、验收报告、技术鉴定等资料齐全并及时归档；</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④项目实施的人员条件、场地设备、信息支撑等落实到位。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4项各占1/4权重分，每有一项不满足，则扣除相应权重分。（需根据实际情况细化制度和修改权重比）</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一票否决事项：在巡视巡查、监督检查、审计等工作中发现评价期项目存在问题，本项不得分。</w:t>
            </w:r>
          </w:p>
        </w:tc>
        <w:tc>
          <w:tcPr>
            <w:tcW w:w="4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96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5" w:hRule="atLeast"/>
        </w:trPr>
        <w:tc>
          <w:tcPr>
            <w:tcW w:w="71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(25分)</w:t>
            </w:r>
          </w:p>
        </w:tc>
        <w:tc>
          <w:tcPr>
            <w:tcW w:w="1021"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产出数量（5分）</w:t>
            </w:r>
          </w:p>
        </w:tc>
        <w:tc>
          <w:tcPr>
            <w:tcW w:w="91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实际完成率</w:t>
            </w:r>
          </w:p>
        </w:tc>
        <w:tc>
          <w:tcPr>
            <w:tcW w:w="565"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423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主客观题考试人数</w:t>
            </w:r>
          </w:p>
        </w:tc>
        <w:tc>
          <w:tcPr>
            <w:tcW w:w="1732"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6000 人</w:t>
            </w:r>
          </w:p>
        </w:tc>
        <w:tc>
          <w:tcPr>
            <w:tcW w:w="3482"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项目完成及时率达100%，则得满分，每低于1%，扣除5%权重分，扣完为止。</w:t>
            </w:r>
          </w:p>
        </w:tc>
        <w:tc>
          <w:tcPr>
            <w:tcW w:w="4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96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trPr>
        <w:tc>
          <w:tcPr>
            <w:tcW w:w="71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2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产出质量（5分）</w:t>
            </w:r>
          </w:p>
        </w:tc>
        <w:tc>
          <w:tcPr>
            <w:tcW w:w="91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质量达标率</w:t>
            </w:r>
          </w:p>
        </w:tc>
        <w:tc>
          <w:tcPr>
            <w:tcW w:w="565" w:type="dxa"/>
            <w:tcBorders>
              <w:top w:val="single" w:color="auto" w:sz="4" w:space="0"/>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7</w:t>
            </w:r>
          </w:p>
        </w:tc>
        <w:tc>
          <w:tcPr>
            <w:tcW w:w="423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考生机位准备率</w:t>
            </w:r>
          </w:p>
        </w:tc>
        <w:tc>
          <w:tcPr>
            <w:tcW w:w="173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3482"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质量达标率达100%，则得满分，每低于1%，扣除5%权重分，扣完为止。</w:t>
            </w:r>
          </w:p>
        </w:tc>
        <w:tc>
          <w:tcPr>
            <w:tcW w:w="4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7</w:t>
            </w:r>
          </w:p>
        </w:tc>
        <w:tc>
          <w:tcPr>
            <w:tcW w:w="96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5" w:hRule="atLeast"/>
        </w:trPr>
        <w:tc>
          <w:tcPr>
            <w:tcW w:w="711"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2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产出时效</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（5分）</w:t>
            </w:r>
          </w:p>
        </w:tc>
        <w:tc>
          <w:tcPr>
            <w:tcW w:w="91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完成及时率</w:t>
            </w:r>
          </w:p>
        </w:tc>
        <w:tc>
          <w:tcPr>
            <w:tcW w:w="5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42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十月下旬客观题考试，十一月下旬主观题考试</w:t>
            </w:r>
          </w:p>
        </w:tc>
        <w:tc>
          <w:tcPr>
            <w:tcW w:w="17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3天</w:t>
            </w:r>
          </w:p>
        </w:tc>
        <w:tc>
          <w:tcPr>
            <w:tcW w:w="3482"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项目完成及时率达100%，则得满分，每低于1%，扣除5%权重分，扣完为止。</w:t>
            </w:r>
          </w:p>
        </w:tc>
        <w:tc>
          <w:tcPr>
            <w:tcW w:w="4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96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711"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2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产出成本</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（5分）</w:t>
            </w:r>
          </w:p>
        </w:tc>
        <w:tc>
          <w:tcPr>
            <w:tcW w:w="91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成本节约率</w:t>
            </w:r>
          </w:p>
        </w:tc>
        <w:tc>
          <w:tcPr>
            <w:tcW w:w="56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42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考试单人成本控制</w:t>
            </w:r>
          </w:p>
        </w:tc>
        <w:tc>
          <w:tcPr>
            <w:tcW w:w="17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xml:space="preserve"> ≤   20 元/人</w:t>
            </w:r>
          </w:p>
        </w:tc>
        <w:tc>
          <w:tcPr>
            <w:tcW w:w="3482"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成本节约率大于0%且低于15%，则得满分，每高于（15%）或低于（0%）1%，扣除5%权重分，扣完为止。</w:t>
            </w:r>
          </w:p>
        </w:tc>
        <w:tc>
          <w:tcPr>
            <w:tcW w:w="4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0</w:t>
            </w:r>
          </w:p>
        </w:tc>
        <w:tc>
          <w:tcPr>
            <w:tcW w:w="96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0" w:hRule="atLeast"/>
        </w:trPr>
        <w:tc>
          <w:tcPr>
            <w:tcW w:w="71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效益</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（40分）</w:t>
            </w:r>
          </w:p>
        </w:tc>
        <w:tc>
          <w:tcPr>
            <w:tcW w:w="10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社会效益</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（25分）</w:t>
            </w:r>
          </w:p>
        </w:tc>
        <w:tc>
          <w:tcPr>
            <w:tcW w:w="91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社会效益</w:t>
            </w:r>
          </w:p>
        </w:tc>
        <w:tc>
          <w:tcPr>
            <w:tcW w:w="565" w:type="dxa"/>
            <w:tcBorders>
              <w:top w:val="nil"/>
              <w:left w:val="nil"/>
              <w:bottom w:val="nil"/>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20"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25</w:t>
            </w:r>
          </w:p>
        </w:tc>
        <w:tc>
          <w:tcPr>
            <w:tcW w:w="423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组织实施了年度国家统一法律职业资格考试工作，确保了考区的硬件设施达标要求，为青岛考区全面完成省厅工作任务和实“零失误、零差错”创造了必要条件，考试工作顺利圆满。</w:t>
            </w:r>
          </w:p>
        </w:tc>
        <w:tc>
          <w:tcPr>
            <w:tcW w:w="1732"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3482"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效益总分与产出总分挂钩。如产出总得分率为90%（含）-100%，则项目效益得分按×产出得分率计算；产出得分率80%（含）-90%，则项目效益按80%计算；产出得分率60%（含）-80%，则项目效益按60%计算；产出得分率小于60%，则项目效益不得分。</w:t>
            </w:r>
          </w:p>
        </w:tc>
        <w:tc>
          <w:tcPr>
            <w:tcW w:w="4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15</w:t>
            </w:r>
          </w:p>
        </w:tc>
        <w:tc>
          <w:tcPr>
            <w:tcW w:w="96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71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21"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可持续</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影响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（7分）</w:t>
            </w:r>
          </w:p>
        </w:tc>
        <w:tc>
          <w:tcPr>
            <w:tcW w:w="91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项目发展机制可持续性</w:t>
            </w:r>
          </w:p>
        </w:tc>
        <w:tc>
          <w:tcPr>
            <w:tcW w:w="56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7</w:t>
            </w:r>
          </w:p>
        </w:tc>
        <w:tc>
          <w:tcPr>
            <w:tcW w:w="423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考察项目运转是否形成了可持续发展的机制。</w:t>
            </w:r>
          </w:p>
        </w:tc>
        <w:tc>
          <w:tcPr>
            <w:tcW w:w="173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3482"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项目运转形成了可持续发展的机制，是指明确管理机构，明确职责、人员分工、管理制度措施则得满分，少一项则扣除25%的权重分。</w:t>
            </w:r>
          </w:p>
        </w:tc>
        <w:tc>
          <w:tcPr>
            <w:tcW w:w="4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7</w:t>
            </w:r>
          </w:p>
        </w:tc>
        <w:tc>
          <w:tcPr>
            <w:tcW w:w="96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0" w:hRule="atLeast"/>
        </w:trPr>
        <w:tc>
          <w:tcPr>
            <w:tcW w:w="71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2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满意度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（8分）</w:t>
            </w:r>
          </w:p>
        </w:tc>
        <w:tc>
          <w:tcPr>
            <w:tcW w:w="91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考生</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满意度</w:t>
            </w:r>
          </w:p>
        </w:tc>
        <w:tc>
          <w:tcPr>
            <w:tcW w:w="56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8</w:t>
            </w:r>
          </w:p>
        </w:tc>
        <w:tc>
          <w:tcPr>
            <w:tcW w:w="423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考生对项目实施效果的满意程度。</w:t>
            </w:r>
          </w:p>
        </w:tc>
        <w:tc>
          <w:tcPr>
            <w:tcW w:w="173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宋体" w:hAnsi="宋体" w:cs="宋体"/>
                <w:color w:val="000000"/>
                <w:kern w:val="0"/>
                <w:sz w:val="22"/>
                <w:szCs w:val="22"/>
              </w:rPr>
              <w:t>≥</w:t>
            </w:r>
            <w:r>
              <w:rPr>
                <w:rFonts w:hint="eastAsia" w:ascii="仿宋_GB2312" w:hAnsi="Tahoma" w:eastAsia="仿宋_GB2312" w:cs="仿宋_GB2312"/>
                <w:color w:val="000000"/>
                <w:kern w:val="0"/>
                <w:sz w:val="22"/>
                <w:szCs w:val="22"/>
              </w:rPr>
              <w:t>90%</w:t>
            </w:r>
          </w:p>
        </w:tc>
        <w:tc>
          <w:tcPr>
            <w:tcW w:w="3482"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考生满意度达≥90%，则得满分，每降低1%，扣除5%权重分。。）</w:t>
            </w:r>
          </w:p>
        </w:tc>
        <w:tc>
          <w:tcPr>
            <w:tcW w:w="4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8</w:t>
            </w:r>
          </w:p>
        </w:tc>
        <w:tc>
          <w:tcPr>
            <w:tcW w:w="96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3209"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合计</w:t>
            </w:r>
          </w:p>
        </w:tc>
        <w:tc>
          <w:tcPr>
            <w:tcW w:w="6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100</w:t>
            </w:r>
          </w:p>
        </w:tc>
        <w:tc>
          <w:tcPr>
            <w:tcW w:w="423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173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348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4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84</w:t>
            </w:r>
          </w:p>
        </w:tc>
        <w:tc>
          <w:tcPr>
            <w:tcW w:w="96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84.00%</w:t>
            </w:r>
          </w:p>
        </w:tc>
      </w:tr>
    </w:tbl>
    <w:p>
      <w:pPr>
        <w:spacing w:after="305" w:afterLines="50" w:line="600" w:lineRule="exact"/>
        <w:rPr>
          <w:rFonts w:ascii="方正小标宋简体" w:hAnsi="方正小标宋简体" w:eastAsia="方正小标宋简体" w:cs="方正小标宋简体"/>
          <w:sz w:val="24"/>
        </w:rPr>
        <w:sectPr>
          <w:pgSz w:w="16783" w:h="23757"/>
          <w:pgMar w:top="1701" w:right="1077" w:bottom="1701" w:left="1077" w:header="0" w:footer="1418" w:gutter="0"/>
          <w:cols w:space="720" w:num="1"/>
          <w:docGrid w:type="linesAndChars" w:linePitch="610" w:charSpace="-849"/>
        </w:sectPr>
      </w:pPr>
    </w:p>
    <w:tbl>
      <w:tblPr>
        <w:tblStyle w:val="15"/>
        <w:tblW w:w="14659"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1"/>
        <w:gridCol w:w="1079"/>
        <w:gridCol w:w="963"/>
        <w:gridCol w:w="597"/>
        <w:gridCol w:w="655"/>
        <w:gridCol w:w="4469"/>
        <w:gridCol w:w="1002"/>
        <w:gridCol w:w="3679"/>
        <w:gridCol w:w="443"/>
        <w:gridCol w:w="1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13195" w:type="dxa"/>
            <w:gridSpan w:val="8"/>
            <w:tcBorders>
              <w:top w:val="nil"/>
              <w:left w:val="nil"/>
              <w:bottom w:val="nil"/>
              <w:right w:val="nil"/>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Cs w:val="32"/>
              </w:rPr>
            </w:pPr>
            <w:r>
              <w:rPr>
                <w:rFonts w:hint="eastAsia" w:ascii="仿宋_GB2312" w:hAnsi="Tahoma" w:eastAsia="仿宋_GB2312" w:cs="仿宋_GB2312"/>
                <w:b/>
                <w:color w:val="000000"/>
                <w:kern w:val="0"/>
                <w:szCs w:val="32"/>
              </w:rPr>
              <w:t>普法人民监督员涉法涉诉专项经费绩效评价指标体系</w:t>
            </w:r>
          </w:p>
        </w:tc>
        <w:tc>
          <w:tcPr>
            <w:tcW w:w="443"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c>
          <w:tcPr>
            <w:tcW w:w="1021"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8514" w:type="dxa"/>
            <w:gridSpan w:val="6"/>
            <w:tcBorders>
              <w:top w:val="nil"/>
              <w:left w:val="nil"/>
              <w:bottom w:val="single" w:color="auto" w:sz="4" w:space="0"/>
              <w:right w:val="nil"/>
            </w:tcBorders>
            <w:tcMar>
              <w:top w:w="15" w:type="dxa"/>
              <w:left w:w="15" w:type="dxa"/>
              <w:right w:w="15" w:type="dxa"/>
            </w:tcMar>
            <w:vAlign w:val="center"/>
          </w:tcPr>
          <w:p>
            <w:pPr>
              <w:widowControl/>
              <w:jc w:val="left"/>
              <w:textAlignment w:val="center"/>
              <w:rPr>
                <w:rFonts w:ascii="仿宋_GB2312" w:hAnsi="Tahoma" w:eastAsia="仿宋_GB2312" w:cs="仿宋_GB2312"/>
                <w:b/>
                <w:color w:val="000000"/>
                <w:sz w:val="24"/>
              </w:rPr>
            </w:pPr>
            <w:r>
              <w:rPr>
                <w:rFonts w:hint="eastAsia" w:ascii="仿宋_GB2312" w:hAnsi="Tahoma" w:eastAsia="仿宋_GB2312" w:cs="仿宋_GB2312"/>
                <w:b/>
                <w:color w:val="000000"/>
                <w:kern w:val="0"/>
                <w:sz w:val="24"/>
              </w:rPr>
              <w:t>项目单位：青岛市司法局</w:t>
            </w:r>
          </w:p>
        </w:tc>
        <w:tc>
          <w:tcPr>
            <w:tcW w:w="1002" w:type="dxa"/>
            <w:tcBorders>
              <w:top w:val="nil"/>
              <w:left w:val="nil"/>
              <w:bottom w:val="nil"/>
              <w:right w:val="nil"/>
            </w:tcBorders>
            <w:tcMar>
              <w:top w:w="15" w:type="dxa"/>
              <w:left w:w="15" w:type="dxa"/>
              <w:right w:w="15" w:type="dxa"/>
            </w:tcMar>
            <w:vAlign w:val="center"/>
          </w:tcPr>
          <w:p>
            <w:pPr>
              <w:jc w:val="center"/>
              <w:rPr>
                <w:rFonts w:ascii="仿宋_GB2312" w:hAnsi="Tahoma" w:eastAsia="仿宋_GB2312" w:cs="仿宋_GB2312"/>
                <w:b/>
                <w:color w:val="000000"/>
                <w:szCs w:val="32"/>
              </w:rPr>
            </w:pPr>
          </w:p>
        </w:tc>
        <w:tc>
          <w:tcPr>
            <w:tcW w:w="3679" w:type="dxa"/>
            <w:tcBorders>
              <w:top w:val="nil"/>
              <w:left w:val="nil"/>
              <w:bottom w:val="nil"/>
              <w:right w:val="nil"/>
            </w:tcBorders>
            <w:tcMar>
              <w:top w:w="15" w:type="dxa"/>
              <w:left w:w="15" w:type="dxa"/>
              <w:right w:w="15" w:type="dxa"/>
            </w:tcMar>
            <w:vAlign w:val="center"/>
          </w:tcPr>
          <w:p>
            <w:pPr>
              <w:jc w:val="center"/>
              <w:rPr>
                <w:rFonts w:ascii="仿宋_GB2312" w:hAnsi="Tahoma" w:eastAsia="仿宋_GB2312" w:cs="仿宋_GB2312"/>
                <w:b/>
                <w:color w:val="000000"/>
                <w:szCs w:val="32"/>
              </w:rPr>
            </w:pPr>
          </w:p>
        </w:tc>
        <w:tc>
          <w:tcPr>
            <w:tcW w:w="443"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c>
          <w:tcPr>
            <w:tcW w:w="1021"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751" w:type="dxa"/>
            <w:tcBorders>
              <w:top w:val="nil"/>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一级</w:t>
            </w:r>
            <w:r>
              <w:rPr>
                <w:rFonts w:hint="eastAsia" w:ascii="仿宋_GB2312" w:hAnsi="Tahoma" w:eastAsia="仿宋_GB2312" w:cs="仿宋_GB2312"/>
                <w:b/>
                <w:color w:val="000000"/>
                <w:kern w:val="0"/>
                <w:sz w:val="22"/>
                <w:szCs w:val="22"/>
              </w:rPr>
              <w:br/>
            </w:r>
            <w:r>
              <w:rPr>
                <w:rFonts w:hint="eastAsia" w:ascii="仿宋_GB2312" w:hAnsi="Tahoma" w:eastAsia="仿宋_GB2312" w:cs="仿宋_GB2312"/>
                <w:b/>
                <w:color w:val="000000"/>
                <w:kern w:val="0"/>
                <w:sz w:val="22"/>
                <w:szCs w:val="22"/>
              </w:rPr>
              <w:t>指标</w:t>
            </w:r>
          </w:p>
        </w:tc>
        <w:tc>
          <w:tcPr>
            <w:tcW w:w="1079"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二级指标</w:t>
            </w:r>
          </w:p>
        </w:tc>
        <w:tc>
          <w:tcPr>
            <w:tcW w:w="963"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三级指标</w:t>
            </w:r>
          </w:p>
        </w:tc>
        <w:tc>
          <w:tcPr>
            <w:tcW w:w="597"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四级指标</w:t>
            </w:r>
          </w:p>
        </w:tc>
        <w:tc>
          <w:tcPr>
            <w:tcW w:w="65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权重</w:t>
            </w:r>
          </w:p>
        </w:tc>
        <w:tc>
          <w:tcPr>
            <w:tcW w:w="4469"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指标解释</w:t>
            </w:r>
          </w:p>
        </w:tc>
        <w:tc>
          <w:tcPr>
            <w:tcW w:w="1002"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标杆值</w:t>
            </w:r>
          </w:p>
        </w:tc>
        <w:tc>
          <w:tcPr>
            <w:tcW w:w="3679"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评分标准</w:t>
            </w:r>
          </w:p>
        </w:tc>
        <w:tc>
          <w:tcPr>
            <w:tcW w:w="44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得分</w:t>
            </w:r>
          </w:p>
        </w:tc>
        <w:tc>
          <w:tcPr>
            <w:tcW w:w="102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80" w:hRule="atLeast"/>
        </w:trPr>
        <w:tc>
          <w:tcPr>
            <w:tcW w:w="75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决策</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（10分）</w:t>
            </w:r>
          </w:p>
        </w:tc>
        <w:tc>
          <w:tcPr>
            <w:tcW w:w="1079"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项目立项（2分）</w:t>
            </w:r>
          </w:p>
        </w:tc>
        <w:tc>
          <w:tcPr>
            <w:tcW w:w="96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立项依据</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充分性</w:t>
            </w:r>
          </w:p>
        </w:tc>
        <w:tc>
          <w:tcPr>
            <w:tcW w:w="59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446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项目立项是否符合法律法规、相关政策、发展规划以及部门职责，用以反映和考核项目立项依据情况。</w:t>
            </w:r>
          </w:p>
        </w:tc>
        <w:tc>
          <w:tcPr>
            <w:tcW w:w="100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充分</w:t>
            </w:r>
          </w:p>
        </w:tc>
        <w:tc>
          <w:tcPr>
            <w:tcW w:w="367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①项目立项是否符合国家法律法规、国民经济发展规划和相关政策；</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②项目立项是否符合行业发展规划和政策要求；</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③项目立项是否与部门职责范围相符，属于部门履职所需；</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④项目是否属于公共财政支持范围，是否符合中央、地方事权支出责任划分原则；</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⑤项目是否与相关部门同类项目或部门内部相关项目不重复。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5项各占1/5权重分，每有一项不满足，则扣除相应权重分。</w:t>
            </w:r>
          </w:p>
        </w:tc>
        <w:tc>
          <w:tcPr>
            <w:tcW w:w="4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10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75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79"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6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立项程序</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规范性</w:t>
            </w:r>
          </w:p>
        </w:tc>
        <w:tc>
          <w:tcPr>
            <w:tcW w:w="59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446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项目的申请、设立过程是否符合相关要求，用以反映和考核项目立项的规范情况。</w:t>
            </w:r>
          </w:p>
        </w:tc>
        <w:tc>
          <w:tcPr>
            <w:tcW w:w="100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规范</w:t>
            </w:r>
          </w:p>
        </w:tc>
        <w:tc>
          <w:tcPr>
            <w:tcW w:w="367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①项目按照规定的程序申请设立；</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②所提交的文件、材料符合相关要求；</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③事前已经过必要的可行性研究、专家论证、风险评估、绩效评估、集体决策等。</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若①②③齐全得权重100%；如不符合①得0分；缺②扣权重1/3；缺③扣权重1/3。</w:t>
            </w:r>
          </w:p>
        </w:tc>
        <w:tc>
          <w:tcPr>
            <w:tcW w:w="4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10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75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79"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绩效目标（4分）</w:t>
            </w:r>
          </w:p>
        </w:tc>
        <w:tc>
          <w:tcPr>
            <w:tcW w:w="96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绩效目标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合理性</w:t>
            </w:r>
          </w:p>
        </w:tc>
        <w:tc>
          <w:tcPr>
            <w:tcW w:w="59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446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项目所设定的绩效目标是否依据充分，是否符合客观实际，用以反映和考核项目绩效目标与项目实施的相符情况。</w:t>
            </w:r>
          </w:p>
        </w:tc>
        <w:tc>
          <w:tcPr>
            <w:tcW w:w="100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合理</w:t>
            </w:r>
          </w:p>
        </w:tc>
        <w:tc>
          <w:tcPr>
            <w:tcW w:w="367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①项目有绩效目标；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②项目绩效目标与实际工作内容具有相关性；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③项目预期产出效益和效果符合正常的业绩水平；</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④绩效目标与预算确定的项目投资额或资金量相匹配。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w:t>
            </w:r>
          </w:p>
        </w:tc>
        <w:tc>
          <w:tcPr>
            <w:tcW w:w="4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10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45" w:hRule="atLeast"/>
        </w:trPr>
        <w:tc>
          <w:tcPr>
            <w:tcW w:w="75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79"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6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绩效指标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明确性</w:t>
            </w:r>
          </w:p>
        </w:tc>
        <w:tc>
          <w:tcPr>
            <w:tcW w:w="59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446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依据绩效目标设定的绩效指标是否清晰、细化、可衡量等，用以反映和考核项目绩效目标的明细化情况。</w:t>
            </w:r>
          </w:p>
        </w:tc>
        <w:tc>
          <w:tcPr>
            <w:tcW w:w="100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明确</w:t>
            </w:r>
          </w:p>
        </w:tc>
        <w:tc>
          <w:tcPr>
            <w:tcW w:w="367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①将项目绩效目标细化分解为具体的绩效指标；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②指标值清晰、可衡量；</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③指标值与项目年度任务数或计划数相对应。</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3项各占1/3权重分，每有一项不满足，则扣除相应权重分。</w:t>
            </w:r>
          </w:p>
        </w:tc>
        <w:tc>
          <w:tcPr>
            <w:tcW w:w="4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10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5" w:hRule="atLeast"/>
        </w:trPr>
        <w:tc>
          <w:tcPr>
            <w:tcW w:w="75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79"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资金投入（4分）</w:t>
            </w:r>
          </w:p>
        </w:tc>
        <w:tc>
          <w:tcPr>
            <w:tcW w:w="96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预算编制</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科学性</w:t>
            </w:r>
          </w:p>
        </w:tc>
        <w:tc>
          <w:tcPr>
            <w:tcW w:w="59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446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项目预算编制是否经过科学论证、有明确标准，资金额度与年度目标是否相适应，用以反映和考核项目预算编制的科学性、合理性情况。</w:t>
            </w:r>
          </w:p>
        </w:tc>
        <w:tc>
          <w:tcPr>
            <w:tcW w:w="100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科学</w:t>
            </w:r>
          </w:p>
        </w:tc>
        <w:tc>
          <w:tcPr>
            <w:tcW w:w="367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①预算编制经过科学论证；</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②预算内容与项目内容匹配；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③预算额度测算依据充分，按照标准编制；</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④预算确定的项目投资额或资金量与工作任务相匹配。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w:t>
            </w:r>
          </w:p>
        </w:tc>
        <w:tc>
          <w:tcPr>
            <w:tcW w:w="4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10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2" w:hRule="atLeast"/>
        </w:trPr>
        <w:tc>
          <w:tcPr>
            <w:tcW w:w="75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79"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6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资金分配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合理性</w:t>
            </w:r>
          </w:p>
        </w:tc>
        <w:tc>
          <w:tcPr>
            <w:tcW w:w="59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446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考察项目资金分配是否有测算依据，预算安排内容与专项资金的设立目的及年度工作重点是否一致，用以反映和考核项目预算资金分配的科学性、合理性。</w:t>
            </w:r>
          </w:p>
        </w:tc>
        <w:tc>
          <w:tcPr>
            <w:tcW w:w="100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合理</w:t>
            </w:r>
          </w:p>
        </w:tc>
        <w:tc>
          <w:tcPr>
            <w:tcW w:w="367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①项目资金分配有测算依据得1/2权重分；</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②根据预算安排内容与专项资金的设立目的及年度工作重点的匹配程度判断，分别得年度剩余权重的100%、75%、50%、25%和0%。</w:t>
            </w:r>
          </w:p>
        </w:tc>
        <w:tc>
          <w:tcPr>
            <w:tcW w:w="4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10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0" w:hRule="atLeast"/>
        </w:trPr>
        <w:tc>
          <w:tcPr>
            <w:tcW w:w="75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过程</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（25分）</w:t>
            </w:r>
          </w:p>
        </w:tc>
        <w:tc>
          <w:tcPr>
            <w:tcW w:w="1079"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资金管理（8分）</w:t>
            </w:r>
          </w:p>
        </w:tc>
        <w:tc>
          <w:tcPr>
            <w:tcW w:w="96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资金到位率</w:t>
            </w:r>
          </w:p>
        </w:tc>
        <w:tc>
          <w:tcPr>
            <w:tcW w:w="59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446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实际到位资金与预算资金的比率，用以反映和考核上年度资金落实情况对项目实施的总体保障程度。资金到位率=（实际到位资金/预算资金）*100%。</w:t>
            </w:r>
          </w:p>
        </w:tc>
        <w:tc>
          <w:tcPr>
            <w:tcW w:w="100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367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资金到位率达100%得相应权重的100%，每下降1%扣5%权重，扣完相应权重为止。</w:t>
            </w:r>
          </w:p>
        </w:tc>
        <w:tc>
          <w:tcPr>
            <w:tcW w:w="4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10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75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79"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6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预算执行率</w:t>
            </w:r>
          </w:p>
        </w:tc>
        <w:tc>
          <w:tcPr>
            <w:tcW w:w="59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446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项目预算资金是否按照计划执行，用以反映或考核项目预算执行情况。预算执行率=（实际支出金额/实际到位资金）×100%。</w:t>
            </w:r>
          </w:p>
        </w:tc>
        <w:tc>
          <w:tcPr>
            <w:tcW w:w="100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367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①已完成的项目，预算执行率100%得满分，每降低1%扣5%权重分，扣完为止。②实施期项目，预算执行率与项目当年实施进度相匹配，预算执行率与项目实际完成率相比较，每偏离1%扣5%权重，扣完相应权重为止。</w:t>
            </w:r>
          </w:p>
        </w:tc>
        <w:tc>
          <w:tcPr>
            <w:tcW w:w="4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10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0" w:hRule="atLeast"/>
        </w:trPr>
        <w:tc>
          <w:tcPr>
            <w:tcW w:w="75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79"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6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资金使用</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合规性</w:t>
            </w:r>
          </w:p>
        </w:tc>
        <w:tc>
          <w:tcPr>
            <w:tcW w:w="59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446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项目资金使用是否符合相关的财务管理制度规定，用以反映和考核项目资金的规范运行情况。</w:t>
            </w:r>
          </w:p>
        </w:tc>
        <w:tc>
          <w:tcPr>
            <w:tcW w:w="100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合规</w:t>
            </w:r>
          </w:p>
        </w:tc>
        <w:tc>
          <w:tcPr>
            <w:tcW w:w="367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①符合国家财经法规和财务管理制度以及有关专项资金管理办法的规定；</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②资金的拨付有完整的审批程序和手续；</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③符合项目预算批复或合同规定的用途；</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④不存在截留、挤占、挪用、虚列支出等情况。</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4项全部符合视为使用合规，得满分；存在①或③或④不满足时属于严重违规事项，本项指标不得分；在①③④同时符合，②不符合时，本项指标得75%权重分；</w:t>
            </w:r>
          </w:p>
        </w:tc>
        <w:tc>
          <w:tcPr>
            <w:tcW w:w="4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10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5" w:hRule="atLeast"/>
        </w:trPr>
        <w:tc>
          <w:tcPr>
            <w:tcW w:w="75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79"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组织实施（17分）</w:t>
            </w:r>
            <w:r>
              <w:rPr>
                <w:rFonts w:ascii="Arial" w:hAnsi="Arial" w:eastAsia="仿宋_GB2312" w:cs="Arial"/>
                <w:color w:val="000000"/>
                <w:kern w:val="0"/>
                <w:sz w:val="22"/>
                <w:szCs w:val="22"/>
              </w:rPr>
              <w:t> </w:t>
            </w:r>
          </w:p>
        </w:tc>
        <w:tc>
          <w:tcPr>
            <w:tcW w:w="96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xml:space="preserve"> 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健全性</w:t>
            </w:r>
          </w:p>
        </w:tc>
        <w:tc>
          <w:tcPr>
            <w:tcW w:w="59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446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项目实施单位的管理制度是否健全，是否已制定或具有相应的财务和业务管理制度，财务和业务管理制度是否合法、合规、完整。用以反映和考核财务和业务管理制度对项目顺利实施的保障情况。</w:t>
            </w:r>
          </w:p>
        </w:tc>
        <w:tc>
          <w:tcPr>
            <w:tcW w:w="100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健全</w:t>
            </w:r>
          </w:p>
        </w:tc>
        <w:tc>
          <w:tcPr>
            <w:tcW w:w="367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①制定或具有相应的财务管理制度；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②制定或具有相应的业务管理制度；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③财务管理制度合法、合规、完整；</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④业务管理制度合法、合规、完整。</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4项各占1/4权重分，每有一项不满足，则扣除相应权重分。（需根据实际情况细化制度和修改权重比）</w:t>
            </w:r>
          </w:p>
        </w:tc>
        <w:tc>
          <w:tcPr>
            <w:tcW w:w="4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10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75" w:hRule="atLeast"/>
        </w:trPr>
        <w:tc>
          <w:tcPr>
            <w:tcW w:w="75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79"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6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绩效管理有效性</w:t>
            </w:r>
          </w:p>
        </w:tc>
        <w:tc>
          <w:tcPr>
            <w:tcW w:w="59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446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上年度绩效评价结果应用于预算安排、政策调整和改进管理情况、本次自评和评价资料报送情况。</w:t>
            </w:r>
          </w:p>
        </w:tc>
        <w:tc>
          <w:tcPr>
            <w:tcW w:w="100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有效</w:t>
            </w:r>
          </w:p>
        </w:tc>
        <w:tc>
          <w:tcPr>
            <w:tcW w:w="367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①本次自评、部门评价资料报送及时性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②本次自评、部门评价资料完整性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③上年度评价结果应用情况</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3项各占1/3权重分，每有一项不满足，则扣除相应权重分。（需根据实际情况细化制度和修改权重比）</w:t>
            </w:r>
          </w:p>
        </w:tc>
        <w:tc>
          <w:tcPr>
            <w:tcW w:w="4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10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5" w:hRule="atLeast"/>
        </w:trPr>
        <w:tc>
          <w:tcPr>
            <w:tcW w:w="75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79"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6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制度执行</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有效性</w:t>
            </w:r>
          </w:p>
        </w:tc>
        <w:tc>
          <w:tcPr>
            <w:tcW w:w="59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446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项目实施是否符合相关管理规定，用以反映和考核相关管理制度的有效执行情况。</w:t>
            </w:r>
          </w:p>
        </w:tc>
        <w:tc>
          <w:tcPr>
            <w:tcW w:w="100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有效</w:t>
            </w:r>
          </w:p>
        </w:tc>
        <w:tc>
          <w:tcPr>
            <w:tcW w:w="367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①遵守相关法律法规和相关管理规定；</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②项目调整及支出调整手续完备；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③项目合同书、验收报告、技术鉴定等资料齐全并及时归档；</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④项目实施的人员条件、场地设备、信息支撑等落实到位。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4项各占1/4权重分，每有一项不满足，则扣除相应权重分。（需根据实际情况细化制度和修改权重比）</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一票否决事项：在巡视巡查、监督检查、审计等工作中发现评价期项目存在问题，本项不得分。</w:t>
            </w:r>
          </w:p>
        </w:tc>
        <w:tc>
          <w:tcPr>
            <w:tcW w:w="4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10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75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(25分)</w:t>
            </w:r>
          </w:p>
        </w:tc>
        <w:tc>
          <w:tcPr>
            <w:tcW w:w="1079"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产出数量（13分）</w:t>
            </w:r>
          </w:p>
        </w:tc>
        <w:tc>
          <w:tcPr>
            <w:tcW w:w="963"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实际完成率</w:t>
            </w:r>
          </w:p>
        </w:tc>
        <w:tc>
          <w:tcPr>
            <w:tcW w:w="597"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7</w:t>
            </w:r>
          </w:p>
        </w:tc>
        <w:tc>
          <w:tcPr>
            <w:tcW w:w="446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通过各类媒体进行普法宣传，扩大普法宣传层面</w:t>
            </w:r>
          </w:p>
        </w:tc>
        <w:tc>
          <w:tcPr>
            <w:tcW w:w="1002"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  300 件</w:t>
            </w:r>
          </w:p>
        </w:tc>
        <w:tc>
          <w:tcPr>
            <w:tcW w:w="367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项目完成及时率达100%，则得满分，每低于1%，扣除5%权重分，扣完为止。</w:t>
            </w:r>
          </w:p>
        </w:tc>
        <w:tc>
          <w:tcPr>
            <w:tcW w:w="4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7</w:t>
            </w:r>
          </w:p>
        </w:tc>
        <w:tc>
          <w:tcPr>
            <w:tcW w:w="10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75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79"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63"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597" w:type="dxa"/>
            <w:tcBorders>
              <w:top w:val="single" w:color="auto" w:sz="4" w:space="0"/>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4469" w:type="dxa"/>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涉法涉诉律师参与案件数</w:t>
            </w:r>
          </w:p>
        </w:tc>
        <w:tc>
          <w:tcPr>
            <w:tcW w:w="1002"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  80 件</w:t>
            </w:r>
          </w:p>
        </w:tc>
        <w:tc>
          <w:tcPr>
            <w:tcW w:w="367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项目完成及时率达100%，则得满分，每低于1%，扣除5%权重分，扣完为止。</w:t>
            </w:r>
          </w:p>
        </w:tc>
        <w:tc>
          <w:tcPr>
            <w:tcW w:w="4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10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75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79"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产出质量（6分）</w:t>
            </w:r>
          </w:p>
        </w:tc>
        <w:tc>
          <w:tcPr>
            <w:tcW w:w="963"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质量达标率</w:t>
            </w:r>
          </w:p>
        </w:tc>
        <w:tc>
          <w:tcPr>
            <w:tcW w:w="597" w:type="dxa"/>
            <w:tcBorders>
              <w:top w:val="single" w:color="auto" w:sz="4" w:space="0"/>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4469" w:type="dxa"/>
            <w:tcBorders>
              <w:top w:val="single" w:color="auto" w:sz="4" w:space="0"/>
              <w:left w:val="nil"/>
              <w:bottom w:val="single" w:color="000000" w:sz="4" w:space="0"/>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全市普法宣传覆盖率</w:t>
            </w:r>
          </w:p>
        </w:tc>
        <w:tc>
          <w:tcPr>
            <w:tcW w:w="1002"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80 %</w:t>
            </w:r>
          </w:p>
        </w:tc>
        <w:tc>
          <w:tcPr>
            <w:tcW w:w="367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质量达标率达100%，则得满分，每低于1%，扣除5%权重分，扣完为止。</w:t>
            </w:r>
          </w:p>
        </w:tc>
        <w:tc>
          <w:tcPr>
            <w:tcW w:w="4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10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0" w:hRule="atLeast"/>
        </w:trPr>
        <w:tc>
          <w:tcPr>
            <w:tcW w:w="751"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7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时效指标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（6分）</w:t>
            </w:r>
          </w:p>
        </w:tc>
        <w:tc>
          <w:tcPr>
            <w:tcW w:w="96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完成及时率</w:t>
            </w:r>
          </w:p>
        </w:tc>
        <w:tc>
          <w:tcPr>
            <w:tcW w:w="59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5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446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涉法涉诉案件办案费发放率</w:t>
            </w:r>
          </w:p>
        </w:tc>
        <w:tc>
          <w:tcPr>
            <w:tcW w:w="100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3679"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项目完成及时率达100%，则得满分，每低于1%，扣除5%权重分，扣完为止。</w:t>
            </w:r>
          </w:p>
        </w:tc>
        <w:tc>
          <w:tcPr>
            <w:tcW w:w="4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10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5" w:hRule="atLeast"/>
        </w:trPr>
        <w:tc>
          <w:tcPr>
            <w:tcW w:w="75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效益</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（40分）</w:t>
            </w:r>
          </w:p>
        </w:tc>
        <w:tc>
          <w:tcPr>
            <w:tcW w:w="1079"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社会效益</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（25分）</w:t>
            </w:r>
          </w:p>
        </w:tc>
        <w:tc>
          <w:tcPr>
            <w:tcW w:w="96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社会效益</w:t>
            </w:r>
          </w:p>
        </w:tc>
        <w:tc>
          <w:tcPr>
            <w:tcW w:w="597" w:type="dxa"/>
            <w:tcBorders>
              <w:top w:val="nil"/>
              <w:left w:val="nil"/>
              <w:bottom w:val="nil"/>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55"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25</w:t>
            </w:r>
          </w:p>
        </w:tc>
        <w:tc>
          <w:tcPr>
            <w:tcW w:w="446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项目的开展，强化了社会主义法治文化建设和法治宣传阵地建设，满足了弱势群体和困难群众的司法需求,为困难当事人提供救助，保障了司法行政工作正常运行，在全市营造了浓厚的法治氛围，为我市的经济发展提供了和谐稳定的环境。</w:t>
            </w:r>
          </w:p>
        </w:tc>
        <w:tc>
          <w:tcPr>
            <w:tcW w:w="1002"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367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效益总分与产出总分挂钩。如产出总得分率为90%（含）-100%，则项目效益得分按×产出得分率计算；产出得分率80%（含）-90%，则项目效益按80%计算；产出得分率60%（含）-80%，则项目效益按60%计算；产出得分率小于60%，则项目效益不得分。</w:t>
            </w:r>
          </w:p>
        </w:tc>
        <w:tc>
          <w:tcPr>
            <w:tcW w:w="4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25</w:t>
            </w:r>
          </w:p>
        </w:tc>
        <w:tc>
          <w:tcPr>
            <w:tcW w:w="10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75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79"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可持续</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影响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（7分）</w:t>
            </w:r>
          </w:p>
        </w:tc>
        <w:tc>
          <w:tcPr>
            <w:tcW w:w="96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项目发展机制可持续性</w:t>
            </w:r>
          </w:p>
        </w:tc>
        <w:tc>
          <w:tcPr>
            <w:tcW w:w="59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5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7</w:t>
            </w:r>
          </w:p>
        </w:tc>
        <w:tc>
          <w:tcPr>
            <w:tcW w:w="446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考察项目运转是否形成了可持续发展的机制。</w:t>
            </w:r>
          </w:p>
        </w:tc>
        <w:tc>
          <w:tcPr>
            <w:tcW w:w="100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367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项目运转形成了可持续发展的机制，是指明确管理机构，明确职责、人员分工、管理制度措施则得满分，少一项则扣除25%的权重分。</w:t>
            </w:r>
          </w:p>
        </w:tc>
        <w:tc>
          <w:tcPr>
            <w:tcW w:w="4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7</w:t>
            </w:r>
          </w:p>
        </w:tc>
        <w:tc>
          <w:tcPr>
            <w:tcW w:w="10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5" w:hRule="atLeast"/>
        </w:trPr>
        <w:tc>
          <w:tcPr>
            <w:tcW w:w="75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7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满意度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（8分）</w:t>
            </w:r>
          </w:p>
        </w:tc>
        <w:tc>
          <w:tcPr>
            <w:tcW w:w="96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考生</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满意度</w:t>
            </w:r>
          </w:p>
        </w:tc>
        <w:tc>
          <w:tcPr>
            <w:tcW w:w="597"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8</w:t>
            </w:r>
          </w:p>
        </w:tc>
        <w:tc>
          <w:tcPr>
            <w:tcW w:w="446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考察服务对象对项目实施效果的满意程度。服务对象是指因该项目实施而受到影响的部门（单位）、群体或个人。一般采取社会调查的方式。</w:t>
            </w:r>
          </w:p>
        </w:tc>
        <w:tc>
          <w:tcPr>
            <w:tcW w:w="100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宋体" w:hAnsi="宋体" w:cs="宋体"/>
                <w:color w:val="000000"/>
                <w:kern w:val="0"/>
                <w:sz w:val="22"/>
                <w:szCs w:val="22"/>
              </w:rPr>
              <w:t>≥</w:t>
            </w:r>
            <w:r>
              <w:rPr>
                <w:rFonts w:hint="eastAsia" w:ascii="仿宋_GB2312" w:hAnsi="Tahoma" w:eastAsia="仿宋_GB2312" w:cs="仿宋_GB2312"/>
                <w:color w:val="000000"/>
                <w:kern w:val="0"/>
                <w:sz w:val="22"/>
                <w:szCs w:val="22"/>
              </w:rPr>
              <w:t>80%</w:t>
            </w:r>
          </w:p>
        </w:tc>
        <w:tc>
          <w:tcPr>
            <w:tcW w:w="367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服务对象满意度达b%，则得满分，每降低1%，扣除5%权重分。（b根据历史数据、绩效目标、考核目标等确定，通常不低于80%，若低于则需作出说明；若项目存在潜在受益服务对象，应同时对其进行满意度打分。）</w:t>
            </w:r>
          </w:p>
        </w:tc>
        <w:tc>
          <w:tcPr>
            <w:tcW w:w="4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8</w:t>
            </w:r>
          </w:p>
        </w:tc>
        <w:tc>
          <w:tcPr>
            <w:tcW w:w="10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3390"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合计</w:t>
            </w:r>
          </w:p>
        </w:tc>
        <w:tc>
          <w:tcPr>
            <w:tcW w:w="65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100</w:t>
            </w:r>
          </w:p>
        </w:tc>
        <w:tc>
          <w:tcPr>
            <w:tcW w:w="446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100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3679"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4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99</w:t>
            </w:r>
          </w:p>
        </w:tc>
        <w:tc>
          <w:tcPr>
            <w:tcW w:w="10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99.00%</w:t>
            </w:r>
          </w:p>
        </w:tc>
      </w:tr>
    </w:tbl>
    <w:p>
      <w:pPr>
        <w:spacing w:after="305" w:afterLines="50" w:line="600" w:lineRule="exact"/>
        <w:rPr>
          <w:rFonts w:ascii="方正小标宋简体" w:hAnsi="方正小标宋简体" w:eastAsia="方正小标宋简体" w:cs="方正小标宋简体"/>
          <w:sz w:val="24"/>
        </w:rPr>
        <w:sectPr>
          <w:pgSz w:w="16783" w:h="23757"/>
          <w:pgMar w:top="1701" w:right="1077" w:bottom="1701" w:left="1077" w:header="0" w:footer="1418" w:gutter="0"/>
          <w:cols w:space="720" w:num="1"/>
          <w:docGrid w:type="linesAndChars" w:linePitch="610" w:charSpace="-849"/>
        </w:sectPr>
      </w:pPr>
    </w:p>
    <w:tbl>
      <w:tblPr>
        <w:tblStyle w:val="15"/>
        <w:tblW w:w="14659"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038"/>
        <w:gridCol w:w="926"/>
        <w:gridCol w:w="575"/>
        <w:gridCol w:w="630"/>
        <w:gridCol w:w="4170"/>
        <w:gridCol w:w="704"/>
        <w:gridCol w:w="3539"/>
        <w:gridCol w:w="1372"/>
        <w:gridCol w:w="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12305" w:type="dxa"/>
            <w:gridSpan w:val="8"/>
            <w:tcBorders>
              <w:top w:val="nil"/>
              <w:left w:val="nil"/>
              <w:bottom w:val="nil"/>
              <w:right w:val="nil"/>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Cs w:val="32"/>
              </w:rPr>
            </w:pPr>
            <w:r>
              <w:rPr>
                <w:rFonts w:hint="eastAsia" w:ascii="仿宋_GB2312" w:hAnsi="Tahoma" w:eastAsia="仿宋_GB2312" w:cs="仿宋_GB2312"/>
                <w:b/>
                <w:color w:val="000000"/>
                <w:kern w:val="0"/>
                <w:szCs w:val="32"/>
              </w:rPr>
              <w:t>法律培训费绩效评价指标体系</w:t>
            </w:r>
          </w:p>
        </w:tc>
        <w:tc>
          <w:tcPr>
            <w:tcW w:w="1372"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c>
          <w:tcPr>
            <w:tcW w:w="982"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062" w:type="dxa"/>
            <w:gridSpan w:val="6"/>
            <w:tcBorders>
              <w:top w:val="nil"/>
              <w:left w:val="nil"/>
              <w:bottom w:val="single" w:color="auto" w:sz="4" w:space="0"/>
              <w:right w:val="nil"/>
            </w:tcBorders>
            <w:tcMar>
              <w:top w:w="15" w:type="dxa"/>
              <w:left w:w="15" w:type="dxa"/>
              <w:right w:w="15" w:type="dxa"/>
            </w:tcMar>
            <w:vAlign w:val="center"/>
          </w:tcPr>
          <w:p>
            <w:pPr>
              <w:widowControl/>
              <w:jc w:val="left"/>
              <w:textAlignment w:val="center"/>
              <w:rPr>
                <w:rFonts w:ascii="仿宋_GB2312" w:hAnsi="Tahoma" w:eastAsia="仿宋_GB2312" w:cs="仿宋_GB2312"/>
                <w:b/>
                <w:color w:val="000000"/>
                <w:sz w:val="24"/>
              </w:rPr>
            </w:pPr>
            <w:r>
              <w:rPr>
                <w:rFonts w:hint="eastAsia" w:ascii="仿宋_GB2312" w:hAnsi="Tahoma" w:eastAsia="仿宋_GB2312" w:cs="仿宋_GB2312"/>
                <w:b/>
                <w:color w:val="000000"/>
                <w:kern w:val="0"/>
                <w:sz w:val="24"/>
              </w:rPr>
              <w:t>项目单位：青岛市司法局</w:t>
            </w:r>
          </w:p>
        </w:tc>
        <w:tc>
          <w:tcPr>
            <w:tcW w:w="704" w:type="dxa"/>
            <w:tcBorders>
              <w:top w:val="nil"/>
              <w:left w:val="nil"/>
              <w:bottom w:val="nil"/>
              <w:right w:val="nil"/>
            </w:tcBorders>
            <w:tcMar>
              <w:top w:w="15" w:type="dxa"/>
              <w:left w:w="15" w:type="dxa"/>
              <w:right w:w="15" w:type="dxa"/>
            </w:tcMar>
            <w:vAlign w:val="center"/>
          </w:tcPr>
          <w:p>
            <w:pPr>
              <w:jc w:val="center"/>
              <w:rPr>
                <w:rFonts w:ascii="仿宋_GB2312" w:hAnsi="Tahoma" w:eastAsia="仿宋_GB2312" w:cs="仿宋_GB2312"/>
                <w:b/>
                <w:color w:val="000000"/>
                <w:szCs w:val="32"/>
              </w:rPr>
            </w:pPr>
          </w:p>
        </w:tc>
        <w:tc>
          <w:tcPr>
            <w:tcW w:w="3539" w:type="dxa"/>
            <w:tcBorders>
              <w:top w:val="nil"/>
              <w:left w:val="nil"/>
              <w:bottom w:val="nil"/>
              <w:right w:val="nil"/>
            </w:tcBorders>
            <w:tcMar>
              <w:top w:w="15" w:type="dxa"/>
              <w:left w:w="15" w:type="dxa"/>
              <w:right w:w="15" w:type="dxa"/>
            </w:tcMar>
            <w:vAlign w:val="center"/>
          </w:tcPr>
          <w:p>
            <w:pPr>
              <w:jc w:val="center"/>
              <w:rPr>
                <w:rFonts w:ascii="仿宋_GB2312" w:hAnsi="Tahoma" w:eastAsia="仿宋_GB2312" w:cs="仿宋_GB2312"/>
                <w:b/>
                <w:color w:val="000000"/>
                <w:szCs w:val="32"/>
              </w:rPr>
            </w:pPr>
          </w:p>
        </w:tc>
        <w:tc>
          <w:tcPr>
            <w:tcW w:w="1372"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c>
          <w:tcPr>
            <w:tcW w:w="982"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723" w:type="dxa"/>
            <w:tcBorders>
              <w:top w:val="nil"/>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一级</w:t>
            </w:r>
            <w:r>
              <w:rPr>
                <w:rFonts w:hint="eastAsia" w:ascii="仿宋_GB2312" w:hAnsi="Tahoma" w:eastAsia="仿宋_GB2312" w:cs="仿宋_GB2312"/>
                <w:b/>
                <w:color w:val="000000"/>
                <w:kern w:val="0"/>
                <w:sz w:val="22"/>
                <w:szCs w:val="22"/>
              </w:rPr>
              <w:br/>
            </w:r>
            <w:r>
              <w:rPr>
                <w:rFonts w:hint="eastAsia" w:ascii="仿宋_GB2312" w:hAnsi="Tahoma" w:eastAsia="仿宋_GB2312" w:cs="仿宋_GB2312"/>
                <w:b/>
                <w:color w:val="000000"/>
                <w:kern w:val="0"/>
                <w:sz w:val="22"/>
                <w:szCs w:val="22"/>
              </w:rPr>
              <w:t>指标</w:t>
            </w:r>
          </w:p>
        </w:tc>
        <w:tc>
          <w:tcPr>
            <w:tcW w:w="10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二级指标</w:t>
            </w:r>
          </w:p>
        </w:tc>
        <w:tc>
          <w:tcPr>
            <w:tcW w:w="926"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三级指标</w:t>
            </w:r>
          </w:p>
        </w:tc>
        <w:tc>
          <w:tcPr>
            <w:tcW w:w="57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四级指标</w:t>
            </w:r>
          </w:p>
        </w:tc>
        <w:tc>
          <w:tcPr>
            <w:tcW w:w="63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权重</w:t>
            </w:r>
          </w:p>
        </w:tc>
        <w:tc>
          <w:tcPr>
            <w:tcW w:w="417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指标解释</w:t>
            </w:r>
          </w:p>
        </w:tc>
        <w:tc>
          <w:tcPr>
            <w:tcW w:w="704"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标杆值</w:t>
            </w:r>
          </w:p>
        </w:tc>
        <w:tc>
          <w:tcPr>
            <w:tcW w:w="3539"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评分标准</w:t>
            </w:r>
          </w:p>
        </w:tc>
        <w:tc>
          <w:tcPr>
            <w:tcW w:w="13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得分</w:t>
            </w:r>
          </w:p>
        </w:tc>
        <w:tc>
          <w:tcPr>
            <w:tcW w:w="98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25" w:hRule="atLeast"/>
        </w:trPr>
        <w:tc>
          <w:tcPr>
            <w:tcW w:w="72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决策</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（10分）</w:t>
            </w:r>
          </w:p>
        </w:tc>
        <w:tc>
          <w:tcPr>
            <w:tcW w:w="1038"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项目立项（2分）</w:t>
            </w:r>
          </w:p>
        </w:tc>
        <w:tc>
          <w:tcPr>
            <w:tcW w:w="92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立项依据</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充分性</w:t>
            </w:r>
          </w:p>
        </w:tc>
        <w:tc>
          <w:tcPr>
            <w:tcW w:w="5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41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项目立项是否符合法律法规、相关政策、发展规划以及部门职责，用以反映和考核项目立项依据情况。</w:t>
            </w:r>
          </w:p>
        </w:tc>
        <w:tc>
          <w:tcPr>
            <w:tcW w:w="70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充分</w:t>
            </w:r>
          </w:p>
        </w:tc>
        <w:tc>
          <w:tcPr>
            <w:tcW w:w="353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①项目立项是否符合国家法律法规、国民经济发展规划和相关政策；</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②项目立项是否符合行业发展规划和政策要求；</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③项目立项是否与部门职责范围相符，属于部门履职所需；</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④项目是否属于公共财政支持范围，是否符合中央、地方事权支出责任划分原则；</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⑤项目是否与相关部门同类项目或部门内部相关项目不重复。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5项各占1/5权重分，每有一项不满足，则扣除相应权重分。</w:t>
            </w:r>
          </w:p>
        </w:tc>
        <w:tc>
          <w:tcPr>
            <w:tcW w:w="137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98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72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2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立项程序</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规范性</w:t>
            </w:r>
          </w:p>
        </w:tc>
        <w:tc>
          <w:tcPr>
            <w:tcW w:w="5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41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项目的申请、设立过程是否符合相关要求，用以反映和考核项目立项的规范情况。</w:t>
            </w:r>
          </w:p>
        </w:tc>
        <w:tc>
          <w:tcPr>
            <w:tcW w:w="70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规范</w:t>
            </w:r>
          </w:p>
        </w:tc>
        <w:tc>
          <w:tcPr>
            <w:tcW w:w="353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①项目按照规定的程序申请设立；</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②所提交的文件、材料符合相关要求；</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③事前已经过必要的可行性研究、专家论证、风险评估、绩效评估、集体决策等。</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若①②③齐全得权重100%；如不符合①得0分；缺②扣权重1/3；缺③扣权重1/3。</w:t>
            </w:r>
          </w:p>
        </w:tc>
        <w:tc>
          <w:tcPr>
            <w:tcW w:w="137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98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72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8"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绩效目标（4分）</w:t>
            </w:r>
          </w:p>
        </w:tc>
        <w:tc>
          <w:tcPr>
            <w:tcW w:w="92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绩效目标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合理性</w:t>
            </w:r>
          </w:p>
        </w:tc>
        <w:tc>
          <w:tcPr>
            <w:tcW w:w="5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41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项目所设定的绩效目标是否依据充分，是否符合客观实际，用以反映和考核项目绩效目标与项目实施的相符情况。</w:t>
            </w:r>
          </w:p>
        </w:tc>
        <w:tc>
          <w:tcPr>
            <w:tcW w:w="70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合理</w:t>
            </w:r>
          </w:p>
        </w:tc>
        <w:tc>
          <w:tcPr>
            <w:tcW w:w="353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①项目有绩效目标；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②项目绩效目标与实际工作内容具有相关性；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③项目预期产出效益和效果符合正常的业绩水平；</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④绩效目标与预算确定的项目投资额或资金量相匹配。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w:t>
            </w:r>
          </w:p>
        </w:tc>
        <w:tc>
          <w:tcPr>
            <w:tcW w:w="137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1.7</w:t>
            </w:r>
          </w:p>
        </w:tc>
        <w:tc>
          <w:tcPr>
            <w:tcW w:w="98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45" w:hRule="atLeast"/>
        </w:trPr>
        <w:tc>
          <w:tcPr>
            <w:tcW w:w="72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2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绩效指标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明确性</w:t>
            </w:r>
          </w:p>
        </w:tc>
        <w:tc>
          <w:tcPr>
            <w:tcW w:w="5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41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依据绩效目标设定的绩效指标是否清晰、细化、可衡量等，用以反映和考核项目绩效目标的明细化情况。</w:t>
            </w:r>
          </w:p>
        </w:tc>
        <w:tc>
          <w:tcPr>
            <w:tcW w:w="70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明确</w:t>
            </w:r>
          </w:p>
        </w:tc>
        <w:tc>
          <w:tcPr>
            <w:tcW w:w="353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①将项目绩效目标细化分解为具体的绩效指标；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②指标值清晰、可衡量；</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③指标值与项目年度任务数或计划数相对应。</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3项各占1/3权重分，每有一项不满足，则扣除相应权重分。</w:t>
            </w:r>
          </w:p>
        </w:tc>
        <w:tc>
          <w:tcPr>
            <w:tcW w:w="137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98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45" w:hRule="atLeast"/>
        </w:trPr>
        <w:tc>
          <w:tcPr>
            <w:tcW w:w="72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8"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资金投入（4分）</w:t>
            </w:r>
          </w:p>
        </w:tc>
        <w:tc>
          <w:tcPr>
            <w:tcW w:w="92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预算编制</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科学性</w:t>
            </w:r>
          </w:p>
        </w:tc>
        <w:tc>
          <w:tcPr>
            <w:tcW w:w="5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41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项目预算编制是否经过科学论证、有明确标准，资金额度与年度目标是否相适应，用以反映和考核项目预算编制的科学性、合理性情况。</w:t>
            </w:r>
          </w:p>
        </w:tc>
        <w:tc>
          <w:tcPr>
            <w:tcW w:w="70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科学</w:t>
            </w:r>
          </w:p>
        </w:tc>
        <w:tc>
          <w:tcPr>
            <w:tcW w:w="353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①预算编制经过科学论证；</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②预算内容与项目内容匹配；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③预算额度测算依据充分，按照标准编制；</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④预算确定的项目投资额或资金量与工作任务相匹配。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w:t>
            </w:r>
          </w:p>
        </w:tc>
        <w:tc>
          <w:tcPr>
            <w:tcW w:w="137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98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2" w:hRule="atLeast"/>
        </w:trPr>
        <w:tc>
          <w:tcPr>
            <w:tcW w:w="72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2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资金分配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合理性</w:t>
            </w:r>
          </w:p>
        </w:tc>
        <w:tc>
          <w:tcPr>
            <w:tcW w:w="5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41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考察项目资金分配是否有测算依据，预算安排内容与专项资金的设立目的及年度工作重点是否一致，用以反映和考核项目预算资金分配的科学性、合理性。</w:t>
            </w:r>
          </w:p>
        </w:tc>
        <w:tc>
          <w:tcPr>
            <w:tcW w:w="70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合理</w:t>
            </w:r>
          </w:p>
        </w:tc>
        <w:tc>
          <w:tcPr>
            <w:tcW w:w="353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①项目资金分配有测算依据得1/2权重分；</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②根据预算安排内容与专项资金的设立目的及年度工作重点的匹配程度判断，分别得年度剩余权重的100%、75%、50%、25%和0%。</w:t>
            </w:r>
          </w:p>
        </w:tc>
        <w:tc>
          <w:tcPr>
            <w:tcW w:w="137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98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0" w:hRule="atLeast"/>
        </w:trPr>
        <w:tc>
          <w:tcPr>
            <w:tcW w:w="72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过程</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（25分）</w:t>
            </w:r>
          </w:p>
        </w:tc>
        <w:tc>
          <w:tcPr>
            <w:tcW w:w="1038"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资金管理（8分）</w:t>
            </w:r>
          </w:p>
        </w:tc>
        <w:tc>
          <w:tcPr>
            <w:tcW w:w="92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资金到位率</w:t>
            </w:r>
          </w:p>
        </w:tc>
        <w:tc>
          <w:tcPr>
            <w:tcW w:w="5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41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实际到位资金与预算资金的比率，用以反映和考核上年度资金落实情况对项目实施的总体保障程度。资金到位率=（实际到位资金/预算资金）*100%。</w:t>
            </w:r>
          </w:p>
        </w:tc>
        <w:tc>
          <w:tcPr>
            <w:tcW w:w="70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353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资金到位率达100%得相应权重的100%，每下降1%扣5%权重，扣完相应权重为止。</w:t>
            </w:r>
          </w:p>
        </w:tc>
        <w:tc>
          <w:tcPr>
            <w:tcW w:w="137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98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5" w:hRule="atLeast"/>
        </w:trPr>
        <w:tc>
          <w:tcPr>
            <w:tcW w:w="72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2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预算执行率</w:t>
            </w:r>
          </w:p>
        </w:tc>
        <w:tc>
          <w:tcPr>
            <w:tcW w:w="5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41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项目预算资金是否按照计划执行，用以反映或考核项目预算执行情况。预算执行率=（实际支出金额/实际到位资金）×100%。</w:t>
            </w:r>
          </w:p>
        </w:tc>
        <w:tc>
          <w:tcPr>
            <w:tcW w:w="70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353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①已完成的项目，预算执行率100%得满分，每降低1%扣5%权重分，扣完为止。②实施期项目，预算执行率与项目当年实施进度相匹配，预算执行率与项目实际完成率相比较，每偏离1%扣5%权重，扣完相应权重为止。</w:t>
            </w:r>
          </w:p>
        </w:tc>
        <w:tc>
          <w:tcPr>
            <w:tcW w:w="137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3</w:t>
            </w:r>
          </w:p>
        </w:tc>
        <w:tc>
          <w:tcPr>
            <w:tcW w:w="98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0" w:hRule="atLeast"/>
        </w:trPr>
        <w:tc>
          <w:tcPr>
            <w:tcW w:w="72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2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资金使用</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合规性</w:t>
            </w:r>
          </w:p>
        </w:tc>
        <w:tc>
          <w:tcPr>
            <w:tcW w:w="5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41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项目资金使用是否符合相关的财务管理制度规定，用以反映和考核项目资金的规范运行情况。</w:t>
            </w:r>
          </w:p>
        </w:tc>
        <w:tc>
          <w:tcPr>
            <w:tcW w:w="70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合规</w:t>
            </w:r>
          </w:p>
        </w:tc>
        <w:tc>
          <w:tcPr>
            <w:tcW w:w="353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①符合国家财经法规和财务管理制度以及有关专项资金管理办法的规定；</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②资金的拨付有完整的审批程序和手续；</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③符合项目预算批复或合同规定的用途；</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④不存在截留、挤占、挪用、虚列支出等情况。</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4项全部符合视为使用合规，得满分；存在①或③或④不满足时属于严重违规事项，本项指标不得分；在①③④同时符合，②不符合时，本项指标得75%权重分；</w:t>
            </w:r>
          </w:p>
        </w:tc>
        <w:tc>
          <w:tcPr>
            <w:tcW w:w="137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98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5" w:hRule="atLeast"/>
        </w:trPr>
        <w:tc>
          <w:tcPr>
            <w:tcW w:w="72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8"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组织实施（17分）</w:t>
            </w:r>
            <w:r>
              <w:rPr>
                <w:rFonts w:ascii="Arial" w:hAnsi="Arial" w:eastAsia="仿宋_GB2312" w:cs="Arial"/>
                <w:color w:val="000000"/>
                <w:kern w:val="0"/>
                <w:sz w:val="22"/>
                <w:szCs w:val="22"/>
              </w:rPr>
              <w:t> </w:t>
            </w:r>
          </w:p>
        </w:tc>
        <w:tc>
          <w:tcPr>
            <w:tcW w:w="92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xml:space="preserve"> 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健全性</w:t>
            </w:r>
          </w:p>
        </w:tc>
        <w:tc>
          <w:tcPr>
            <w:tcW w:w="5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41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项目实施单位的管理制度是否健全，是否已制定或具有相应的财务和业务管理制度，财务和业务管理制度是否合法、合规、完整。用以反映和考核财务和业务管理制度对项目顺利实施的保障情况。</w:t>
            </w:r>
          </w:p>
        </w:tc>
        <w:tc>
          <w:tcPr>
            <w:tcW w:w="70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健全</w:t>
            </w:r>
          </w:p>
        </w:tc>
        <w:tc>
          <w:tcPr>
            <w:tcW w:w="353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①制定或具有相应的财务管理制度；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②制定或具有相应的业务管理制度；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③财务管理制度合法、合规、完整；</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④业务管理制度合法、合规、完整。</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4项各占1/4权重分，每有一项不满足，则扣除相应权重分。（需根据实际情况细化制度和修改权重比）</w:t>
            </w:r>
          </w:p>
        </w:tc>
        <w:tc>
          <w:tcPr>
            <w:tcW w:w="137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98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75" w:hRule="atLeast"/>
        </w:trPr>
        <w:tc>
          <w:tcPr>
            <w:tcW w:w="72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2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绩效管理有效性</w:t>
            </w:r>
          </w:p>
        </w:tc>
        <w:tc>
          <w:tcPr>
            <w:tcW w:w="5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41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上年度绩效评价结果应用于预算安排、政策调整和改进管理情况、本次自评和评价资料报送情况。</w:t>
            </w:r>
          </w:p>
        </w:tc>
        <w:tc>
          <w:tcPr>
            <w:tcW w:w="70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有效</w:t>
            </w:r>
          </w:p>
        </w:tc>
        <w:tc>
          <w:tcPr>
            <w:tcW w:w="353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①本次自评、部门评价资料报送及时性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②本次自评、部门评价资料完整性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③上年度评价结果应用情况</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3项各占1/3权重分，每有一项不满足，则扣除相应权重分。（需根据实际情况细化制度和修改权重比）</w:t>
            </w:r>
          </w:p>
        </w:tc>
        <w:tc>
          <w:tcPr>
            <w:tcW w:w="137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98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18" w:hRule="atLeast"/>
        </w:trPr>
        <w:tc>
          <w:tcPr>
            <w:tcW w:w="72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2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制度执行</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有效性</w:t>
            </w:r>
          </w:p>
        </w:tc>
        <w:tc>
          <w:tcPr>
            <w:tcW w:w="57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41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项目实施是否符合相关管理规定，用以反映和考核相关管理制度的有效执行情况。</w:t>
            </w:r>
          </w:p>
        </w:tc>
        <w:tc>
          <w:tcPr>
            <w:tcW w:w="70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有效</w:t>
            </w:r>
          </w:p>
        </w:tc>
        <w:tc>
          <w:tcPr>
            <w:tcW w:w="353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①遵守相关法律法规和相关管理规定；</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②项目调整及支出调整手续完备；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③项目合同书、验收报告、技术鉴定等资料齐全并及时归档；</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④项目实施的人员条件、场地设备、信息支撑等落实到位。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4项各占1/4权重分，每有一项不满足，则扣除相应权重分。（需根据实际情况细化制度和修改权重比）</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一票否决事项：在巡视巡查、监督检查、审计等工作中发现评价期项目存在问题，本项不得分。</w:t>
            </w:r>
          </w:p>
        </w:tc>
        <w:tc>
          <w:tcPr>
            <w:tcW w:w="137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98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72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(25分)</w:t>
            </w:r>
          </w:p>
        </w:tc>
        <w:tc>
          <w:tcPr>
            <w:tcW w:w="1038"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产出数量（9分）</w:t>
            </w:r>
          </w:p>
        </w:tc>
        <w:tc>
          <w:tcPr>
            <w:tcW w:w="926"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实际完成率</w:t>
            </w:r>
          </w:p>
        </w:tc>
        <w:tc>
          <w:tcPr>
            <w:tcW w:w="575"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4.5</w:t>
            </w:r>
          </w:p>
        </w:tc>
        <w:tc>
          <w:tcPr>
            <w:tcW w:w="41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行政执法人员培训次数</w:t>
            </w:r>
          </w:p>
        </w:tc>
        <w:tc>
          <w:tcPr>
            <w:tcW w:w="70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3 批次</w:t>
            </w:r>
          </w:p>
        </w:tc>
        <w:tc>
          <w:tcPr>
            <w:tcW w:w="353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项目完成及时率达100%，则得满分，每低于1%，扣除5%权重分，扣完为止。</w:t>
            </w:r>
          </w:p>
        </w:tc>
        <w:tc>
          <w:tcPr>
            <w:tcW w:w="137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4.5</w:t>
            </w:r>
          </w:p>
        </w:tc>
        <w:tc>
          <w:tcPr>
            <w:tcW w:w="98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72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8"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2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575" w:type="dxa"/>
            <w:tcBorders>
              <w:top w:val="single" w:color="auto" w:sz="4" w:space="0"/>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4.5</w:t>
            </w:r>
          </w:p>
        </w:tc>
        <w:tc>
          <w:tcPr>
            <w:tcW w:w="41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行政执法人员及法律从业人员参加培训数量</w:t>
            </w:r>
          </w:p>
        </w:tc>
        <w:tc>
          <w:tcPr>
            <w:tcW w:w="70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200 人</w:t>
            </w:r>
          </w:p>
        </w:tc>
        <w:tc>
          <w:tcPr>
            <w:tcW w:w="353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项目完成及时率达100%，则得满分，每低于1%，扣除5%权重分，扣完为止。</w:t>
            </w:r>
          </w:p>
        </w:tc>
        <w:tc>
          <w:tcPr>
            <w:tcW w:w="137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4.5</w:t>
            </w:r>
          </w:p>
        </w:tc>
        <w:tc>
          <w:tcPr>
            <w:tcW w:w="98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72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8"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产出质量（8分）</w:t>
            </w:r>
          </w:p>
        </w:tc>
        <w:tc>
          <w:tcPr>
            <w:tcW w:w="926"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质量达标率</w:t>
            </w:r>
          </w:p>
        </w:tc>
        <w:tc>
          <w:tcPr>
            <w:tcW w:w="575" w:type="dxa"/>
            <w:tcBorders>
              <w:top w:val="single" w:color="auto" w:sz="4" w:space="0"/>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41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年初培训计划完成率</w:t>
            </w:r>
          </w:p>
        </w:tc>
        <w:tc>
          <w:tcPr>
            <w:tcW w:w="70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100 %</w:t>
            </w:r>
          </w:p>
        </w:tc>
        <w:tc>
          <w:tcPr>
            <w:tcW w:w="353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质量达标率达100%，则得满分，每低于1%，扣除5%权重分，扣完为止。</w:t>
            </w:r>
          </w:p>
        </w:tc>
        <w:tc>
          <w:tcPr>
            <w:tcW w:w="137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98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72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8"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26"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575"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30"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41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确保全市行政执法人员（新增和复审）培训考试持证上岗</w:t>
            </w:r>
          </w:p>
        </w:tc>
        <w:tc>
          <w:tcPr>
            <w:tcW w:w="70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3000 人</w:t>
            </w:r>
          </w:p>
        </w:tc>
        <w:tc>
          <w:tcPr>
            <w:tcW w:w="353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质量达标率达100%，则得满分，每低于1%，扣除5%权重分，扣完为止。</w:t>
            </w:r>
          </w:p>
        </w:tc>
        <w:tc>
          <w:tcPr>
            <w:tcW w:w="137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98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723"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产出成本</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（4分）</w:t>
            </w:r>
          </w:p>
        </w:tc>
        <w:tc>
          <w:tcPr>
            <w:tcW w:w="92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成本节约率</w:t>
            </w:r>
          </w:p>
        </w:tc>
        <w:tc>
          <w:tcPr>
            <w:tcW w:w="57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3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417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单人培训成本</w:t>
            </w:r>
          </w:p>
        </w:tc>
        <w:tc>
          <w:tcPr>
            <w:tcW w:w="70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   400 元</w:t>
            </w:r>
          </w:p>
        </w:tc>
        <w:tc>
          <w:tcPr>
            <w:tcW w:w="3539"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成本节约率大于0%且低于15%，则得满分，每高于（15%）或低于（0%）1%，扣除5%权重分，扣完为止。</w:t>
            </w:r>
          </w:p>
        </w:tc>
        <w:tc>
          <w:tcPr>
            <w:tcW w:w="137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98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0" w:hRule="atLeast"/>
        </w:trPr>
        <w:tc>
          <w:tcPr>
            <w:tcW w:w="723"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产出时效</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（4分）</w:t>
            </w:r>
          </w:p>
        </w:tc>
        <w:tc>
          <w:tcPr>
            <w:tcW w:w="92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完成及时率</w:t>
            </w:r>
          </w:p>
        </w:tc>
        <w:tc>
          <w:tcPr>
            <w:tcW w:w="57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417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组织执法资格证考试和复审</w:t>
            </w:r>
          </w:p>
        </w:tc>
        <w:tc>
          <w:tcPr>
            <w:tcW w:w="70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 天</w:t>
            </w:r>
          </w:p>
        </w:tc>
        <w:tc>
          <w:tcPr>
            <w:tcW w:w="3539"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项目完成及时率达100%，则得满分，每低于1%，扣除5%权重分，扣完为止。</w:t>
            </w:r>
          </w:p>
        </w:tc>
        <w:tc>
          <w:tcPr>
            <w:tcW w:w="137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98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0" w:hRule="atLeast"/>
        </w:trPr>
        <w:tc>
          <w:tcPr>
            <w:tcW w:w="72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效益</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（40分）</w:t>
            </w:r>
          </w:p>
        </w:tc>
        <w:tc>
          <w:tcPr>
            <w:tcW w:w="103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社会效益</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（25分）</w:t>
            </w:r>
          </w:p>
        </w:tc>
        <w:tc>
          <w:tcPr>
            <w:tcW w:w="92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社会效益</w:t>
            </w:r>
          </w:p>
        </w:tc>
        <w:tc>
          <w:tcPr>
            <w:tcW w:w="575" w:type="dxa"/>
            <w:tcBorders>
              <w:top w:val="nil"/>
              <w:left w:val="nil"/>
              <w:bottom w:val="nil"/>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30"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25</w:t>
            </w:r>
          </w:p>
        </w:tc>
        <w:tc>
          <w:tcPr>
            <w:tcW w:w="41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通过开展相关人员培训，提升了行政执法人员、法律从业人员、基层司法行政人员的政治理论水平和法律素养、业务素质和执法水平不断提高。</w:t>
            </w:r>
          </w:p>
        </w:tc>
        <w:tc>
          <w:tcPr>
            <w:tcW w:w="704"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353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效益总分与产出总分挂钩。如产出总得分率为90%（含）-100%，则项目效益得分按×产出得分率计算；产出得分率80%（含）-90%，则项目效益按80%计算；产出得分率60%（含）-80%，则项目效益按60%计算；产出得分率小于60%，则项目效益不得分。</w:t>
            </w:r>
          </w:p>
        </w:tc>
        <w:tc>
          <w:tcPr>
            <w:tcW w:w="137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25</w:t>
            </w:r>
          </w:p>
        </w:tc>
        <w:tc>
          <w:tcPr>
            <w:tcW w:w="98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72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8"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可持续</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影响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（7分）</w:t>
            </w:r>
          </w:p>
        </w:tc>
        <w:tc>
          <w:tcPr>
            <w:tcW w:w="92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项目发展机制可持续性</w:t>
            </w:r>
          </w:p>
        </w:tc>
        <w:tc>
          <w:tcPr>
            <w:tcW w:w="57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7</w:t>
            </w:r>
          </w:p>
        </w:tc>
        <w:tc>
          <w:tcPr>
            <w:tcW w:w="41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考察项目运转是否形成了可持续发展的机制。</w:t>
            </w:r>
          </w:p>
        </w:tc>
        <w:tc>
          <w:tcPr>
            <w:tcW w:w="70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353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项目运转形成了可持续发展的机制，是指明确管理机构，明确职责、人员分工、管理制度措施则得满分，少一项则扣除25%的权重分。</w:t>
            </w:r>
          </w:p>
        </w:tc>
        <w:tc>
          <w:tcPr>
            <w:tcW w:w="137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7</w:t>
            </w:r>
          </w:p>
        </w:tc>
        <w:tc>
          <w:tcPr>
            <w:tcW w:w="98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5" w:hRule="atLeast"/>
        </w:trPr>
        <w:tc>
          <w:tcPr>
            <w:tcW w:w="72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38"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满意度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（8分）</w:t>
            </w:r>
          </w:p>
        </w:tc>
        <w:tc>
          <w:tcPr>
            <w:tcW w:w="92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培训人</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满意度</w:t>
            </w:r>
          </w:p>
        </w:tc>
        <w:tc>
          <w:tcPr>
            <w:tcW w:w="57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8</w:t>
            </w:r>
          </w:p>
        </w:tc>
        <w:tc>
          <w:tcPr>
            <w:tcW w:w="41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考察培训人员对项目实施效果的满意程度。</w:t>
            </w:r>
          </w:p>
        </w:tc>
        <w:tc>
          <w:tcPr>
            <w:tcW w:w="70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xml:space="preserve"> ≥ 95%</w:t>
            </w:r>
          </w:p>
        </w:tc>
        <w:tc>
          <w:tcPr>
            <w:tcW w:w="353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服务对象满意度达95%，则得满分，每降低1%，扣除5%权重分。（b根据历史数据、绩效目标、考核目标等确定，通常不低于80%，若低于则需作出说明。</w:t>
            </w:r>
          </w:p>
        </w:tc>
        <w:tc>
          <w:tcPr>
            <w:tcW w:w="137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8</w:t>
            </w:r>
          </w:p>
        </w:tc>
        <w:tc>
          <w:tcPr>
            <w:tcW w:w="98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3262"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合计</w:t>
            </w:r>
          </w:p>
        </w:tc>
        <w:tc>
          <w:tcPr>
            <w:tcW w:w="6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100</w:t>
            </w:r>
          </w:p>
        </w:tc>
        <w:tc>
          <w:tcPr>
            <w:tcW w:w="41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704"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3539"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137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xml:space="preserve">97.70 </w:t>
            </w:r>
          </w:p>
        </w:tc>
        <w:tc>
          <w:tcPr>
            <w:tcW w:w="98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97.70%</w:t>
            </w:r>
          </w:p>
        </w:tc>
      </w:tr>
    </w:tbl>
    <w:p>
      <w:pPr>
        <w:spacing w:after="305" w:afterLines="50" w:line="600" w:lineRule="exact"/>
        <w:rPr>
          <w:rFonts w:ascii="方正小标宋简体" w:hAnsi="方正小标宋简体" w:eastAsia="方正小标宋简体" w:cs="方正小标宋简体"/>
          <w:sz w:val="24"/>
        </w:rPr>
        <w:sectPr>
          <w:pgSz w:w="16783" w:h="23757"/>
          <w:pgMar w:top="1701" w:right="1077" w:bottom="1701" w:left="1077" w:header="0" w:footer="1418" w:gutter="0"/>
          <w:cols w:space="720" w:num="1"/>
          <w:docGrid w:type="linesAndChars" w:linePitch="610" w:charSpace="-849"/>
        </w:sectPr>
      </w:pPr>
    </w:p>
    <w:tbl>
      <w:tblPr>
        <w:tblStyle w:val="15"/>
        <w:tblW w:w="14659"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6"/>
        <w:gridCol w:w="1041"/>
        <w:gridCol w:w="930"/>
        <w:gridCol w:w="577"/>
        <w:gridCol w:w="633"/>
        <w:gridCol w:w="4315"/>
        <w:gridCol w:w="968"/>
        <w:gridCol w:w="3553"/>
        <w:gridCol w:w="930"/>
        <w:gridCol w:w="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12743" w:type="dxa"/>
            <w:gridSpan w:val="8"/>
            <w:tcBorders>
              <w:top w:val="nil"/>
              <w:left w:val="nil"/>
              <w:bottom w:val="nil"/>
              <w:right w:val="nil"/>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Cs w:val="32"/>
              </w:rPr>
            </w:pPr>
            <w:r>
              <w:rPr>
                <w:rFonts w:hint="eastAsia" w:ascii="仿宋_GB2312" w:hAnsi="Tahoma" w:eastAsia="仿宋_GB2312" w:cs="仿宋_GB2312"/>
                <w:b/>
                <w:color w:val="000000"/>
                <w:kern w:val="0"/>
                <w:szCs w:val="32"/>
              </w:rPr>
              <w:t>惠企政策法律服务费绩效评价指标体系</w:t>
            </w:r>
          </w:p>
        </w:tc>
        <w:tc>
          <w:tcPr>
            <w:tcW w:w="930"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c>
          <w:tcPr>
            <w:tcW w:w="986"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8222" w:type="dxa"/>
            <w:gridSpan w:val="6"/>
            <w:tcBorders>
              <w:top w:val="nil"/>
              <w:left w:val="nil"/>
              <w:bottom w:val="single" w:color="auto" w:sz="4" w:space="0"/>
              <w:right w:val="nil"/>
            </w:tcBorders>
            <w:tcMar>
              <w:top w:w="15" w:type="dxa"/>
              <w:left w:w="15" w:type="dxa"/>
              <w:right w:w="15" w:type="dxa"/>
            </w:tcMar>
            <w:vAlign w:val="center"/>
          </w:tcPr>
          <w:p>
            <w:pPr>
              <w:widowControl/>
              <w:jc w:val="left"/>
              <w:textAlignment w:val="center"/>
              <w:rPr>
                <w:rFonts w:ascii="仿宋_GB2312" w:hAnsi="Tahoma" w:eastAsia="仿宋_GB2312" w:cs="仿宋_GB2312"/>
                <w:b/>
                <w:color w:val="000000"/>
                <w:sz w:val="24"/>
              </w:rPr>
            </w:pPr>
            <w:r>
              <w:rPr>
                <w:rFonts w:hint="eastAsia" w:ascii="仿宋_GB2312" w:hAnsi="Tahoma" w:eastAsia="仿宋_GB2312" w:cs="仿宋_GB2312"/>
                <w:b/>
                <w:color w:val="000000"/>
                <w:kern w:val="0"/>
                <w:sz w:val="24"/>
              </w:rPr>
              <w:t>项目单位：青岛市司法局</w:t>
            </w:r>
          </w:p>
        </w:tc>
        <w:tc>
          <w:tcPr>
            <w:tcW w:w="968" w:type="dxa"/>
            <w:tcBorders>
              <w:top w:val="nil"/>
              <w:left w:val="nil"/>
              <w:bottom w:val="nil"/>
              <w:right w:val="nil"/>
            </w:tcBorders>
            <w:tcMar>
              <w:top w:w="15" w:type="dxa"/>
              <w:left w:w="15" w:type="dxa"/>
              <w:right w:w="15" w:type="dxa"/>
            </w:tcMar>
            <w:vAlign w:val="center"/>
          </w:tcPr>
          <w:p>
            <w:pPr>
              <w:jc w:val="center"/>
              <w:rPr>
                <w:rFonts w:ascii="仿宋_GB2312" w:hAnsi="Tahoma" w:eastAsia="仿宋_GB2312" w:cs="仿宋_GB2312"/>
                <w:b/>
                <w:color w:val="000000"/>
                <w:szCs w:val="32"/>
              </w:rPr>
            </w:pPr>
          </w:p>
        </w:tc>
        <w:tc>
          <w:tcPr>
            <w:tcW w:w="3553" w:type="dxa"/>
            <w:tcBorders>
              <w:top w:val="nil"/>
              <w:left w:val="nil"/>
              <w:bottom w:val="nil"/>
              <w:right w:val="nil"/>
            </w:tcBorders>
            <w:tcMar>
              <w:top w:w="15" w:type="dxa"/>
              <w:left w:w="15" w:type="dxa"/>
              <w:right w:w="15" w:type="dxa"/>
            </w:tcMar>
            <w:vAlign w:val="center"/>
          </w:tcPr>
          <w:p>
            <w:pPr>
              <w:jc w:val="center"/>
              <w:rPr>
                <w:rFonts w:ascii="仿宋_GB2312" w:hAnsi="Tahoma" w:eastAsia="仿宋_GB2312" w:cs="仿宋_GB2312"/>
                <w:b/>
                <w:color w:val="000000"/>
                <w:szCs w:val="32"/>
              </w:rPr>
            </w:pPr>
          </w:p>
        </w:tc>
        <w:tc>
          <w:tcPr>
            <w:tcW w:w="930"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c>
          <w:tcPr>
            <w:tcW w:w="986"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726" w:type="dxa"/>
            <w:tcBorders>
              <w:top w:val="nil"/>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一级</w:t>
            </w:r>
            <w:r>
              <w:rPr>
                <w:rFonts w:hint="eastAsia" w:ascii="仿宋_GB2312" w:hAnsi="Tahoma" w:eastAsia="仿宋_GB2312" w:cs="仿宋_GB2312"/>
                <w:b/>
                <w:color w:val="000000"/>
                <w:kern w:val="0"/>
                <w:sz w:val="22"/>
                <w:szCs w:val="22"/>
              </w:rPr>
              <w:br/>
            </w:r>
            <w:r>
              <w:rPr>
                <w:rFonts w:hint="eastAsia" w:ascii="仿宋_GB2312" w:hAnsi="Tahoma" w:eastAsia="仿宋_GB2312" w:cs="仿宋_GB2312"/>
                <w:b/>
                <w:color w:val="000000"/>
                <w:kern w:val="0"/>
                <w:sz w:val="22"/>
                <w:szCs w:val="22"/>
              </w:rPr>
              <w:t>指标</w:t>
            </w:r>
          </w:p>
        </w:tc>
        <w:tc>
          <w:tcPr>
            <w:tcW w:w="1041"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二级指标</w:t>
            </w:r>
          </w:p>
        </w:tc>
        <w:tc>
          <w:tcPr>
            <w:tcW w:w="93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三级指标</w:t>
            </w:r>
          </w:p>
        </w:tc>
        <w:tc>
          <w:tcPr>
            <w:tcW w:w="577"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四级指标</w:t>
            </w:r>
          </w:p>
        </w:tc>
        <w:tc>
          <w:tcPr>
            <w:tcW w:w="633"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权重</w:t>
            </w:r>
          </w:p>
        </w:tc>
        <w:tc>
          <w:tcPr>
            <w:tcW w:w="431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指标解释</w:t>
            </w:r>
          </w:p>
        </w:tc>
        <w:tc>
          <w:tcPr>
            <w:tcW w:w="968"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标杆值</w:t>
            </w:r>
          </w:p>
        </w:tc>
        <w:tc>
          <w:tcPr>
            <w:tcW w:w="3553"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评分标准</w:t>
            </w:r>
          </w:p>
        </w:tc>
        <w:tc>
          <w:tcPr>
            <w:tcW w:w="9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得分</w:t>
            </w:r>
          </w:p>
        </w:tc>
        <w:tc>
          <w:tcPr>
            <w:tcW w:w="98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25" w:hRule="atLeast"/>
        </w:trPr>
        <w:tc>
          <w:tcPr>
            <w:tcW w:w="726"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决策</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（10分）</w:t>
            </w:r>
          </w:p>
        </w:tc>
        <w:tc>
          <w:tcPr>
            <w:tcW w:w="104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项目立项（2分）</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立项依据</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充分性</w:t>
            </w:r>
          </w:p>
        </w:tc>
        <w:tc>
          <w:tcPr>
            <w:tcW w:w="57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3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431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项目立项是否符合法律法规、相关政策、发展规划以及部门职责，用以反映和考核项目立项依据情况。</w:t>
            </w:r>
          </w:p>
        </w:tc>
        <w:tc>
          <w:tcPr>
            <w:tcW w:w="96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充分</w:t>
            </w:r>
          </w:p>
        </w:tc>
        <w:tc>
          <w:tcPr>
            <w:tcW w:w="3553"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①项目立项是否符合国家法律法规、国民经济发展规划和相关政策；</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②项目立项是否符合行业发展规划和政策要求；</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③项目立项是否与部门职责范围相符，属于部门履职所需；</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④项目是否属于公共财政支持范围，是否符合中央、地方事权支出责任划分原则；</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⑤项目是否与相关部门同类项目或部门内部相关项目不重复。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5项各占1/5权重分，每有一项不满足，则扣除相应权重分。</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98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72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4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立项程序</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规范性</w:t>
            </w:r>
          </w:p>
        </w:tc>
        <w:tc>
          <w:tcPr>
            <w:tcW w:w="57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3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431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项目的申请、设立过程是否符合相关要求，用以反映和考核项目立项的规范情况。</w:t>
            </w:r>
          </w:p>
        </w:tc>
        <w:tc>
          <w:tcPr>
            <w:tcW w:w="96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规范</w:t>
            </w:r>
          </w:p>
        </w:tc>
        <w:tc>
          <w:tcPr>
            <w:tcW w:w="3553"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①项目按照规定的程序申请设立；</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②所提交的文件、材料符合相关要求；</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③事前已经过必要的可行性研究、专家论证、风险评估、绩效评估、集体决策等。</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若①②③齐全得权重100%；如不符合①得0分；缺②扣权重1/3；缺③扣权重1/3。</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98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72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4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绩效目标（4分）</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绩效目标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合理性</w:t>
            </w:r>
          </w:p>
        </w:tc>
        <w:tc>
          <w:tcPr>
            <w:tcW w:w="57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3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431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项目所设定的绩效目标是否依据充分，是否符合客观实际，用以反映和考核项目绩效目标与项目实施的相符情况。</w:t>
            </w:r>
          </w:p>
        </w:tc>
        <w:tc>
          <w:tcPr>
            <w:tcW w:w="96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合理</w:t>
            </w:r>
          </w:p>
        </w:tc>
        <w:tc>
          <w:tcPr>
            <w:tcW w:w="3553"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①项目有绩效目标；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②项目绩效目标与实际工作内容具有相关性；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③项目预期产出效益和效果符合正常的业绩水平；</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④绩效目标与预算确定的项目投资额或资金量相匹配。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1.6</w:t>
            </w:r>
          </w:p>
        </w:tc>
        <w:tc>
          <w:tcPr>
            <w:tcW w:w="98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45" w:hRule="atLeast"/>
        </w:trPr>
        <w:tc>
          <w:tcPr>
            <w:tcW w:w="72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4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绩效指标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明确性</w:t>
            </w:r>
          </w:p>
        </w:tc>
        <w:tc>
          <w:tcPr>
            <w:tcW w:w="57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3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431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依据绩效目标设定的绩效指标是否清晰、细化、可衡量等，用以反映和考核项目绩效目标的明细化情况。</w:t>
            </w:r>
          </w:p>
        </w:tc>
        <w:tc>
          <w:tcPr>
            <w:tcW w:w="96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明确</w:t>
            </w:r>
          </w:p>
        </w:tc>
        <w:tc>
          <w:tcPr>
            <w:tcW w:w="3553"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①将项目绩效目标细化分解为具体的绩效指标；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②指标值清晰、可衡量；</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③指标值与项目年度任务数或计划数相对应。</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3项各占1/3权重分，每有一项不满足，则扣除相应权重分。</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98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45" w:hRule="atLeast"/>
        </w:trPr>
        <w:tc>
          <w:tcPr>
            <w:tcW w:w="72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4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资金投入（4分）</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预算编制</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科学性</w:t>
            </w:r>
          </w:p>
        </w:tc>
        <w:tc>
          <w:tcPr>
            <w:tcW w:w="57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3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431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项目预算编制是否经过科学论证、有明确标准，资金额度与年度目标是否相适应，用以反映和考核项目预算编制的科学性、合理性情况。</w:t>
            </w:r>
          </w:p>
        </w:tc>
        <w:tc>
          <w:tcPr>
            <w:tcW w:w="96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科学</w:t>
            </w:r>
          </w:p>
        </w:tc>
        <w:tc>
          <w:tcPr>
            <w:tcW w:w="3553"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①预算编制经过科学论证；</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②预算内容与项目内容匹配；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③预算额度测算依据充分，按照标准编制；</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④预算确定的项目投资额或资金量与工作任务相匹配。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98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2" w:hRule="atLeast"/>
        </w:trPr>
        <w:tc>
          <w:tcPr>
            <w:tcW w:w="72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4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资金分配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合理性</w:t>
            </w:r>
          </w:p>
        </w:tc>
        <w:tc>
          <w:tcPr>
            <w:tcW w:w="57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3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431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考察项目资金分配是否有测算依据，预算安排内容与专项资金的设立目的及年度工作重点是否一致，用以反映和考核项目预算资金分配的科学性、合理性。</w:t>
            </w:r>
          </w:p>
        </w:tc>
        <w:tc>
          <w:tcPr>
            <w:tcW w:w="96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合理</w:t>
            </w:r>
          </w:p>
        </w:tc>
        <w:tc>
          <w:tcPr>
            <w:tcW w:w="3553"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①项目资金分配有测算依据得1/2权重分；</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②根据预算安排内容与专项资金的设立目的及年度工作重点的匹配程度判断，分别得年度剩余权重的100%、75%、50%、25%和0%。</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98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0" w:hRule="atLeast"/>
        </w:trPr>
        <w:tc>
          <w:tcPr>
            <w:tcW w:w="726"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过程</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（25分）</w:t>
            </w:r>
          </w:p>
        </w:tc>
        <w:tc>
          <w:tcPr>
            <w:tcW w:w="104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资金管理（8分）</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资金到位率</w:t>
            </w:r>
          </w:p>
        </w:tc>
        <w:tc>
          <w:tcPr>
            <w:tcW w:w="57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3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431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实际到位资金与预算资金的比率，用以反映和考核上年度资金落实情况对项目实施的总体保障程度。资金到位率=（实际到位资金/预算资金）*100%。</w:t>
            </w:r>
          </w:p>
        </w:tc>
        <w:tc>
          <w:tcPr>
            <w:tcW w:w="96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3553"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资金到位率达100%得相应权重的100%，每下降1%扣5%权重，扣完相应权重为止。</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98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72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4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预算执行率</w:t>
            </w:r>
          </w:p>
        </w:tc>
        <w:tc>
          <w:tcPr>
            <w:tcW w:w="57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3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431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项目预算资金是否按照计划执行，用以反映或考核项目预算执行情况。预算执行率=（实际支出金额/实际到位资金）×100%。</w:t>
            </w:r>
          </w:p>
        </w:tc>
        <w:tc>
          <w:tcPr>
            <w:tcW w:w="96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3553"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①已完成的项目，预算执行率100%得满分，每降低1%扣5%权重分，扣完为止。②实施期项目，预算执行率与项目当年实施进度相匹配，预算执行率与项目实际完成率相比较，每偏离1%扣5%权重，扣完相应权重为止。</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98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0" w:hRule="atLeast"/>
        </w:trPr>
        <w:tc>
          <w:tcPr>
            <w:tcW w:w="72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4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资金使用</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合规性</w:t>
            </w:r>
          </w:p>
        </w:tc>
        <w:tc>
          <w:tcPr>
            <w:tcW w:w="57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3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431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项目资金使用是否符合相关的财务管理制度规定，用以反映和考核项目资金的规范运行情况。</w:t>
            </w:r>
          </w:p>
        </w:tc>
        <w:tc>
          <w:tcPr>
            <w:tcW w:w="96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合规</w:t>
            </w:r>
          </w:p>
        </w:tc>
        <w:tc>
          <w:tcPr>
            <w:tcW w:w="3553"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①符合国家财经法规和财务管理制度以及有关专项资金管理办法的规定；</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②资金的拨付有完整的审批程序和手续；</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③符合项目预算批复或合同规定的用途；</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④不存在截留、挤占、挪用、虚列支出等情况。</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4项全部符合视为使用合规，得满分；存在①或③或④不满足时属于严重违规事项，本项指标不得分；在①③④同时符合，②不符合时，本项指标得75%权重分；</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98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5" w:hRule="atLeast"/>
        </w:trPr>
        <w:tc>
          <w:tcPr>
            <w:tcW w:w="72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4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组织实施（17分）</w:t>
            </w:r>
            <w:r>
              <w:rPr>
                <w:rFonts w:ascii="Arial" w:hAnsi="Arial" w:eastAsia="仿宋_GB2312" w:cs="Arial"/>
                <w:color w:val="000000"/>
                <w:kern w:val="0"/>
                <w:sz w:val="22"/>
                <w:szCs w:val="22"/>
              </w:rPr>
              <w:t> </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xml:space="preserve"> 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健全性</w:t>
            </w:r>
          </w:p>
        </w:tc>
        <w:tc>
          <w:tcPr>
            <w:tcW w:w="57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3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431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项目实施单位的管理制度是否健全，是否已制定或具有相应的财务和业务管理制度，财务和业务管理制度是否合法、合规、完整。用以反映和考核财务和业务管理制度对项目顺利实施的保障情况。</w:t>
            </w:r>
          </w:p>
        </w:tc>
        <w:tc>
          <w:tcPr>
            <w:tcW w:w="96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健全</w:t>
            </w:r>
          </w:p>
        </w:tc>
        <w:tc>
          <w:tcPr>
            <w:tcW w:w="3553"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①制定或具有相应的财务管理制度；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②制定或具有相应的业务管理制度；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③财务管理制度合法、合规、完整；</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④业务管理制度合法、合规、完整。</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4项各占1/4权重分，每有一项不满足，则扣除相应权重分。（需根据实际情况细化制度和修改权重比）</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98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75" w:hRule="atLeast"/>
        </w:trPr>
        <w:tc>
          <w:tcPr>
            <w:tcW w:w="72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4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绩效管理有效性</w:t>
            </w:r>
          </w:p>
        </w:tc>
        <w:tc>
          <w:tcPr>
            <w:tcW w:w="57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3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431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上年度绩效评价结果应用于预算安排、政策调整和改进管理情况、本次自评和评价资料报送情况。</w:t>
            </w:r>
          </w:p>
        </w:tc>
        <w:tc>
          <w:tcPr>
            <w:tcW w:w="96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有效</w:t>
            </w:r>
          </w:p>
        </w:tc>
        <w:tc>
          <w:tcPr>
            <w:tcW w:w="3553"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①本次自评、部门评价资料报送及时性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②本次自评、部门评价资料完整性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③上年度评价结果应用情况</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3项各占1/3权重分，每有一项不满足，则扣除相应权重分。（需根据实际情况细化制度和修改权重比）</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98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18" w:hRule="atLeast"/>
        </w:trPr>
        <w:tc>
          <w:tcPr>
            <w:tcW w:w="72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4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制度执行</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有效性</w:t>
            </w:r>
          </w:p>
        </w:tc>
        <w:tc>
          <w:tcPr>
            <w:tcW w:w="57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w:t>
            </w:r>
          </w:p>
        </w:tc>
        <w:tc>
          <w:tcPr>
            <w:tcW w:w="63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431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项目实施是否符合相关管理规定，用以反映和考核相关管理制度的有效执行情况。</w:t>
            </w:r>
          </w:p>
        </w:tc>
        <w:tc>
          <w:tcPr>
            <w:tcW w:w="96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有效</w:t>
            </w:r>
          </w:p>
        </w:tc>
        <w:tc>
          <w:tcPr>
            <w:tcW w:w="3553"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①遵守相关法律法规和相关管理规定；</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②项目调整及支出调整手续完备；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③项目合同书、验收报告、技术鉴定等资料齐全并及时归档；</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④项目实施的人员条件、场地设备、信息支撑等落实到位。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4项各占1/4权重分，每有一项不满足，则扣除相应权重分。（需根据实际情况细化制度和修改权重比）</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一票否决事项：在巡视巡查、监督检查、审计等工作中发现评价期项目存在问题，本项不得分。</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98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726"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(25分)</w:t>
            </w:r>
          </w:p>
        </w:tc>
        <w:tc>
          <w:tcPr>
            <w:tcW w:w="1041"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产出数量（15分）</w:t>
            </w:r>
          </w:p>
        </w:tc>
        <w:tc>
          <w:tcPr>
            <w:tcW w:w="930"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实际完成率</w:t>
            </w:r>
          </w:p>
        </w:tc>
        <w:tc>
          <w:tcPr>
            <w:tcW w:w="57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3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431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购买律师事务所服务数量</w:t>
            </w:r>
          </w:p>
        </w:tc>
        <w:tc>
          <w:tcPr>
            <w:tcW w:w="96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5 个</w:t>
            </w:r>
          </w:p>
        </w:tc>
        <w:tc>
          <w:tcPr>
            <w:tcW w:w="355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实际完成率达100%，则得满分，每低于1%，扣除5%权重分，扣完为止。实际产出数偏离计划产出数30%及以上，计算得分后再加扣5分。</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98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72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41"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3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57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3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431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开展惠企法律服务讲座等宣传</w:t>
            </w:r>
          </w:p>
        </w:tc>
        <w:tc>
          <w:tcPr>
            <w:tcW w:w="96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30 次</w:t>
            </w:r>
          </w:p>
        </w:tc>
        <w:tc>
          <w:tcPr>
            <w:tcW w:w="355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实际完成率达100%，则得满分，每低于1%，扣除5%权重分，扣完为止。实际产出数偏离计划产出数30%及以上，计算得分后再加扣5分。</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98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72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41"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3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57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3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431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为社会企业提供各类惠企咨询、审查、调研、政策解读等服务</w:t>
            </w:r>
          </w:p>
        </w:tc>
        <w:tc>
          <w:tcPr>
            <w:tcW w:w="96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  500 次/月</w:t>
            </w:r>
          </w:p>
        </w:tc>
        <w:tc>
          <w:tcPr>
            <w:tcW w:w="3553"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实际完成率达100%，则得满分，每低于1%，扣除5%权重分，扣完为止。实际产出数偏离计划产出数30%及以上，计算得分后再加扣5分。</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98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72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41"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产出质量（5分）</w:t>
            </w:r>
          </w:p>
        </w:tc>
        <w:tc>
          <w:tcPr>
            <w:tcW w:w="930"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质量达标率</w:t>
            </w:r>
          </w:p>
        </w:tc>
        <w:tc>
          <w:tcPr>
            <w:tcW w:w="577"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3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431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购买服务质量达标率</w:t>
            </w:r>
          </w:p>
        </w:tc>
        <w:tc>
          <w:tcPr>
            <w:tcW w:w="96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3553"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质量达标率达100%，则得满分，每低于1%，扣除5%权重分，扣完为止。</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98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5" w:hRule="atLeast"/>
        </w:trPr>
        <w:tc>
          <w:tcPr>
            <w:tcW w:w="72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4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产出时效</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（5分）</w:t>
            </w:r>
          </w:p>
        </w:tc>
        <w:tc>
          <w:tcPr>
            <w:tcW w:w="9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完成及时率</w:t>
            </w:r>
          </w:p>
        </w:tc>
        <w:tc>
          <w:tcPr>
            <w:tcW w:w="57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3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431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各项目是否均按照计划、文件批复等相关规定及时完成，用以反映和考核项目产出时效目标的实现程度。单个项目采用实际完成时间与计划完成时间相比较，多个项目计算完成及时率=及时完成的项目数/计划项目数*100%</w:t>
            </w:r>
          </w:p>
        </w:tc>
        <w:tc>
          <w:tcPr>
            <w:tcW w:w="96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3553"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单个项目实际完成时间≤计划完成时间得满分，实际完成时间＞计划完成时间则不得分；多个项目完成及时率达100%，则得满分，每低于1%，扣除5%权重分，扣完为止。</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98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25" w:hRule="atLeast"/>
        </w:trPr>
        <w:tc>
          <w:tcPr>
            <w:tcW w:w="726"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效益</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（40分）</w:t>
            </w: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社会效益</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（25分）</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社会效益</w:t>
            </w:r>
          </w:p>
        </w:tc>
        <w:tc>
          <w:tcPr>
            <w:tcW w:w="577" w:type="dxa"/>
            <w:tcBorders>
              <w:top w:val="nil"/>
              <w:left w:val="nil"/>
              <w:bottom w:val="nil"/>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33"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25</w:t>
            </w:r>
          </w:p>
        </w:tc>
        <w:tc>
          <w:tcPr>
            <w:tcW w:w="431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向律师事务所购买服务，发挥了第三方社会监督作用，为企业提供政策咨询、权益保障服务，参与政策制定评估并监督政策实施，维护了企业市场主体地位和合法权益。</w:t>
            </w:r>
          </w:p>
        </w:tc>
        <w:tc>
          <w:tcPr>
            <w:tcW w:w="968"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3553"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效益总分与产出总分挂钩。如产出总得分率为90%（含）-100%，则项目效益得分按×产出得分率计算；产出得分率80%（含）-90%，则项目效益按80%计算；产出得分率60%（含）-80%，则项目效益按60%计算；产出得分率小于60%，则项目效益不得分。</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25</w:t>
            </w:r>
          </w:p>
        </w:tc>
        <w:tc>
          <w:tcPr>
            <w:tcW w:w="98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trPr>
        <w:tc>
          <w:tcPr>
            <w:tcW w:w="72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41"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可持续</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影响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（7分）</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效益</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可持续性</w:t>
            </w:r>
          </w:p>
        </w:tc>
        <w:tc>
          <w:tcPr>
            <w:tcW w:w="57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3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3</w:t>
            </w:r>
          </w:p>
        </w:tc>
        <w:tc>
          <w:tcPr>
            <w:tcW w:w="431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考察项目后续运行及成效发挥的可持续影响情况。</w:t>
            </w:r>
          </w:p>
        </w:tc>
        <w:tc>
          <w:tcPr>
            <w:tcW w:w="968"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3553"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项目政策影响是从经济、社会和生态效益等方面长远考虑和对未来风险的分析，项目后续运行及成效发挥能够得到可持续发展得满分，未得到可持续发展根据项目计划影响情况可得75%、50%、25%、0的权重分。</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3</w:t>
            </w:r>
          </w:p>
        </w:tc>
        <w:tc>
          <w:tcPr>
            <w:tcW w:w="98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72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41"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项目发展机制可持续性</w:t>
            </w:r>
          </w:p>
        </w:tc>
        <w:tc>
          <w:tcPr>
            <w:tcW w:w="577"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3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431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考察项目运转是否形成了可持续发展的机制。</w:t>
            </w:r>
          </w:p>
        </w:tc>
        <w:tc>
          <w:tcPr>
            <w:tcW w:w="96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3553"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项目运转形成了可持续发展的机制，是指明确管理机构，明确职责、人员分工、管理制度措施则得满分，少一项则扣除25%的权重分。</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w:t>
            </w:r>
          </w:p>
        </w:tc>
        <w:tc>
          <w:tcPr>
            <w:tcW w:w="98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0" w:hRule="atLeast"/>
        </w:trPr>
        <w:tc>
          <w:tcPr>
            <w:tcW w:w="72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4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满意度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（8分）</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服务对象</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满意度</w:t>
            </w:r>
          </w:p>
        </w:tc>
        <w:tc>
          <w:tcPr>
            <w:tcW w:w="577"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w:t>
            </w:r>
          </w:p>
        </w:tc>
        <w:tc>
          <w:tcPr>
            <w:tcW w:w="63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8</w:t>
            </w:r>
          </w:p>
        </w:tc>
        <w:tc>
          <w:tcPr>
            <w:tcW w:w="431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服务对象对项目实施效果的满意程度。</w:t>
            </w:r>
          </w:p>
        </w:tc>
        <w:tc>
          <w:tcPr>
            <w:tcW w:w="96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xml:space="preserve"> ≥ 80%</w:t>
            </w:r>
          </w:p>
        </w:tc>
        <w:tc>
          <w:tcPr>
            <w:tcW w:w="3553"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服务对象满意度达b%，则得满分，每降低1%，扣除5%权重分。（b根据历史数据、绩效目标、考核目标等确定，通常不低于80%，若低于则需作出说明；若项目存在潜在受益服务对象，应同时对其进行满意度打分。）</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8</w:t>
            </w:r>
          </w:p>
        </w:tc>
        <w:tc>
          <w:tcPr>
            <w:tcW w:w="98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3274"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合计</w:t>
            </w:r>
          </w:p>
        </w:tc>
        <w:tc>
          <w:tcPr>
            <w:tcW w:w="63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100</w:t>
            </w:r>
          </w:p>
        </w:tc>
        <w:tc>
          <w:tcPr>
            <w:tcW w:w="4315"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96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355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9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xml:space="preserve">99.60 </w:t>
            </w:r>
          </w:p>
        </w:tc>
        <w:tc>
          <w:tcPr>
            <w:tcW w:w="986"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99.60%</w:t>
            </w:r>
          </w:p>
        </w:tc>
      </w:tr>
    </w:tbl>
    <w:p>
      <w:pPr>
        <w:spacing w:after="305" w:afterLines="50" w:line="600" w:lineRule="exact"/>
        <w:rPr>
          <w:rFonts w:ascii="方正小标宋简体" w:hAnsi="方正小标宋简体" w:eastAsia="方正小标宋简体" w:cs="方正小标宋简体"/>
          <w:sz w:val="24"/>
        </w:rPr>
        <w:sectPr>
          <w:pgSz w:w="16783" w:h="23757"/>
          <w:pgMar w:top="1701" w:right="1077" w:bottom="1701" w:left="1077" w:header="0" w:footer="1418" w:gutter="0"/>
          <w:cols w:space="720" w:num="1"/>
          <w:docGrid w:type="linesAndChars" w:linePitch="610" w:charSpace="-849"/>
        </w:sectPr>
      </w:pPr>
    </w:p>
    <w:tbl>
      <w:tblPr>
        <w:tblStyle w:val="15"/>
        <w:tblW w:w="14659"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84"/>
        <w:gridCol w:w="828"/>
        <w:gridCol w:w="1051"/>
        <w:gridCol w:w="3136"/>
        <w:gridCol w:w="547"/>
        <w:gridCol w:w="3609"/>
        <w:gridCol w:w="843"/>
        <w:gridCol w:w="3299"/>
        <w:gridCol w:w="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14097" w:type="dxa"/>
            <w:gridSpan w:val="8"/>
            <w:tcBorders>
              <w:top w:val="nil"/>
              <w:left w:val="nil"/>
              <w:bottom w:val="nil"/>
              <w:right w:val="nil"/>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Cs w:val="32"/>
              </w:rPr>
            </w:pPr>
            <w:r>
              <w:rPr>
                <w:rFonts w:hint="eastAsia" w:ascii="仿宋_GB2312" w:hAnsi="Tahoma" w:eastAsia="仿宋_GB2312" w:cs="仿宋_GB2312"/>
                <w:b/>
                <w:color w:val="000000"/>
                <w:kern w:val="0"/>
                <w:szCs w:val="32"/>
              </w:rPr>
              <w:t>项目支出绩效评价指标体系</w:t>
            </w:r>
          </w:p>
        </w:tc>
        <w:tc>
          <w:tcPr>
            <w:tcW w:w="562"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14097" w:type="dxa"/>
            <w:gridSpan w:val="8"/>
            <w:tcBorders>
              <w:top w:val="nil"/>
              <w:left w:val="nil"/>
              <w:bottom w:val="nil"/>
              <w:right w:val="nil"/>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填报部门（单位）：青岛市法律援助中心                    资金名称：法律援助及12348业务费</w:t>
            </w:r>
          </w:p>
        </w:tc>
        <w:tc>
          <w:tcPr>
            <w:tcW w:w="562"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784"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一级</w:t>
            </w:r>
            <w:r>
              <w:rPr>
                <w:rFonts w:hint="eastAsia" w:ascii="仿宋_GB2312" w:hAnsi="Tahoma" w:eastAsia="仿宋_GB2312" w:cs="仿宋_GB2312"/>
                <w:b/>
                <w:color w:val="000000"/>
                <w:kern w:val="0"/>
                <w:sz w:val="22"/>
                <w:szCs w:val="22"/>
              </w:rPr>
              <w:br/>
            </w:r>
            <w:r>
              <w:rPr>
                <w:rFonts w:hint="eastAsia" w:ascii="仿宋_GB2312" w:hAnsi="Tahoma" w:eastAsia="仿宋_GB2312" w:cs="仿宋_GB2312"/>
                <w:b/>
                <w:color w:val="000000"/>
                <w:kern w:val="0"/>
                <w:sz w:val="22"/>
                <w:szCs w:val="22"/>
              </w:rPr>
              <w:t>指标</w:t>
            </w:r>
          </w:p>
        </w:tc>
        <w:tc>
          <w:tcPr>
            <w:tcW w:w="828"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二级指标</w:t>
            </w:r>
          </w:p>
        </w:tc>
        <w:tc>
          <w:tcPr>
            <w:tcW w:w="1051"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三级指标</w:t>
            </w:r>
          </w:p>
        </w:tc>
        <w:tc>
          <w:tcPr>
            <w:tcW w:w="3136"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四级指标</w:t>
            </w:r>
          </w:p>
        </w:tc>
        <w:tc>
          <w:tcPr>
            <w:tcW w:w="547"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权重</w:t>
            </w:r>
          </w:p>
        </w:tc>
        <w:tc>
          <w:tcPr>
            <w:tcW w:w="3609"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指标解释</w:t>
            </w:r>
          </w:p>
        </w:tc>
        <w:tc>
          <w:tcPr>
            <w:tcW w:w="843"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标杆值</w:t>
            </w:r>
          </w:p>
        </w:tc>
        <w:tc>
          <w:tcPr>
            <w:tcW w:w="3299"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评分标准</w:t>
            </w:r>
          </w:p>
        </w:tc>
        <w:tc>
          <w:tcPr>
            <w:tcW w:w="56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0" w:hRule="atLeast"/>
        </w:trPr>
        <w:tc>
          <w:tcPr>
            <w:tcW w:w="784"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决策</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（10分）</w:t>
            </w:r>
          </w:p>
        </w:tc>
        <w:tc>
          <w:tcPr>
            <w:tcW w:w="828"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项目立项（2分）</w:t>
            </w: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立项依据</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充分性</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①项目立项是否符合国家法律法规、国民经济发展规划和相关政策；</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②项目立项是否符合行业发展规划和政策要求；</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③项目立项是否与部门职责范围相符，属于部门履职所需；</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④项目是否属于公共财政支持范围，是否符合中央、地方事权支出责任划分原则；</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⑤项目是否与相关部门同类项目或部门内部相关项目不重复。</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项目立项是否符合法律法规、相关政策、发展规划以及部门职责，用以反映和考核项目立项依据情况。</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充分</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5项各占1/5权重分，每有一项不满足，则扣除相应权重分。</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立项程序</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规范性</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①项目按照规定的程序申请设立；</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②所提交的文件、材料符合相关要求；</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③事前已经过必要的可行性研究、专家论证、风险评估、绩效评估、集体决策等。</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项目的申请、设立过程是否符合相关要求，用以反映和考核项目立项的规范情况。</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规范</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若①②③齐全得权重100%；如不符合①得0分；缺②扣权重1/3；缺③扣权重1/3。</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绩效目标（4分）</w:t>
            </w: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绩效目标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合理性</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①项目有绩效目标；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②项目绩效目标与实际工作内容具有相关性；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③项目预期产出效益和效果符合正常的业绩水平；</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④绩效目标与预算确定的项目投资额或资金量相匹配。</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项目所设定的绩效目标是否依据充分，是否符合客观实际，用以反映和考核项目绩效目标与项目实施的相符情况。</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合理</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45"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绩效指标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明确性</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①将项目绩效目标细化分解为具体的绩效指标；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②指标值清晰、可衡量；</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③指标值与项目年度任务数或计划数相对应。</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依据绩效目标设定的绩效指标是否清晰、细化、可衡量等，用以反映和考核项目绩效目标的明细化情况。</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明确</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3项各占1/3权重分，每有一项不满足，则扣除相应权重分。</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资金投入（4分）</w:t>
            </w: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预算编制</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科学性</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①预算编制经过科学论证；</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②预算内容与项目内容匹配；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③预算额度测算依据充分，按照标准编制；</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④预算确定的项目投资额或资金量与工作任务相匹配。</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项目预算编制是否经过科学论证、有明确标准，资金额度与年度目标是否相适应，用以反映和考核项目预算编制的科学性、合理性情况。</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科学</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资金分配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合理性</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①项目资金分配是否有测算依据    ②预算安排内容与专项资金的设立目的及年度工作重点是否一致</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考察项目资金分配是否有测算依据，预算安排内容与专项资金的设立目的及年度工作重点是否一致，用以反映和考核项目预算资金分配的科学性、合理性。</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合理</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①项目资金分配有测算依据得1/2权重分；</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②根据预算安排内容与专项资金的设立目的及年度工作重点的匹配程度判断，分别得年度剩余权重的100%、75%、50%、25%和0%。</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0" w:hRule="atLeast"/>
        </w:trPr>
        <w:tc>
          <w:tcPr>
            <w:tcW w:w="784"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过程</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（25分）</w:t>
            </w:r>
          </w:p>
        </w:tc>
        <w:tc>
          <w:tcPr>
            <w:tcW w:w="828"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资金管理（8分）</w:t>
            </w: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资金到位率</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资金到位率=（实际到位资金/预算资金）*100%。</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实际到位资金与预算资金的比率，用以反映和考核上年度资金落实情况对项目实施的总体保障程度。资金到位率=（实际到位资金/预算资金）*100%。</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资金到位率达100%得相应权重的100%，每下降1%扣5%权重，扣完相应权重为止。</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2"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预算执行率</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预算执行率=（实际支出金额/实际到位资金）×100%。</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项目预算资金是否按照计划执行，用以反映或考核项目预算执行情况。预算执行率=（实际支出金额/实际到位资金）×100%。</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①已完成的项目，预算执行率100%得满分，每降低1%扣5%权重分，扣完为止。②实施期项目，预算执行率与项目当年实施进度相匹配，预算执行率与项目实际完成率相比较，每偏离1%扣5%权重，扣完相应权重为止。</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42"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资金使用</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合规性</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①符合国家财经法规和财务管理制度以及有关专项资金管理办法的规定；</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②资金的拨付有完整的审批程序和手续；</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③符合项目预算批复或合同规定的用途；</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④不存在截留、挤占、挪用、虚列支出等情况。</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项目资金使用是否符合相关的财务管理制度规定，用以反映和考核项目资金的规范运行情况。</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合规</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4项全部符合视为使用合规，得满分；存在①或③或④不满足时属于严重违规事项，本项指标不得分；在①③④同时符合，②不符合时，本项指标得75%权重分；</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组织实施（17分）</w:t>
            </w:r>
            <w:r>
              <w:rPr>
                <w:rFonts w:ascii="Arial" w:hAnsi="Arial" w:eastAsia="仿宋_GB2312" w:cs="Arial"/>
                <w:color w:val="000000"/>
                <w:kern w:val="0"/>
                <w:sz w:val="22"/>
                <w:szCs w:val="22"/>
              </w:rPr>
              <w:t> </w:t>
            </w: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xml:space="preserve"> 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健全性</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①制定或具有相应的财务管理制度；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②制定或具有相应的业务管理制度；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③财务管理制度合法、合规、完整；</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④业务管理制度合法、合规、完整。</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项目实施单位的管理制度是否健全，是否已制定或具有相应的财务和业务管理制度，财务和业务管理制度是否合法、合规、完整。用以反映和考核财务和业务管理制度对项目顺利实施的保障情况。</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健全</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4项各占1/4权重分，每有一项不满足，则扣除相应权重分。（需根据实际情况细化制度和修改权重比）</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9"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绩效管理有效性</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①本次自评、部门评价资料报送及时性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②本次自评、部门评价资料完整性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③上年度评价结果应用情况</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上年度绩效评价结果应用于预算安排、政策调整和改进管理情况、本次自评和评价资料报送情况。</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有效</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3项各占1/3权重分，每有一项不满足，则扣除相应权重分。（需根据实际情况细化制度和修改权重比）</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00"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制度执行</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有效性</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①遵守相关法律法规和相关管理规定；</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②项目调整及支出调整手续完备；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③项目合同书、验收报告、技术鉴定等资料齐全并及时归档；</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④项目实施的人员条件、场地设备、信息支撑等落实到位。</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项目实施是否符合相关管理规定，用以反映和考核相关管理制度的有效执行情况。</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有效</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4项各占1/4权重分，每有一项不满足，则扣除相应权重分。（需根据实际情况细化制度和修改权重比）</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一票否决事项：在巡视巡查、监督检查、审计等工作中发现评价期项目存在问题，本项不得分。</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60" w:hRule="atLeast"/>
        </w:trPr>
        <w:tc>
          <w:tcPr>
            <w:tcW w:w="784"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(25分)</w:t>
            </w:r>
          </w:p>
        </w:tc>
        <w:tc>
          <w:tcPr>
            <w:tcW w:w="82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产出数量（10分）</w:t>
            </w: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实际完成率</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xml:space="preserve">1.热线咨询量≥90000人次           2.指派律师人数≥50人次              3.援助案件完成数量≥90次      </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项目实施的实际产出数与计划产出数的比率，用以反映和考核项目产出数量目标的实现程度。实际完成率=（实际产出数/计划产出数）×100%。</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实际产出数：一定时期（本年度或项目期）内项目实际产出的产品或提供的服务数量。</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计划产出数：项目绩效目标确定的在一定时期（本年度或项目期）内计划产出的产品或提供的服务数量。</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实际完成率达100%，则得满分，每低于1%，扣除5%权重分，扣完为止。实际产出数偏离计划产出数30%及以上，计算得分后再加扣5分。</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20"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产出质量（5分）</w:t>
            </w: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质量达标率</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1.受援人回访率≥20%           2.12348热线接通率≥70%            3.案件优良率≥10%</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3609" w:type="dxa"/>
            <w:tcBorders>
              <w:top w:val="nil"/>
              <w:left w:val="nil"/>
              <w:bottom w:val="single" w:color="auto" w:sz="4" w:space="0"/>
              <w:right w:val="single" w:color="auto" w:sz="4" w:space="0"/>
            </w:tcBorders>
            <w:tcMar>
              <w:top w:w="15" w:type="dxa"/>
              <w:left w:w="15" w:type="dxa"/>
              <w:right w:w="15" w:type="dxa"/>
            </w:tcMar>
            <w:vAlign w:val="top"/>
          </w:tcPr>
          <w:p>
            <w:pPr>
              <w:widowControl/>
              <w:jc w:val="left"/>
              <w:textAlignment w:val="top"/>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项目完成的质量达标产出数与实际产出数的比率，用以反映和考核项目产出质量目标的实现程度。质量达标率=（质量达标产出数/计划产出数）×100%。</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质量达标率达100%，则得满分，每低于1%，扣除5%权重分，扣完为止。</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9"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产出时效</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（5分）</w:t>
            </w: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完成及时率</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年内完成100%</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各项目是否均按照计划、文件批复等相关规定及时完成，用以反映和考核项目产出时效目标的实现程度。单个项目采用实际完成时间与计划完成时间相比较，多个项目计算完成及时率=及时完成的项目数/计划项目数*100%</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单个项目实际完成时间≤计划完成时间得满分，实际完成时间＞计划完成时间则不得分；多个项目完成及时率达100%，则得满分，每低于1%，扣除5%权重分，扣完为止。</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0"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产出成本</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（5分）</w:t>
            </w: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成本节约率</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成本节约0%≤5%</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完成项目计划工作目标的实际节约成本与计划成本的比率，用以反映和考核项目的成本节约程度。成本节约率=[（计划成本-实际成本）/计划成本]×100%。</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实际成本：项目实施单位如期、保质、保量完成既定工作目标实际所耗费的支出。</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计划成本：项目实施单位为完成工作目标计划安排的支出，一般以项目预算为参考。</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成本节约率大于0%且低于15%，则得满分，每高于（15%）或低于（0%）1%，扣除5%权重分，扣完为止。</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784"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效益</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（40分）</w:t>
            </w:r>
          </w:p>
        </w:tc>
        <w:tc>
          <w:tcPr>
            <w:tcW w:w="82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项目效益（25分）</w:t>
            </w: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社会效益</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法律援助受益人增加，确保法律援助受益人权益</w:t>
            </w:r>
          </w:p>
        </w:tc>
        <w:tc>
          <w:tcPr>
            <w:tcW w:w="547"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25</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经济效益、社会效益、生态效益指标应根据项目实际情况有选择地设置和细化四级指标和权重，应为定量指标。效益指标应根据部门三定方案工作职能、行业“十四五”规划工作目标、政府重点工作任务、政府综合考核任务、项目绩效目标等确定。</w:t>
            </w:r>
          </w:p>
        </w:tc>
        <w:tc>
          <w:tcPr>
            <w:tcW w:w="843"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增加</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效益总分与产出总分挂钩。如产出总得分率为90%（含）-100%，则项目效益得分按×产出得分率计算；产出得分率80%（含）-90%，则项目效益按80%计算；产出得分率60%（含）-80%，则项目效益按60%计算；产出得分率小于60%，则项目效益不得分。</w:t>
            </w:r>
          </w:p>
        </w:tc>
        <w:tc>
          <w:tcPr>
            <w:tcW w:w="562"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可持续</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影响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（7分）</w:t>
            </w:r>
          </w:p>
        </w:tc>
        <w:tc>
          <w:tcPr>
            <w:tcW w:w="1051"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项目发展机制可持续性</w:t>
            </w:r>
          </w:p>
        </w:tc>
        <w:tc>
          <w:tcPr>
            <w:tcW w:w="3136"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建立法律援助长效机制</w:t>
            </w:r>
          </w:p>
        </w:tc>
        <w:tc>
          <w:tcPr>
            <w:tcW w:w="547" w:type="dxa"/>
            <w:vMerge w:val="restart"/>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7</w:t>
            </w:r>
          </w:p>
        </w:tc>
        <w:tc>
          <w:tcPr>
            <w:tcW w:w="3609"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考察项目运转是否形成了可持续发展的机制。</w:t>
            </w:r>
          </w:p>
        </w:tc>
        <w:tc>
          <w:tcPr>
            <w:tcW w:w="843" w:type="dxa"/>
            <w:vMerge w:val="restart"/>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建立</w:t>
            </w:r>
          </w:p>
        </w:tc>
        <w:tc>
          <w:tcPr>
            <w:tcW w:w="3299"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项目运转形成了可持续发展的机制，是指明确管理机构，明确职责、人员分工、管理制度措施则得满分，少一项则扣除25%的权重分。</w:t>
            </w:r>
          </w:p>
        </w:tc>
        <w:tc>
          <w:tcPr>
            <w:tcW w:w="562" w:type="dxa"/>
            <w:vMerge w:val="restart"/>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0"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51"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3136"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left"/>
              <w:rPr>
                <w:rFonts w:ascii="仿宋_GB2312" w:hAnsi="Tahoma" w:eastAsia="仿宋_GB2312" w:cs="仿宋_GB2312"/>
                <w:color w:val="000000"/>
                <w:sz w:val="22"/>
                <w:szCs w:val="22"/>
              </w:rPr>
            </w:pPr>
          </w:p>
        </w:tc>
        <w:tc>
          <w:tcPr>
            <w:tcW w:w="547" w:type="dxa"/>
            <w:vMerge w:val="continue"/>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3609"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43" w:type="dxa"/>
            <w:vMerge w:val="continue"/>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3299"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left"/>
              <w:rPr>
                <w:rFonts w:ascii="仿宋_GB2312" w:hAnsi="Tahoma" w:eastAsia="仿宋_GB2312" w:cs="仿宋_GB2312"/>
                <w:color w:val="000000"/>
                <w:sz w:val="22"/>
                <w:szCs w:val="22"/>
              </w:rPr>
            </w:pPr>
          </w:p>
        </w:tc>
        <w:tc>
          <w:tcPr>
            <w:tcW w:w="562" w:type="dxa"/>
            <w:vMerge w:val="continue"/>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满意度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（8分）</w:t>
            </w: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服务对象</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满意度</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法律援助受益人满意度≥95%</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8</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考察社会公众或服务对象对项目实施效果的满意程度。社会公众或服务对象是指因该项目实施而受到影响的部门（单位）、群体或个人。一般采取社会调查的方式。</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≥95%</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服务对象满意度达b%，则得满分，每降低1%，扣除5%权重分。（b根据历史数据、绩效目标、考核目标等确定，通常不低于80%，若低于则需作出说明；若项目存在潜在受益服务对象，应同时对其进行满意度打分。）</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799"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合计</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100</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97.4</w:t>
            </w:r>
          </w:p>
        </w:tc>
      </w:tr>
    </w:tbl>
    <w:p>
      <w:pPr>
        <w:spacing w:after="305" w:afterLines="50" w:line="600" w:lineRule="exact"/>
        <w:rPr>
          <w:rFonts w:ascii="方正小标宋简体" w:hAnsi="方正小标宋简体" w:eastAsia="方正小标宋简体" w:cs="方正小标宋简体"/>
          <w:sz w:val="24"/>
        </w:rPr>
        <w:sectPr>
          <w:pgSz w:w="16783" w:h="23757"/>
          <w:pgMar w:top="1701" w:right="1077" w:bottom="1701" w:left="1077" w:header="0" w:footer="1418" w:gutter="0"/>
          <w:cols w:space="720" w:num="1"/>
          <w:docGrid w:type="linesAndChars" w:linePitch="610" w:charSpace="-849"/>
        </w:sectPr>
      </w:pPr>
    </w:p>
    <w:tbl>
      <w:tblPr>
        <w:tblStyle w:val="15"/>
        <w:tblW w:w="14659"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84"/>
        <w:gridCol w:w="828"/>
        <w:gridCol w:w="1051"/>
        <w:gridCol w:w="3136"/>
        <w:gridCol w:w="547"/>
        <w:gridCol w:w="3609"/>
        <w:gridCol w:w="843"/>
        <w:gridCol w:w="3299"/>
        <w:gridCol w:w="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14097" w:type="dxa"/>
            <w:gridSpan w:val="8"/>
            <w:tcBorders>
              <w:top w:val="nil"/>
              <w:left w:val="nil"/>
              <w:bottom w:val="nil"/>
              <w:right w:val="nil"/>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Cs w:val="32"/>
              </w:rPr>
            </w:pPr>
            <w:r>
              <w:rPr>
                <w:rFonts w:hint="eastAsia" w:ascii="仿宋_GB2312" w:hAnsi="Tahoma" w:eastAsia="仿宋_GB2312" w:cs="仿宋_GB2312"/>
                <w:b/>
                <w:color w:val="000000"/>
                <w:kern w:val="0"/>
                <w:szCs w:val="32"/>
              </w:rPr>
              <w:t>项目支出绩效评价指标体系</w:t>
            </w:r>
          </w:p>
        </w:tc>
        <w:tc>
          <w:tcPr>
            <w:tcW w:w="562"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14097" w:type="dxa"/>
            <w:gridSpan w:val="8"/>
            <w:tcBorders>
              <w:top w:val="nil"/>
              <w:left w:val="nil"/>
              <w:bottom w:val="nil"/>
              <w:right w:val="nil"/>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填报部门（单位）：青岛市法律援助中心                    资金名称：公共法律服务中心建设运行费</w:t>
            </w:r>
          </w:p>
        </w:tc>
        <w:tc>
          <w:tcPr>
            <w:tcW w:w="562" w:type="dxa"/>
            <w:tcBorders>
              <w:top w:val="nil"/>
              <w:left w:val="nil"/>
              <w:bottom w:val="nil"/>
              <w:right w:val="nil"/>
            </w:tcBorders>
            <w:tcMar>
              <w:top w:w="15" w:type="dxa"/>
              <w:left w:w="15" w:type="dxa"/>
              <w:right w:w="15" w:type="dxa"/>
            </w:tcMar>
            <w:vAlign w:val="center"/>
          </w:tcPr>
          <w:p>
            <w:pPr>
              <w:rPr>
                <w:rFonts w:ascii="仿宋_GB2312" w:hAnsi="Tahoma" w:eastAsia="仿宋_GB2312" w:cs="仿宋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784"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一级</w:t>
            </w:r>
            <w:r>
              <w:rPr>
                <w:rFonts w:hint="eastAsia" w:ascii="仿宋_GB2312" w:hAnsi="Tahoma" w:eastAsia="仿宋_GB2312" w:cs="仿宋_GB2312"/>
                <w:b/>
                <w:color w:val="000000"/>
                <w:kern w:val="0"/>
                <w:sz w:val="22"/>
                <w:szCs w:val="22"/>
              </w:rPr>
              <w:br/>
            </w:r>
            <w:r>
              <w:rPr>
                <w:rFonts w:hint="eastAsia" w:ascii="仿宋_GB2312" w:hAnsi="Tahoma" w:eastAsia="仿宋_GB2312" w:cs="仿宋_GB2312"/>
                <w:b/>
                <w:color w:val="000000"/>
                <w:kern w:val="0"/>
                <w:sz w:val="22"/>
                <w:szCs w:val="22"/>
              </w:rPr>
              <w:t>指标</w:t>
            </w:r>
          </w:p>
        </w:tc>
        <w:tc>
          <w:tcPr>
            <w:tcW w:w="828"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二级指标</w:t>
            </w:r>
          </w:p>
        </w:tc>
        <w:tc>
          <w:tcPr>
            <w:tcW w:w="1051"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三级指标</w:t>
            </w:r>
          </w:p>
        </w:tc>
        <w:tc>
          <w:tcPr>
            <w:tcW w:w="3136"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四级指标</w:t>
            </w:r>
          </w:p>
        </w:tc>
        <w:tc>
          <w:tcPr>
            <w:tcW w:w="547"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权重</w:t>
            </w:r>
          </w:p>
        </w:tc>
        <w:tc>
          <w:tcPr>
            <w:tcW w:w="3609"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指标解释</w:t>
            </w:r>
          </w:p>
        </w:tc>
        <w:tc>
          <w:tcPr>
            <w:tcW w:w="843"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标杆值</w:t>
            </w:r>
          </w:p>
        </w:tc>
        <w:tc>
          <w:tcPr>
            <w:tcW w:w="3299"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评分标准</w:t>
            </w:r>
          </w:p>
        </w:tc>
        <w:tc>
          <w:tcPr>
            <w:tcW w:w="56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0" w:hRule="atLeast"/>
        </w:trPr>
        <w:tc>
          <w:tcPr>
            <w:tcW w:w="784"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决策</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（10分）</w:t>
            </w:r>
          </w:p>
        </w:tc>
        <w:tc>
          <w:tcPr>
            <w:tcW w:w="828"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项目立项（2分）</w:t>
            </w: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立项依据</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充分性</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①项目立项是否符合国家法律法规、国民经济发展规划和相关政策；</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②项目立项是否符合行业发展规划和政策要求；</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③项目立项是否与部门职责范围相符，属于部门履职所需；</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④项目是否属于公共财政支持范围，是否符合中央、地方事权支出责任划分原则；</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⑤项目是否与相关部门同类项目或部门内部相关项目不重复。</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项目立项是否符合法律法规、相关政策、发展规划以及部门职责，用以反映和考核项目立项依据情况。</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充分</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5项各占1/5权重分，每有一项不满足，则扣除相应权重分。</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立项程序</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规范性</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①项目按照规定的程序申请设立；</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②所提交的文件、材料符合相关要求；</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③事前已经过必要的可行性研究、专家论证、风险评估、绩效评估、集体决策等。</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项目的申请、设立过程是否符合相关要求，用以反映和考核项目立项的规范情况。</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规范</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若①②③齐全得权重100%；如不符合①得0分；缺②扣权重1/3；缺③扣权重1/3。</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绩效目标（4分）</w:t>
            </w: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绩效目标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合理性</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①项目有绩效目标；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②项目绩效目标与实际工作内容具有相关性；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③项目预期产出效益和效果符合正常的业绩水平；</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④绩效目标与预算确定的项目投资额或资金量相匹配。</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项目所设定的绩效目标是否依据充分，是否符合客观实际，用以反映和考核项目绩效目标与项目实施的相符情况。</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合理</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45"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绩效指标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明确性</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①将项目绩效目标细化分解为具体的绩效指标；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②指标值清晰、可衡量；</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③指标值与项目年度任务数或计划数相对应。</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依据绩效目标设定的绩效指标是否清晰、细化、可衡量等，用以反映和考核项目绩效目标的明细化情况。</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明确</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3项各占1/3权重分，每有一项不满足，则扣除相应权重分。</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资金投入（4分）</w:t>
            </w: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预算编制</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科学性</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①预算编制经过科学论证；</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②预算内容与项目内容匹配；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③预算额度测算依据充分，按照标准编制；</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④预算确定的项目投资额或资金量与工作任务相匹配。</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项目预算编制是否经过科学论证、有明确标准，资金额度与年度目标是否相适应，用以反映和考核项目预算编制的科学性、合理性情况。</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科学</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资金分配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合理性</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①项目资金分配是否有测算依据    ②预算安排内容与专项资金的设立目的及年度工作重点是否一致</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考察项目资金分配是否有测算依据，预算安排内容与专项资金的设立目的及年度工作重点是否一致，用以反映和考核项目预算资金分配的科学性、合理性。</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合理</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①项目资金分配有测算依据得1/2权重分；</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②根据预算安排内容与专项资金的设立目的及年度工作重点的匹配程度判断，分别得年度剩余权重的100%、75%、50%、25%和0%。</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0" w:hRule="atLeast"/>
        </w:trPr>
        <w:tc>
          <w:tcPr>
            <w:tcW w:w="784"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过程</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（25分）</w:t>
            </w:r>
          </w:p>
        </w:tc>
        <w:tc>
          <w:tcPr>
            <w:tcW w:w="828"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资金管理（8分）</w:t>
            </w: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资金到位率</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资金到位率=（实际到位资金/预算资金）*100%。</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实际到位资金与预算资金的比率，用以反映和考核上年度资金落实情况对项目实施的总体保障程度。资金到位率=（实际到位资金/预算资金）*100%。</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资金到位率达100%得相应权重的100%，每下降1%扣5%权重，扣完相应权重为止。</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2"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预算执行率</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预算执行率=（实际支出金额/实际到位资金）×100%。</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项目预算资金是否按照计划执行，用以反映或考核项目预算执行情况。预算执行率=（实际支出金额/实际到位资金）×100%。</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①已完成的项目，预算执行率100%得满分，每降低1%扣5%权重分，扣完为止。②实施期项目，预算执行率与项目当年实施进度相匹配，预算执行率与项目实际完成率相比较，每偏离1%扣5%权重，扣完相应权重为止。</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79"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资金使用</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合规性</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①符合国家财经法规和财务管理制度以及有关专项资金管理办法的规定；</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②资金的拨付有完整的审批程序和手续；</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③符合项目预算批复或合同规定的用途；</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④不存在截留、挤占、挪用、虚列支出等情况。</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项目资金使用是否符合相关的财务管理制度规定，用以反映和考核项目资金的规范运行情况。</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合规</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4项全部符合视为使用合规，得满分；存在①或③或④不满足时属于严重违规事项，本项指标不得分；在①③④同时符合，②不符合时，本项指标得75%权重分；</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组织实施（17分）</w:t>
            </w:r>
            <w:r>
              <w:rPr>
                <w:rFonts w:ascii="Arial" w:hAnsi="Arial" w:eastAsia="仿宋_GB2312" w:cs="Arial"/>
                <w:color w:val="000000"/>
                <w:kern w:val="0"/>
                <w:sz w:val="22"/>
                <w:szCs w:val="22"/>
              </w:rPr>
              <w:t> </w:t>
            </w: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xml:space="preserve"> 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健全性</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①制定或具有相应的财务管理制度；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②制定或具有相应的业务管理制度；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③财务管理制度合法、合规、完整；</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④业务管理制度合法、合规、完整。</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项目实施单位的管理制度是否健全，是否已制定或具有相应的财务和业务管理制度，财务和业务管理制度是否合法、合规、完整。用以反映和考核财务和业务管理制度对项目顺利实施的保障情况。</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健全</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4项各占1/4权重分，每有一项不满足，则扣除相应权重分。（需根据实际情况细化制度和修改权重比）</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2"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绩效管理有效性</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①本次自评、部门评价资料报送及时性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②本次自评、部门评价资料完整性</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③上年度评价结果应用情况</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上年度绩效评价结果应用于预算安排、政策调整和改进管理情况、本次自评和评价资料报送情况。</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有效</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3项各占1/3权重分，每有一项不满足，则扣除相应权重分。（需根据实际情况细化制度和修改权重比）</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42"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制度执行</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有效性</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①遵守相关法律法规和相关管理规定；</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②项目调整及支出调整手续完备；</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③项目合同书、验收报告、技术鉴定等资料齐全并及时归档；</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④项目实施的人员条件、场地设备、信息支撑等落实到位。</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项目实施是否符合相关管理规定，用以反映和考核相关管理制度的有效执行情况。</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有效</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4项各占1/4权重分，每有一项不满足，则扣除相应权重分。（需根据实际情况细化制度和修改权重比）</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一票否决事项：在巡视巡查、监督检查、审计等工作中发现评价期项目存在问题，本项不得分。</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40" w:hRule="atLeast"/>
        </w:trPr>
        <w:tc>
          <w:tcPr>
            <w:tcW w:w="784"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(25分)</w:t>
            </w:r>
          </w:p>
        </w:tc>
        <w:tc>
          <w:tcPr>
            <w:tcW w:w="82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产出数量（10分）</w:t>
            </w: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实际完成率</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1.办理非诉讼调解案件≥100件        2.接待咨询量≥ 5000 人次</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项目实施的实际产出数与计划产出数的比率，用以反映和考核项目产出数量目标的实现程度。实际完成率=（实际产出数/计划产出数）×100%。</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实际产出数：一定时期（本年度或项目期）内项目实际产出的产品或提供的服务数量。</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计划产出数：项目绩效目标确定的在一定时期（本年度或项目期）内计划产出的产品或提供的服务数量。</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实际完成率达100%，则得满分，每低于1%，扣除5%权重分，扣完为止。实际产出数偏离计划产出数30%及以上，计算得分后再加扣5分。</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20"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产出质量（5分）</w:t>
            </w: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质量达标率</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1.非诉讼调解案件成功率≥ 50 %</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3609" w:type="dxa"/>
            <w:tcBorders>
              <w:top w:val="nil"/>
              <w:left w:val="nil"/>
              <w:bottom w:val="single" w:color="auto" w:sz="4" w:space="0"/>
              <w:right w:val="single" w:color="auto" w:sz="4" w:space="0"/>
            </w:tcBorders>
            <w:tcMar>
              <w:top w:w="15" w:type="dxa"/>
              <w:left w:w="15" w:type="dxa"/>
              <w:right w:w="15" w:type="dxa"/>
            </w:tcMar>
            <w:vAlign w:val="top"/>
          </w:tcPr>
          <w:p>
            <w:pPr>
              <w:widowControl/>
              <w:jc w:val="left"/>
              <w:textAlignment w:val="top"/>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项目完成的质量达标产出数与实际产出数的比率，用以反映和考核项目产出质量目标的实现程度。质量达标率=（质量达标产出数/计划产出数）×100%。</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质量达标率达50%，则得满分，每低于1%，扣除5%权重分，扣完为止。</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22"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产出时效</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（5分）</w:t>
            </w: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完成及时率</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为企业化解纠纷年内完成100%</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各项目是否均按照计划、文件批复等相关规定及时完成，用以反映和考核项目产出时效目标的实现程度。单个项目采用实际完成时间与计划完成时间相比较，多个项目计算完成及时率=及时完成的项目数/计划项目数*100%</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100%</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单个项目实际完成时间≤计划完成时间得满分，实际完成时间＞计划完成时间则不得分；多个项目完成及时率达100%，则得满分，每低于1%，扣除5%权重分，扣完为止。</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9"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产出成本</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（5分）</w:t>
            </w: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成本节约率</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成本节约0%≤5%</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完成项目计划工作目标的实际节约成本与计划成本的比率，用以反映和考核项目的成本节约程度。成本节约率=[（计划成本-实际成本）/计划成本]×100%。</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实际成本：项目实施单位如期、保质、保量完成既定工作目标实际所耗费的支出。</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计划成本：项目实施单位为完成工作目标计划安排的支出，一般以项目预算为参考。</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0%-15%</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成本节约率大于0%且低于15%，则得满分，每高于（15%）或低于（0%）1%，扣除5%权重分，扣完为止。</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784"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效益</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（40分）</w:t>
            </w:r>
          </w:p>
        </w:tc>
        <w:tc>
          <w:tcPr>
            <w:tcW w:w="82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项目效益（25分）</w:t>
            </w: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社会效益</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完成上级考核任务，处理非诉讼纠纷调解，进行法治宣传，公共法律服务中心正常运行。</w:t>
            </w:r>
          </w:p>
        </w:tc>
        <w:tc>
          <w:tcPr>
            <w:tcW w:w="547"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25</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经济效益、社会效益、生态效益指标应根据项目实际情况有选择地设置和细化四级指标和权重，应为定量指标。效益指标应根据部门三定方案工作职能、行业“十四五”规划工作目标、政府重点工作任务、政府综合考核任务、项目绩效目标等确定。</w:t>
            </w:r>
          </w:p>
        </w:tc>
        <w:tc>
          <w:tcPr>
            <w:tcW w:w="843"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明显</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效益总分与产出总分挂钩。如产出总得分率为90%（含）-100%，则项目效益得分按×产出得分率计算；产出得分率80%（含）-90%，则项目效益按80%计算；产出得分率60%（含）-80%，则项目效益按60%计算；产出得分率小于60%，则项目效益不得分。</w:t>
            </w:r>
          </w:p>
        </w:tc>
        <w:tc>
          <w:tcPr>
            <w:tcW w:w="562" w:type="dxa"/>
            <w:tcBorders>
              <w:top w:val="nil"/>
              <w:left w:val="nil"/>
              <w:bottom w:val="nil"/>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可持续</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影响</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（7分）</w:t>
            </w:r>
          </w:p>
        </w:tc>
        <w:tc>
          <w:tcPr>
            <w:tcW w:w="1051"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项目发展机制可持续性</w:t>
            </w:r>
          </w:p>
        </w:tc>
        <w:tc>
          <w:tcPr>
            <w:tcW w:w="3136"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建立中心正常运行长效机制</w:t>
            </w:r>
          </w:p>
        </w:tc>
        <w:tc>
          <w:tcPr>
            <w:tcW w:w="547" w:type="dxa"/>
            <w:vMerge w:val="restart"/>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7</w:t>
            </w:r>
          </w:p>
        </w:tc>
        <w:tc>
          <w:tcPr>
            <w:tcW w:w="3609"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考察项目运转是否形成了可持续发展的机制。</w:t>
            </w:r>
          </w:p>
        </w:tc>
        <w:tc>
          <w:tcPr>
            <w:tcW w:w="843" w:type="dxa"/>
            <w:vMerge w:val="restart"/>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建立</w:t>
            </w:r>
          </w:p>
        </w:tc>
        <w:tc>
          <w:tcPr>
            <w:tcW w:w="3299"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项目运转形成了可持续发展的机制，是指明确管理机构，明确职责、人员分工、管理制度措施则得满分，少一项则扣除25%的权重分。</w:t>
            </w:r>
          </w:p>
        </w:tc>
        <w:tc>
          <w:tcPr>
            <w:tcW w:w="562" w:type="dxa"/>
            <w:vMerge w:val="restart"/>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0"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1051"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3136"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left"/>
              <w:rPr>
                <w:rFonts w:ascii="仿宋_GB2312" w:hAnsi="Tahoma" w:eastAsia="仿宋_GB2312" w:cs="仿宋_GB2312"/>
                <w:color w:val="000000"/>
                <w:sz w:val="22"/>
                <w:szCs w:val="22"/>
              </w:rPr>
            </w:pPr>
          </w:p>
        </w:tc>
        <w:tc>
          <w:tcPr>
            <w:tcW w:w="547" w:type="dxa"/>
            <w:vMerge w:val="continue"/>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3609"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43" w:type="dxa"/>
            <w:vMerge w:val="continue"/>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3299"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left"/>
              <w:rPr>
                <w:rFonts w:ascii="仿宋_GB2312" w:hAnsi="Tahoma" w:eastAsia="仿宋_GB2312" w:cs="仿宋_GB2312"/>
                <w:color w:val="000000"/>
                <w:sz w:val="22"/>
                <w:szCs w:val="22"/>
              </w:rPr>
            </w:pPr>
          </w:p>
        </w:tc>
        <w:tc>
          <w:tcPr>
            <w:tcW w:w="562" w:type="dxa"/>
            <w:vMerge w:val="continue"/>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784"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Tahoma" w:eastAsia="仿宋_GB2312" w:cs="仿宋_GB2312"/>
                <w:color w:val="000000"/>
                <w:sz w:val="22"/>
                <w:szCs w:val="22"/>
              </w:rPr>
            </w:pPr>
          </w:p>
        </w:tc>
        <w:tc>
          <w:tcPr>
            <w:tcW w:w="828"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满意度</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（8分）</w:t>
            </w:r>
          </w:p>
        </w:tc>
        <w:tc>
          <w:tcPr>
            <w:tcW w:w="105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服务对象</w:t>
            </w:r>
            <w:r>
              <w:rPr>
                <w:rFonts w:hint="eastAsia" w:ascii="仿宋_GB2312" w:hAnsi="Tahoma" w:eastAsia="仿宋_GB2312" w:cs="仿宋_GB2312"/>
                <w:color w:val="000000"/>
                <w:kern w:val="0"/>
                <w:sz w:val="22"/>
                <w:szCs w:val="22"/>
              </w:rPr>
              <w:br/>
            </w:r>
            <w:r>
              <w:rPr>
                <w:rFonts w:hint="eastAsia" w:ascii="仿宋_GB2312" w:hAnsi="Tahoma" w:eastAsia="仿宋_GB2312" w:cs="仿宋_GB2312"/>
                <w:color w:val="000000"/>
                <w:kern w:val="0"/>
                <w:sz w:val="22"/>
                <w:szCs w:val="22"/>
              </w:rPr>
              <w:t>满意度</w:t>
            </w:r>
          </w:p>
        </w:tc>
        <w:tc>
          <w:tcPr>
            <w:tcW w:w="31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 xml:space="preserve">1.咨询人员满意度≥85%             2.调解成功案件受益人满意度≥85% </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8</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考察社会公众或服务对象对项目实施效果的满意程度。社会公众或服务对象是指因该项目实施而受到影响的部门（单位）、群体或个人。一般采取社会调查的方式。</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≥85%</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服务对象满意度达b%，则得满分，每降低1%，扣除5%权重分。（b根据历史数据、绩效目标、考核目标等确定，通常不低于80%，若低于则需作出说明；若项目存在潜在受益服务对象，应同时对其进行满意度打分。）</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5799"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合计</w:t>
            </w:r>
          </w:p>
        </w:tc>
        <w:tc>
          <w:tcPr>
            <w:tcW w:w="547"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100</w:t>
            </w:r>
          </w:p>
        </w:tc>
        <w:tc>
          <w:tcPr>
            <w:tcW w:w="3609"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843"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3299"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　</w:t>
            </w:r>
          </w:p>
        </w:tc>
        <w:tc>
          <w:tcPr>
            <w:tcW w:w="562"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Tahoma" w:eastAsia="仿宋_GB2312" w:cs="仿宋_GB2312"/>
                <w:b/>
                <w:color w:val="000000"/>
                <w:sz w:val="22"/>
                <w:szCs w:val="22"/>
              </w:rPr>
            </w:pPr>
            <w:r>
              <w:rPr>
                <w:rFonts w:hint="eastAsia" w:ascii="仿宋_GB2312" w:hAnsi="Tahoma" w:eastAsia="仿宋_GB2312" w:cs="仿宋_GB2312"/>
                <w:b/>
                <w:color w:val="000000"/>
                <w:kern w:val="0"/>
                <w:sz w:val="22"/>
                <w:szCs w:val="22"/>
              </w:rPr>
              <w:t>95.5</w:t>
            </w:r>
          </w:p>
        </w:tc>
      </w:tr>
    </w:tbl>
    <w:p>
      <w:pPr>
        <w:spacing w:after="305" w:afterLines="50" w:line="600" w:lineRule="exact"/>
        <w:rPr>
          <w:rFonts w:ascii="方正小标宋简体" w:hAnsi="方正小标宋简体" w:eastAsia="方正小标宋简体" w:cs="方正小标宋简体"/>
          <w:sz w:val="24"/>
        </w:rPr>
      </w:pPr>
    </w:p>
    <w:sectPr>
      <w:pgSz w:w="16783" w:h="23757"/>
      <w:pgMar w:top="1701" w:right="1077" w:bottom="1701" w:left="1077" w:header="0" w:footer="1418" w:gutter="0"/>
      <w:cols w:space="720" w:num="1"/>
      <w:docGrid w:type="linesAndChars" w:linePitch="61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2" w:usb3="00000000" w:csb0="00040001"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3576657">
    <w:nsid w:val="63282A51"/>
    <w:multiLevelType w:val="singleLevel"/>
    <w:tmpl w:val="63282A51"/>
    <w:lvl w:ilvl="0" w:tentative="1">
      <w:start w:val="1"/>
      <w:numFmt w:val="decimal"/>
      <w:suff w:val="nothing"/>
      <w:lvlText w:val="%1."/>
      <w:lvlJc w:val="left"/>
    </w:lvl>
  </w:abstractNum>
  <w:num w:numId="1">
    <w:abstractNumId w:val="16635766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bordersDoNotSurroundHeader w:val="1"/>
  <w:bordersDoNotSurroundFooter w:val="1"/>
  <w:documentProtection w:enforcement="0"/>
  <w:defaultTabStop w:val="420"/>
  <w:drawingGridHorizontalSpacing w:val="158"/>
  <w:drawingGridVerticalSpacing w:val="30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zIzNzE5ZjcyYjhmYTllOWQxOTUwZmJiNmM1MWUwN2IifQ=="/>
  </w:docVars>
  <w:rsids>
    <w:rsidRoot w:val="00172A27"/>
    <w:rsid w:val="000014E1"/>
    <w:rsid w:val="0000396E"/>
    <w:rsid w:val="000051C9"/>
    <w:rsid w:val="000054CC"/>
    <w:rsid w:val="00010EE4"/>
    <w:rsid w:val="00011A23"/>
    <w:rsid w:val="00011E23"/>
    <w:rsid w:val="00013AA6"/>
    <w:rsid w:val="0001550E"/>
    <w:rsid w:val="000254F5"/>
    <w:rsid w:val="00026A16"/>
    <w:rsid w:val="00026CA6"/>
    <w:rsid w:val="0002779D"/>
    <w:rsid w:val="000316F7"/>
    <w:rsid w:val="000327A9"/>
    <w:rsid w:val="00032920"/>
    <w:rsid w:val="00036864"/>
    <w:rsid w:val="000368A1"/>
    <w:rsid w:val="00037DDA"/>
    <w:rsid w:val="0004120A"/>
    <w:rsid w:val="00042165"/>
    <w:rsid w:val="0004356C"/>
    <w:rsid w:val="00046FC3"/>
    <w:rsid w:val="00050C15"/>
    <w:rsid w:val="00050D25"/>
    <w:rsid w:val="000524C6"/>
    <w:rsid w:val="00052EFB"/>
    <w:rsid w:val="00053AB6"/>
    <w:rsid w:val="00054331"/>
    <w:rsid w:val="00056332"/>
    <w:rsid w:val="00057D13"/>
    <w:rsid w:val="000614FD"/>
    <w:rsid w:val="00064F2A"/>
    <w:rsid w:val="00066B73"/>
    <w:rsid w:val="00070B69"/>
    <w:rsid w:val="00070C8F"/>
    <w:rsid w:val="000716A4"/>
    <w:rsid w:val="00071966"/>
    <w:rsid w:val="00073B4C"/>
    <w:rsid w:val="00081A93"/>
    <w:rsid w:val="000820E1"/>
    <w:rsid w:val="000830CE"/>
    <w:rsid w:val="0008333B"/>
    <w:rsid w:val="00083BFB"/>
    <w:rsid w:val="00084F74"/>
    <w:rsid w:val="00086A39"/>
    <w:rsid w:val="00086E32"/>
    <w:rsid w:val="000875CD"/>
    <w:rsid w:val="0008760C"/>
    <w:rsid w:val="00087CBE"/>
    <w:rsid w:val="00093717"/>
    <w:rsid w:val="00094090"/>
    <w:rsid w:val="000950AD"/>
    <w:rsid w:val="00095C8B"/>
    <w:rsid w:val="0009684C"/>
    <w:rsid w:val="00096D61"/>
    <w:rsid w:val="000A4003"/>
    <w:rsid w:val="000B16B3"/>
    <w:rsid w:val="000B216D"/>
    <w:rsid w:val="000B2A1D"/>
    <w:rsid w:val="000B2A9D"/>
    <w:rsid w:val="000B329E"/>
    <w:rsid w:val="000B4533"/>
    <w:rsid w:val="000B62E0"/>
    <w:rsid w:val="000B7BEE"/>
    <w:rsid w:val="000C0F84"/>
    <w:rsid w:val="000C3FFF"/>
    <w:rsid w:val="000C5813"/>
    <w:rsid w:val="000D1248"/>
    <w:rsid w:val="000D219C"/>
    <w:rsid w:val="000D2AEF"/>
    <w:rsid w:val="000D5A5F"/>
    <w:rsid w:val="000E3FFA"/>
    <w:rsid w:val="000E4218"/>
    <w:rsid w:val="000F0028"/>
    <w:rsid w:val="000F14FD"/>
    <w:rsid w:val="000F20AA"/>
    <w:rsid w:val="000F2950"/>
    <w:rsid w:val="000F40F1"/>
    <w:rsid w:val="000F53DF"/>
    <w:rsid w:val="000F797A"/>
    <w:rsid w:val="0010076A"/>
    <w:rsid w:val="001068B7"/>
    <w:rsid w:val="00110FFF"/>
    <w:rsid w:val="001127C5"/>
    <w:rsid w:val="001130A1"/>
    <w:rsid w:val="0011406B"/>
    <w:rsid w:val="0011436E"/>
    <w:rsid w:val="00114A8B"/>
    <w:rsid w:val="0011784D"/>
    <w:rsid w:val="001217FF"/>
    <w:rsid w:val="00123414"/>
    <w:rsid w:val="00124656"/>
    <w:rsid w:val="0012551C"/>
    <w:rsid w:val="00130C3A"/>
    <w:rsid w:val="001319FA"/>
    <w:rsid w:val="00131F72"/>
    <w:rsid w:val="00131F88"/>
    <w:rsid w:val="00135941"/>
    <w:rsid w:val="00137B81"/>
    <w:rsid w:val="0014113E"/>
    <w:rsid w:val="00143419"/>
    <w:rsid w:val="001447E6"/>
    <w:rsid w:val="00146927"/>
    <w:rsid w:val="00152556"/>
    <w:rsid w:val="00156430"/>
    <w:rsid w:val="001609DF"/>
    <w:rsid w:val="0016333C"/>
    <w:rsid w:val="00163840"/>
    <w:rsid w:val="00164D8E"/>
    <w:rsid w:val="0016752D"/>
    <w:rsid w:val="00167D8B"/>
    <w:rsid w:val="00172A27"/>
    <w:rsid w:val="00173622"/>
    <w:rsid w:val="00173F64"/>
    <w:rsid w:val="001744FD"/>
    <w:rsid w:val="001779FA"/>
    <w:rsid w:val="001806E9"/>
    <w:rsid w:val="0018190E"/>
    <w:rsid w:val="00182B84"/>
    <w:rsid w:val="00182E3E"/>
    <w:rsid w:val="001877CE"/>
    <w:rsid w:val="00191D94"/>
    <w:rsid w:val="00192220"/>
    <w:rsid w:val="001926FA"/>
    <w:rsid w:val="00192C75"/>
    <w:rsid w:val="00192DBA"/>
    <w:rsid w:val="00196B03"/>
    <w:rsid w:val="00196C2D"/>
    <w:rsid w:val="001A0D7C"/>
    <w:rsid w:val="001A3116"/>
    <w:rsid w:val="001A51F6"/>
    <w:rsid w:val="001A62C9"/>
    <w:rsid w:val="001B0F47"/>
    <w:rsid w:val="001B1D17"/>
    <w:rsid w:val="001B2B8E"/>
    <w:rsid w:val="001B39D5"/>
    <w:rsid w:val="001C06F6"/>
    <w:rsid w:val="001C1F7C"/>
    <w:rsid w:val="001C2B96"/>
    <w:rsid w:val="001C5232"/>
    <w:rsid w:val="001C6921"/>
    <w:rsid w:val="001D121F"/>
    <w:rsid w:val="001D49E1"/>
    <w:rsid w:val="001D6856"/>
    <w:rsid w:val="001D6B45"/>
    <w:rsid w:val="001D772B"/>
    <w:rsid w:val="001E1804"/>
    <w:rsid w:val="001E1CB0"/>
    <w:rsid w:val="001E5194"/>
    <w:rsid w:val="001E524F"/>
    <w:rsid w:val="001E6D89"/>
    <w:rsid w:val="001E781F"/>
    <w:rsid w:val="001F226D"/>
    <w:rsid w:val="001F3816"/>
    <w:rsid w:val="001F6A36"/>
    <w:rsid w:val="00200FFD"/>
    <w:rsid w:val="0020145C"/>
    <w:rsid w:val="0020577D"/>
    <w:rsid w:val="00210081"/>
    <w:rsid w:val="00210DA6"/>
    <w:rsid w:val="00212B79"/>
    <w:rsid w:val="00213166"/>
    <w:rsid w:val="002153BC"/>
    <w:rsid w:val="00216FF8"/>
    <w:rsid w:val="002178AA"/>
    <w:rsid w:val="00220024"/>
    <w:rsid w:val="00220711"/>
    <w:rsid w:val="00220DCC"/>
    <w:rsid w:val="00221B90"/>
    <w:rsid w:val="00222033"/>
    <w:rsid w:val="002241A2"/>
    <w:rsid w:val="002247C1"/>
    <w:rsid w:val="002258A6"/>
    <w:rsid w:val="00226237"/>
    <w:rsid w:val="002264BC"/>
    <w:rsid w:val="00227A86"/>
    <w:rsid w:val="00227D74"/>
    <w:rsid w:val="00232DA0"/>
    <w:rsid w:val="00233412"/>
    <w:rsid w:val="002338C6"/>
    <w:rsid w:val="00236615"/>
    <w:rsid w:val="00237324"/>
    <w:rsid w:val="00242F14"/>
    <w:rsid w:val="002445E3"/>
    <w:rsid w:val="002448F9"/>
    <w:rsid w:val="0024752A"/>
    <w:rsid w:val="002506F5"/>
    <w:rsid w:val="00251E4A"/>
    <w:rsid w:val="002531F5"/>
    <w:rsid w:val="00254610"/>
    <w:rsid w:val="00254B3E"/>
    <w:rsid w:val="00254C53"/>
    <w:rsid w:val="0025593F"/>
    <w:rsid w:val="00255C8A"/>
    <w:rsid w:val="0026316A"/>
    <w:rsid w:val="00265320"/>
    <w:rsid w:val="00272225"/>
    <w:rsid w:val="00272E81"/>
    <w:rsid w:val="00273B75"/>
    <w:rsid w:val="00273E2B"/>
    <w:rsid w:val="00274377"/>
    <w:rsid w:val="00276D96"/>
    <w:rsid w:val="00280994"/>
    <w:rsid w:val="00280FDB"/>
    <w:rsid w:val="00281303"/>
    <w:rsid w:val="0028239F"/>
    <w:rsid w:val="002824CD"/>
    <w:rsid w:val="00283833"/>
    <w:rsid w:val="00284D4C"/>
    <w:rsid w:val="00284E99"/>
    <w:rsid w:val="0028511A"/>
    <w:rsid w:val="002963ED"/>
    <w:rsid w:val="002A16FB"/>
    <w:rsid w:val="002A1EA4"/>
    <w:rsid w:val="002A231D"/>
    <w:rsid w:val="002A259B"/>
    <w:rsid w:val="002A62A3"/>
    <w:rsid w:val="002A7A53"/>
    <w:rsid w:val="002B2A69"/>
    <w:rsid w:val="002B2CD0"/>
    <w:rsid w:val="002B364D"/>
    <w:rsid w:val="002C2837"/>
    <w:rsid w:val="002C315B"/>
    <w:rsid w:val="002C474C"/>
    <w:rsid w:val="002C6723"/>
    <w:rsid w:val="002D15CA"/>
    <w:rsid w:val="002D2695"/>
    <w:rsid w:val="002E3720"/>
    <w:rsid w:val="002E529A"/>
    <w:rsid w:val="002E61FA"/>
    <w:rsid w:val="002E73C1"/>
    <w:rsid w:val="002F28E1"/>
    <w:rsid w:val="002F2F44"/>
    <w:rsid w:val="002F565C"/>
    <w:rsid w:val="002F5A12"/>
    <w:rsid w:val="002F63E3"/>
    <w:rsid w:val="002F678D"/>
    <w:rsid w:val="002F764D"/>
    <w:rsid w:val="00303490"/>
    <w:rsid w:val="003060BB"/>
    <w:rsid w:val="003109E8"/>
    <w:rsid w:val="00310EE2"/>
    <w:rsid w:val="00313828"/>
    <w:rsid w:val="00316544"/>
    <w:rsid w:val="00316546"/>
    <w:rsid w:val="00316F16"/>
    <w:rsid w:val="00322777"/>
    <w:rsid w:val="00324E0B"/>
    <w:rsid w:val="00326F7A"/>
    <w:rsid w:val="00327F0B"/>
    <w:rsid w:val="0033084C"/>
    <w:rsid w:val="003335C5"/>
    <w:rsid w:val="00334FDD"/>
    <w:rsid w:val="00337245"/>
    <w:rsid w:val="0033792D"/>
    <w:rsid w:val="003403C8"/>
    <w:rsid w:val="003403FC"/>
    <w:rsid w:val="0034359F"/>
    <w:rsid w:val="003462C7"/>
    <w:rsid w:val="0034631F"/>
    <w:rsid w:val="00346BA6"/>
    <w:rsid w:val="00347EF3"/>
    <w:rsid w:val="00347F03"/>
    <w:rsid w:val="00350689"/>
    <w:rsid w:val="00350862"/>
    <w:rsid w:val="00350B68"/>
    <w:rsid w:val="00352120"/>
    <w:rsid w:val="003542B6"/>
    <w:rsid w:val="00356CBE"/>
    <w:rsid w:val="00357344"/>
    <w:rsid w:val="003577CB"/>
    <w:rsid w:val="00357815"/>
    <w:rsid w:val="003578AA"/>
    <w:rsid w:val="00360F6F"/>
    <w:rsid w:val="0036295C"/>
    <w:rsid w:val="003655D7"/>
    <w:rsid w:val="00371BC7"/>
    <w:rsid w:val="00371CC6"/>
    <w:rsid w:val="00373F56"/>
    <w:rsid w:val="00374C3A"/>
    <w:rsid w:val="00377F07"/>
    <w:rsid w:val="003867E9"/>
    <w:rsid w:val="003868BA"/>
    <w:rsid w:val="00391DC0"/>
    <w:rsid w:val="00392602"/>
    <w:rsid w:val="00392E4C"/>
    <w:rsid w:val="00394C25"/>
    <w:rsid w:val="00396433"/>
    <w:rsid w:val="003A3189"/>
    <w:rsid w:val="003A547D"/>
    <w:rsid w:val="003A6FD0"/>
    <w:rsid w:val="003B1547"/>
    <w:rsid w:val="003B31CE"/>
    <w:rsid w:val="003B47B9"/>
    <w:rsid w:val="003B4898"/>
    <w:rsid w:val="003B527E"/>
    <w:rsid w:val="003B55A7"/>
    <w:rsid w:val="003B57F4"/>
    <w:rsid w:val="003B758D"/>
    <w:rsid w:val="003B7662"/>
    <w:rsid w:val="003B7EAD"/>
    <w:rsid w:val="003C1BDE"/>
    <w:rsid w:val="003C21A0"/>
    <w:rsid w:val="003C3553"/>
    <w:rsid w:val="003C37AC"/>
    <w:rsid w:val="003C3ABC"/>
    <w:rsid w:val="003C6790"/>
    <w:rsid w:val="003C7AD0"/>
    <w:rsid w:val="003D05B7"/>
    <w:rsid w:val="003D103D"/>
    <w:rsid w:val="003D4840"/>
    <w:rsid w:val="003D6BBF"/>
    <w:rsid w:val="003D7542"/>
    <w:rsid w:val="003E3A3D"/>
    <w:rsid w:val="003E4AAF"/>
    <w:rsid w:val="003E6CE5"/>
    <w:rsid w:val="003F07F4"/>
    <w:rsid w:val="003F228F"/>
    <w:rsid w:val="003F27FF"/>
    <w:rsid w:val="003F29E4"/>
    <w:rsid w:val="003F2F93"/>
    <w:rsid w:val="003F4472"/>
    <w:rsid w:val="003F4B1C"/>
    <w:rsid w:val="003F6474"/>
    <w:rsid w:val="003F6E93"/>
    <w:rsid w:val="004002DB"/>
    <w:rsid w:val="00401597"/>
    <w:rsid w:val="004037FB"/>
    <w:rsid w:val="00405479"/>
    <w:rsid w:val="004057DF"/>
    <w:rsid w:val="00405F7F"/>
    <w:rsid w:val="00407499"/>
    <w:rsid w:val="00407B7F"/>
    <w:rsid w:val="00410226"/>
    <w:rsid w:val="0041442B"/>
    <w:rsid w:val="00416766"/>
    <w:rsid w:val="00417FD0"/>
    <w:rsid w:val="00424863"/>
    <w:rsid w:val="004259B8"/>
    <w:rsid w:val="004264D7"/>
    <w:rsid w:val="00426E2C"/>
    <w:rsid w:val="004328B8"/>
    <w:rsid w:val="00434A28"/>
    <w:rsid w:val="004411DC"/>
    <w:rsid w:val="00441892"/>
    <w:rsid w:val="004432F9"/>
    <w:rsid w:val="004469C7"/>
    <w:rsid w:val="00447483"/>
    <w:rsid w:val="004520E4"/>
    <w:rsid w:val="0045295F"/>
    <w:rsid w:val="004603F4"/>
    <w:rsid w:val="00461625"/>
    <w:rsid w:val="004628D2"/>
    <w:rsid w:val="00462E90"/>
    <w:rsid w:val="00465029"/>
    <w:rsid w:val="00467CB1"/>
    <w:rsid w:val="00470DF5"/>
    <w:rsid w:val="004742C3"/>
    <w:rsid w:val="00474F47"/>
    <w:rsid w:val="004756A3"/>
    <w:rsid w:val="00475D3C"/>
    <w:rsid w:val="00475E3F"/>
    <w:rsid w:val="004833D1"/>
    <w:rsid w:val="00486839"/>
    <w:rsid w:val="00492BC7"/>
    <w:rsid w:val="004937DB"/>
    <w:rsid w:val="00493B6B"/>
    <w:rsid w:val="00494878"/>
    <w:rsid w:val="00496FF9"/>
    <w:rsid w:val="004A06E6"/>
    <w:rsid w:val="004A11AC"/>
    <w:rsid w:val="004A1F17"/>
    <w:rsid w:val="004A34B2"/>
    <w:rsid w:val="004A3C2B"/>
    <w:rsid w:val="004B1369"/>
    <w:rsid w:val="004B3580"/>
    <w:rsid w:val="004B5AF3"/>
    <w:rsid w:val="004B69D1"/>
    <w:rsid w:val="004B78A6"/>
    <w:rsid w:val="004B7EA8"/>
    <w:rsid w:val="004C09C5"/>
    <w:rsid w:val="004C1DFB"/>
    <w:rsid w:val="004C3A39"/>
    <w:rsid w:val="004C635A"/>
    <w:rsid w:val="004C714C"/>
    <w:rsid w:val="004D0ECD"/>
    <w:rsid w:val="004D6A2F"/>
    <w:rsid w:val="004D775B"/>
    <w:rsid w:val="004E2002"/>
    <w:rsid w:val="004E2573"/>
    <w:rsid w:val="004E2F34"/>
    <w:rsid w:val="004E417B"/>
    <w:rsid w:val="004E4949"/>
    <w:rsid w:val="004E6055"/>
    <w:rsid w:val="004E6E42"/>
    <w:rsid w:val="004F020F"/>
    <w:rsid w:val="004F5755"/>
    <w:rsid w:val="00501856"/>
    <w:rsid w:val="00501A4E"/>
    <w:rsid w:val="005020A5"/>
    <w:rsid w:val="005024FE"/>
    <w:rsid w:val="00503587"/>
    <w:rsid w:val="0050370E"/>
    <w:rsid w:val="005037D5"/>
    <w:rsid w:val="00503CA4"/>
    <w:rsid w:val="005043E7"/>
    <w:rsid w:val="005052E8"/>
    <w:rsid w:val="005057EA"/>
    <w:rsid w:val="00505CE2"/>
    <w:rsid w:val="00512AC4"/>
    <w:rsid w:val="005131A4"/>
    <w:rsid w:val="00513DCC"/>
    <w:rsid w:val="00514ABB"/>
    <w:rsid w:val="005159B6"/>
    <w:rsid w:val="005166E1"/>
    <w:rsid w:val="00520AA8"/>
    <w:rsid w:val="00520F1F"/>
    <w:rsid w:val="0052106D"/>
    <w:rsid w:val="005222FB"/>
    <w:rsid w:val="00522784"/>
    <w:rsid w:val="00523A46"/>
    <w:rsid w:val="00525DA1"/>
    <w:rsid w:val="00527A51"/>
    <w:rsid w:val="0053025B"/>
    <w:rsid w:val="00530FF0"/>
    <w:rsid w:val="00531719"/>
    <w:rsid w:val="0053232B"/>
    <w:rsid w:val="005346CC"/>
    <w:rsid w:val="005356D2"/>
    <w:rsid w:val="005401D2"/>
    <w:rsid w:val="00540603"/>
    <w:rsid w:val="00540AD6"/>
    <w:rsid w:val="00542F2B"/>
    <w:rsid w:val="00543C8E"/>
    <w:rsid w:val="00543DAD"/>
    <w:rsid w:val="00545D5D"/>
    <w:rsid w:val="0054719B"/>
    <w:rsid w:val="005503A4"/>
    <w:rsid w:val="00553951"/>
    <w:rsid w:val="00553A90"/>
    <w:rsid w:val="00556E9E"/>
    <w:rsid w:val="00560134"/>
    <w:rsid w:val="005639DA"/>
    <w:rsid w:val="005639FF"/>
    <w:rsid w:val="0056671C"/>
    <w:rsid w:val="00567B1C"/>
    <w:rsid w:val="005739EF"/>
    <w:rsid w:val="00574881"/>
    <w:rsid w:val="00580CBD"/>
    <w:rsid w:val="0058210F"/>
    <w:rsid w:val="0058268B"/>
    <w:rsid w:val="00584EFF"/>
    <w:rsid w:val="0058617C"/>
    <w:rsid w:val="005865DD"/>
    <w:rsid w:val="00591C85"/>
    <w:rsid w:val="00592DDD"/>
    <w:rsid w:val="00596B4F"/>
    <w:rsid w:val="005A3C5A"/>
    <w:rsid w:val="005A646E"/>
    <w:rsid w:val="005B0576"/>
    <w:rsid w:val="005B07FD"/>
    <w:rsid w:val="005B17D3"/>
    <w:rsid w:val="005C0170"/>
    <w:rsid w:val="005C213A"/>
    <w:rsid w:val="005C3417"/>
    <w:rsid w:val="005C44CB"/>
    <w:rsid w:val="005C5ECB"/>
    <w:rsid w:val="005C7AE7"/>
    <w:rsid w:val="005D19FC"/>
    <w:rsid w:val="005D1F85"/>
    <w:rsid w:val="005D34CC"/>
    <w:rsid w:val="005E0229"/>
    <w:rsid w:val="005E06F3"/>
    <w:rsid w:val="005E1E31"/>
    <w:rsid w:val="005E25DB"/>
    <w:rsid w:val="005E4A33"/>
    <w:rsid w:val="005E4E40"/>
    <w:rsid w:val="005E50CC"/>
    <w:rsid w:val="005F0C63"/>
    <w:rsid w:val="005F2454"/>
    <w:rsid w:val="005F4A92"/>
    <w:rsid w:val="005F500E"/>
    <w:rsid w:val="005F5439"/>
    <w:rsid w:val="006001DA"/>
    <w:rsid w:val="00601EBB"/>
    <w:rsid w:val="0060206B"/>
    <w:rsid w:val="00602569"/>
    <w:rsid w:val="00602B37"/>
    <w:rsid w:val="00602F17"/>
    <w:rsid w:val="00604699"/>
    <w:rsid w:val="00605279"/>
    <w:rsid w:val="006139B9"/>
    <w:rsid w:val="00614813"/>
    <w:rsid w:val="00616428"/>
    <w:rsid w:val="006166B5"/>
    <w:rsid w:val="00620D5F"/>
    <w:rsid w:val="00620F68"/>
    <w:rsid w:val="006211FA"/>
    <w:rsid w:val="0062225D"/>
    <w:rsid w:val="0062313A"/>
    <w:rsid w:val="00623AFF"/>
    <w:rsid w:val="00624998"/>
    <w:rsid w:val="00625941"/>
    <w:rsid w:val="00625F11"/>
    <w:rsid w:val="00632CFA"/>
    <w:rsid w:val="00633170"/>
    <w:rsid w:val="0063419C"/>
    <w:rsid w:val="0063614F"/>
    <w:rsid w:val="006364A7"/>
    <w:rsid w:val="0064132A"/>
    <w:rsid w:val="00641C19"/>
    <w:rsid w:val="00641C3D"/>
    <w:rsid w:val="00641FE3"/>
    <w:rsid w:val="006501F5"/>
    <w:rsid w:val="006506D9"/>
    <w:rsid w:val="006514A9"/>
    <w:rsid w:val="00651B20"/>
    <w:rsid w:val="00652DDE"/>
    <w:rsid w:val="006540D1"/>
    <w:rsid w:val="00660208"/>
    <w:rsid w:val="00661B0B"/>
    <w:rsid w:val="006628E6"/>
    <w:rsid w:val="006639E4"/>
    <w:rsid w:val="0066642A"/>
    <w:rsid w:val="0067175B"/>
    <w:rsid w:val="006717C2"/>
    <w:rsid w:val="00671DF1"/>
    <w:rsid w:val="006723A3"/>
    <w:rsid w:val="0067331A"/>
    <w:rsid w:val="00674143"/>
    <w:rsid w:val="0067469F"/>
    <w:rsid w:val="00675A6F"/>
    <w:rsid w:val="006770AD"/>
    <w:rsid w:val="0068181E"/>
    <w:rsid w:val="006835C0"/>
    <w:rsid w:val="00684D7F"/>
    <w:rsid w:val="00686150"/>
    <w:rsid w:val="006867FD"/>
    <w:rsid w:val="00687FB4"/>
    <w:rsid w:val="00695419"/>
    <w:rsid w:val="00696268"/>
    <w:rsid w:val="006973F4"/>
    <w:rsid w:val="00697514"/>
    <w:rsid w:val="006A00A5"/>
    <w:rsid w:val="006B0349"/>
    <w:rsid w:val="006B14BF"/>
    <w:rsid w:val="006B167C"/>
    <w:rsid w:val="006B5F3F"/>
    <w:rsid w:val="006B677B"/>
    <w:rsid w:val="006C0618"/>
    <w:rsid w:val="006C1B4D"/>
    <w:rsid w:val="006C1DD9"/>
    <w:rsid w:val="006C45D7"/>
    <w:rsid w:val="006C4E58"/>
    <w:rsid w:val="006D0684"/>
    <w:rsid w:val="006D0F89"/>
    <w:rsid w:val="006D2189"/>
    <w:rsid w:val="006D3B48"/>
    <w:rsid w:val="006D3F18"/>
    <w:rsid w:val="006D5B76"/>
    <w:rsid w:val="006D5E6E"/>
    <w:rsid w:val="006D639E"/>
    <w:rsid w:val="006D6847"/>
    <w:rsid w:val="006E00CE"/>
    <w:rsid w:val="006E05D2"/>
    <w:rsid w:val="006E0D7C"/>
    <w:rsid w:val="006E1036"/>
    <w:rsid w:val="006E35B2"/>
    <w:rsid w:val="006E3E9C"/>
    <w:rsid w:val="006E45CF"/>
    <w:rsid w:val="006E6165"/>
    <w:rsid w:val="006E6380"/>
    <w:rsid w:val="006E788A"/>
    <w:rsid w:val="006E7945"/>
    <w:rsid w:val="006F13CC"/>
    <w:rsid w:val="006F3277"/>
    <w:rsid w:val="006F3700"/>
    <w:rsid w:val="006F4F2B"/>
    <w:rsid w:val="006F51DA"/>
    <w:rsid w:val="006F5DA7"/>
    <w:rsid w:val="006F7EC2"/>
    <w:rsid w:val="00701FB4"/>
    <w:rsid w:val="00704939"/>
    <w:rsid w:val="00710962"/>
    <w:rsid w:val="00710DA3"/>
    <w:rsid w:val="00710F28"/>
    <w:rsid w:val="00712699"/>
    <w:rsid w:val="007138A9"/>
    <w:rsid w:val="00714A95"/>
    <w:rsid w:val="00715FD7"/>
    <w:rsid w:val="007162C9"/>
    <w:rsid w:val="007207CC"/>
    <w:rsid w:val="00720A85"/>
    <w:rsid w:val="00721E6F"/>
    <w:rsid w:val="00722761"/>
    <w:rsid w:val="00723505"/>
    <w:rsid w:val="0072669B"/>
    <w:rsid w:val="007305F4"/>
    <w:rsid w:val="007356FC"/>
    <w:rsid w:val="00736A7F"/>
    <w:rsid w:val="0073721A"/>
    <w:rsid w:val="00741839"/>
    <w:rsid w:val="00750F5B"/>
    <w:rsid w:val="007517C0"/>
    <w:rsid w:val="00752167"/>
    <w:rsid w:val="00753C7D"/>
    <w:rsid w:val="007577B5"/>
    <w:rsid w:val="007609AA"/>
    <w:rsid w:val="00760EE1"/>
    <w:rsid w:val="00760F19"/>
    <w:rsid w:val="00760FD8"/>
    <w:rsid w:val="0076225D"/>
    <w:rsid w:val="0076283B"/>
    <w:rsid w:val="00763215"/>
    <w:rsid w:val="0076592C"/>
    <w:rsid w:val="00766BE2"/>
    <w:rsid w:val="00772975"/>
    <w:rsid w:val="007740BA"/>
    <w:rsid w:val="00774B3B"/>
    <w:rsid w:val="007753F6"/>
    <w:rsid w:val="00780EB1"/>
    <w:rsid w:val="00791EBC"/>
    <w:rsid w:val="007A432E"/>
    <w:rsid w:val="007A6D67"/>
    <w:rsid w:val="007A70BE"/>
    <w:rsid w:val="007A7390"/>
    <w:rsid w:val="007B0367"/>
    <w:rsid w:val="007B7570"/>
    <w:rsid w:val="007B7EEA"/>
    <w:rsid w:val="007B7FB7"/>
    <w:rsid w:val="007C0153"/>
    <w:rsid w:val="007C0714"/>
    <w:rsid w:val="007C18B9"/>
    <w:rsid w:val="007C304F"/>
    <w:rsid w:val="007C5043"/>
    <w:rsid w:val="007C5ABA"/>
    <w:rsid w:val="007C744A"/>
    <w:rsid w:val="007D199E"/>
    <w:rsid w:val="007D19D1"/>
    <w:rsid w:val="007D2D7E"/>
    <w:rsid w:val="007D3F7B"/>
    <w:rsid w:val="007D4876"/>
    <w:rsid w:val="007D5267"/>
    <w:rsid w:val="007D538F"/>
    <w:rsid w:val="007D6EED"/>
    <w:rsid w:val="007E012F"/>
    <w:rsid w:val="007E1D57"/>
    <w:rsid w:val="007E30B1"/>
    <w:rsid w:val="007E354C"/>
    <w:rsid w:val="007E3A15"/>
    <w:rsid w:val="007E4585"/>
    <w:rsid w:val="007E5E0E"/>
    <w:rsid w:val="007F00A6"/>
    <w:rsid w:val="007F08DC"/>
    <w:rsid w:val="007F6D73"/>
    <w:rsid w:val="007F6F9F"/>
    <w:rsid w:val="00800836"/>
    <w:rsid w:val="00805724"/>
    <w:rsid w:val="00806213"/>
    <w:rsid w:val="00807DC1"/>
    <w:rsid w:val="0081284B"/>
    <w:rsid w:val="00812E7F"/>
    <w:rsid w:val="008130C3"/>
    <w:rsid w:val="00813ABB"/>
    <w:rsid w:val="008149C3"/>
    <w:rsid w:val="00820662"/>
    <w:rsid w:val="00821EA9"/>
    <w:rsid w:val="00822B3D"/>
    <w:rsid w:val="0082348E"/>
    <w:rsid w:val="00825220"/>
    <w:rsid w:val="0082538F"/>
    <w:rsid w:val="00825664"/>
    <w:rsid w:val="00826DE7"/>
    <w:rsid w:val="00827BF8"/>
    <w:rsid w:val="00831618"/>
    <w:rsid w:val="00834905"/>
    <w:rsid w:val="00836963"/>
    <w:rsid w:val="00837838"/>
    <w:rsid w:val="00837F54"/>
    <w:rsid w:val="00840A4A"/>
    <w:rsid w:val="008420EE"/>
    <w:rsid w:val="00842BE0"/>
    <w:rsid w:val="00842DE7"/>
    <w:rsid w:val="008442C5"/>
    <w:rsid w:val="0084457C"/>
    <w:rsid w:val="00845A3F"/>
    <w:rsid w:val="008500BB"/>
    <w:rsid w:val="00852882"/>
    <w:rsid w:val="00855423"/>
    <w:rsid w:val="00856EB5"/>
    <w:rsid w:val="0085749B"/>
    <w:rsid w:val="00863BE0"/>
    <w:rsid w:val="00865A29"/>
    <w:rsid w:val="008706E9"/>
    <w:rsid w:val="00872826"/>
    <w:rsid w:val="008749F7"/>
    <w:rsid w:val="00874D26"/>
    <w:rsid w:val="00874F7F"/>
    <w:rsid w:val="0087513F"/>
    <w:rsid w:val="00881022"/>
    <w:rsid w:val="00881AE7"/>
    <w:rsid w:val="008822CA"/>
    <w:rsid w:val="0088443E"/>
    <w:rsid w:val="00885142"/>
    <w:rsid w:val="008865E8"/>
    <w:rsid w:val="00894B33"/>
    <w:rsid w:val="008956F2"/>
    <w:rsid w:val="008959F1"/>
    <w:rsid w:val="00896A95"/>
    <w:rsid w:val="008A1A71"/>
    <w:rsid w:val="008A1FA0"/>
    <w:rsid w:val="008B271A"/>
    <w:rsid w:val="008B3779"/>
    <w:rsid w:val="008B3FA3"/>
    <w:rsid w:val="008B4F36"/>
    <w:rsid w:val="008B68BA"/>
    <w:rsid w:val="008C0F4F"/>
    <w:rsid w:val="008C19C8"/>
    <w:rsid w:val="008C54A6"/>
    <w:rsid w:val="008C5C5E"/>
    <w:rsid w:val="008C623A"/>
    <w:rsid w:val="008C7DB6"/>
    <w:rsid w:val="008D07DA"/>
    <w:rsid w:val="008D0A00"/>
    <w:rsid w:val="008D0F79"/>
    <w:rsid w:val="008D1072"/>
    <w:rsid w:val="008D24C0"/>
    <w:rsid w:val="008D34CE"/>
    <w:rsid w:val="008D56C9"/>
    <w:rsid w:val="008D6B14"/>
    <w:rsid w:val="008E06D1"/>
    <w:rsid w:val="008E07FB"/>
    <w:rsid w:val="008E16D4"/>
    <w:rsid w:val="008E16FB"/>
    <w:rsid w:val="008E4FC3"/>
    <w:rsid w:val="008E6B1B"/>
    <w:rsid w:val="008F07A9"/>
    <w:rsid w:val="008F383F"/>
    <w:rsid w:val="008F6199"/>
    <w:rsid w:val="00901213"/>
    <w:rsid w:val="00902574"/>
    <w:rsid w:val="00902998"/>
    <w:rsid w:val="00903BB8"/>
    <w:rsid w:val="0090443C"/>
    <w:rsid w:val="0090490F"/>
    <w:rsid w:val="009055F1"/>
    <w:rsid w:val="00906E1C"/>
    <w:rsid w:val="009079F5"/>
    <w:rsid w:val="00911C7F"/>
    <w:rsid w:val="00912FA6"/>
    <w:rsid w:val="00913269"/>
    <w:rsid w:val="00913B4A"/>
    <w:rsid w:val="0092031C"/>
    <w:rsid w:val="009224BB"/>
    <w:rsid w:val="0092461D"/>
    <w:rsid w:val="00927C43"/>
    <w:rsid w:val="0093127A"/>
    <w:rsid w:val="0093142B"/>
    <w:rsid w:val="00931FBA"/>
    <w:rsid w:val="00933427"/>
    <w:rsid w:val="00936521"/>
    <w:rsid w:val="00937FCF"/>
    <w:rsid w:val="00940F1C"/>
    <w:rsid w:val="0094242E"/>
    <w:rsid w:val="00944A9A"/>
    <w:rsid w:val="00945177"/>
    <w:rsid w:val="00945836"/>
    <w:rsid w:val="0094666A"/>
    <w:rsid w:val="00946BD6"/>
    <w:rsid w:val="00947322"/>
    <w:rsid w:val="009509AB"/>
    <w:rsid w:val="00952790"/>
    <w:rsid w:val="009537A4"/>
    <w:rsid w:val="00955E45"/>
    <w:rsid w:val="0096003B"/>
    <w:rsid w:val="00960890"/>
    <w:rsid w:val="00961087"/>
    <w:rsid w:val="00961969"/>
    <w:rsid w:val="009619FE"/>
    <w:rsid w:val="00961ACC"/>
    <w:rsid w:val="00963ED0"/>
    <w:rsid w:val="009643B2"/>
    <w:rsid w:val="009645F4"/>
    <w:rsid w:val="00964FE9"/>
    <w:rsid w:val="009669F9"/>
    <w:rsid w:val="009726D9"/>
    <w:rsid w:val="00973382"/>
    <w:rsid w:val="00973868"/>
    <w:rsid w:val="00974E07"/>
    <w:rsid w:val="00975813"/>
    <w:rsid w:val="00975FF4"/>
    <w:rsid w:val="00977BD2"/>
    <w:rsid w:val="009812D5"/>
    <w:rsid w:val="0098446A"/>
    <w:rsid w:val="00984E74"/>
    <w:rsid w:val="009866F0"/>
    <w:rsid w:val="009927EE"/>
    <w:rsid w:val="009944FC"/>
    <w:rsid w:val="00996255"/>
    <w:rsid w:val="009A0048"/>
    <w:rsid w:val="009A0498"/>
    <w:rsid w:val="009A1499"/>
    <w:rsid w:val="009A1B10"/>
    <w:rsid w:val="009A352D"/>
    <w:rsid w:val="009A3E4D"/>
    <w:rsid w:val="009A5789"/>
    <w:rsid w:val="009B12E0"/>
    <w:rsid w:val="009B2745"/>
    <w:rsid w:val="009B2858"/>
    <w:rsid w:val="009B652A"/>
    <w:rsid w:val="009B6711"/>
    <w:rsid w:val="009C49A1"/>
    <w:rsid w:val="009C5121"/>
    <w:rsid w:val="009C5D03"/>
    <w:rsid w:val="009C70DF"/>
    <w:rsid w:val="009C763C"/>
    <w:rsid w:val="009C7CC4"/>
    <w:rsid w:val="009D175D"/>
    <w:rsid w:val="009D182F"/>
    <w:rsid w:val="009D787E"/>
    <w:rsid w:val="009E1581"/>
    <w:rsid w:val="009E2C32"/>
    <w:rsid w:val="009E40DA"/>
    <w:rsid w:val="009E4C6B"/>
    <w:rsid w:val="009E4F15"/>
    <w:rsid w:val="009E6C4B"/>
    <w:rsid w:val="009E7370"/>
    <w:rsid w:val="009F3F18"/>
    <w:rsid w:val="009F434C"/>
    <w:rsid w:val="009F6033"/>
    <w:rsid w:val="009F6A89"/>
    <w:rsid w:val="00A03B62"/>
    <w:rsid w:val="00A05DD2"/>
    <w:rsid w:val="00A079CB"/>
    <w:rsid w:val="00A10913"/>
    <w:rsid w:val="00A14B54"/>
    <w:rsid w:val="00A14F57"/>
    <w:rsid w:val="00A1520A"/>
    <w:rsid w:val="00A154D1"/>
    <w:rsid w:val="00A15F46"/>
    <w:rsid w:val="00A16E6D"/>
    <w:rsid w:val="00A16EE7"/>
    <w:rsid w:val="00A2457F"/>
    <w:rsid w:val="00A24E70"/>
    <w:rsid w:val="00A27C58"/>
    <w:rsid w:val="00A27D1E"/>
    <w:rsid w:val="00A27D61"/>
    <w:rsid w:val="00A310A2"/>
    <w:rsid w:val="00A313C9"/>
    <w:rsid w:val="00A31930"/>
    <w:rsid w:val="00A32EB0"/>
    <w:rsid w:val="00A339BF"/>
    <w:rsid w:val="00A379A1"/>
    <w:rsid w:val="00A4004F"/>
    <w:rsid w:val="00A40780"/>
    <w:rsid w:val="00A42B53"/>
    <w:rsid w:val="00A42E74"/>
    <w:rsid w:val="00A51ECC"/>
    <w:rsid w:val="00A53B9C"/>
    <w:rsid w:val="00A54122"/>
    <w:rsid w:val="00A54537"/>
    <w:rsid w:val="00A5481C"/>
    <w:rsid w:val="00A55841"/>
    <w:rsid w:val="00A55A2A"/>
    <w:rsid w:val="00A56D45"/>
    <w:rsid w:val="00A56E62"/>
    <w:rsid w:val="00A5755C"/>
    <w:rsid w:val="00A57BE0"/>
    <w:rsid w:val="00A60641"/>
    <w:rsid w:val="00A6236E"/>
    <w:rsid w:val="00A65D98"/>
    <w:rsid w:val="00A66EA0"/>
    <w:rsid w:val="00A726F9"/>
    <w:rsid w:val="00A732AB"/>
    <w:rsid w:val="00A73912"/>
    <w:rsid w:val="00A74DF6"/>
    <w:rsid w:val="00A75F45"/>
    <w:rsid w:val="00A7613E"/>
    <w:rsid w:val="00A76269"/>
    <w:rsid w:val="00A76633"/>
    <w:rsid w:val="00A76D04"/>
    <w:rsid w:val="00A800F8"/>
    <w:rsid w:val="00A80B85"/>
    <w:rsid w:val="00A82CA2"/>
    <w:rsid w:val="00A8403B"/>
    <w:rsid w:val="00A84079"/>
    <w:rsid w:val="00A868CD"/>
    <w:rsid w:val="00A87319"/>
    <w:rsid w:val="00A87F1F"/>
    <w:rsid w:val="00A90600"/>
    <w:rsid w:val="00A91B31"/>
    <w:rsid w:val="00A92306"/>
    <w:rsid w:val="00AA0D47"/>
    <w:rsid w:val="00AA2605"/>
    <w:rsid w:val="00AA67E4"/>
    <w:rsid w:val="00AA78C1"/>
    <w:rsid w:val="00AB1ECE"/>
    <w:rsid w:val="00AB2395"/>
    <w:rsid w:val="00AB443A"/>
    <w:rsid w:val="00AB4BF8"/>
    <w:rsid w:val="00AB532C"/>
    <w:rsid w:val="00AC0A59"/>
    <w:rsid w:val="00AC11E6"/>
    <w:rsid w:val="00AC16EB"/>
    <w:rsid w:val="00AC75E4"/>
    <w:rsid w:val="00AD0ED0"/>
    <w:rsid w:val="00AD2C51"/>
    <w:rsid w:val="00AD4CD7"/>
    <w:rsid w:val="00AD5547"/>
    <w:rsid w:val="00AD58DE"/>
    <w:rsid w:val="00AD5E33"/>
    <w:rsid w:val="00AE0046"/>
    <w:rsid w:val="00AE1BD5"/>
    <w:rsid w:val="00AE1DD4"/>
    <w:rsid w:val="00AE2391"/>
    <w:rsid w:val="00AE3048"/>
    <w:rsid w:val="00AE43F4"/>
    <w:rsid w:val="00AE4C47"/>
    <w:rsid w:val="00AE78DF"/>
    <w:rsid w:val="00AF105D"/>
    <w:rsid w:val="00AF5970"/>
    <w:rsid w:val="00B005CF"/>
    <w:rsid w:val="00B03846"/>
    <w:rsid w:val="00B03C6C"/>
    <w:rsid w:val="00B04B06"/>
    <w:rsid w:val="00B0769B"/>
    <w:rsid w:val="00B07C99"/>
    <w:rsid w:val="00B126BF"/>
    <w:rsid w:val="00B12E54"/>
    <w:rsid w:val="00B14655"/>
    <w:rsid w:val="00B21974"/>
    <w:rsid w:val="00B22267"/>
    <w:rsid w:val="00B25846"/>
    <w:rsid w:val="00B26F84"/>
    <w:rsid w:val="00B2718A"/>
    <w:rsid w:val="00B37236"/>
    <w:rsid w:val="00B42C8F"/>
    <w:rsid w:val="00B46CA2"/>
    <w:rsid w:val="00B47BB8"/>
    <w:rsid w:val="00B527B6"/>
    <w:rsid w:val="00B54C3F"/>
    <w:rsid w:val="00B54CDA"/>
    <w:rsid w:val="00B55466"/>
    <w:rsid w:val="00B61EB7"/>
    <w:rsid w:val="00B62749"/>
    <w:rsid w:val="00B64CAC"/>
    <w:rsid w:val="00B64DFD"/>
    <w:rsid w:val="00B6635F"/>
    <w:rsid w:val="00B674B2"/>
    <w:rsid w:val="00B70C72"/>
    <w:rsid w:val="00B74BAA"/>
    <w:rsid w:val="00B74C7B"/>
    <w:rsid w:val="00B76DC6"/>
    <w:rsid w:val="00B76F2C"/>
    <w:rsid w:val="00B7769D"/>
    <w:rsid w:val="00B77F83"/>
    <w:rsid w:val="00B8015F"/>
    <w:rsid w:val="00B804AB"/>
    <w:rsid w:val="00B806D7"/>
    <w:rsid w:val="00B821AE"/>
    <w:rsid w:val="00B82474"/>
    <w:rsid w:val="00B82C98"/>
    <w:rsid w:val="00B83A49"/>
    <w:rsid w:val="00B84258"/>
    <w:rsid w:val="00B8570D"/>
    <w:rsid w:val="00B91665"/>
    <w:rsid w:val="00B93D1F"/>
    <w:rsid w:val="00B95EE9"/>
    <w:rsid w:val="00B9623B"/>
    <w:rsid w:val="00B96FE1"/>
    <w:rsid w:val="00B97092"/>
    <w:rsid w:val="00BA0B60"/>
    <w:rsid w:val="00BA1B9C"/>
    <w:rsid w:val="00BB0F3E"/>
    <w:rsid w:val="00BB3750"/>
    <w:rsid w:val="00BB4117"/>
    <w:rsid w:val="00BB4186"/>
    <w:rsid w:val="00BB44A9"/>
    <w:rsid w:val="00BB504E"/>
    <w:rsid w:val="00BB658C"/>
    <w:rsid w:val="00BB7048"/>
    <w:rsid w:val="00BB729F"/>
    <w:rsid w:val="00BB7751"/>
    <w:rsid w:val="00BB7C05"/>
    <w:rsid w:val="00BC0229"/>
    <w:rsid w:val="00BC189E"/>
    <w:rsid w:val="00BC3137"/>
    <w:rsid w:val="00BC3B30"/>
    <w:rsid w:val="00BC4F88"/>
    <w:rsid w:val="00BC65C7"/>
    <w:rsid w:val="00BC66B9"/>
    <w:rsid w:val="00BC6BA3"/>
    <w:rsid w:val="00BD04D9"/>
    <w:rsid w:val="00BD1A6C"/>
    <w:rsid w:val="00BD3D9A"/>
    <w:rsid w:val="00BD4E76"/>
    <w:rsid w:val="00BD5B4B"/>
    <w:rsid w:val="00BD6804"/>
    <w:rsid w:val="00BE0523"/>
    <w:rsid w:val="00BE0A18"/>
    <w:rsid w:val="00BE2166"/>
    <w:rsid w:val="00BE3421"/>
    <w:rsid w:val="00BE3C08"/>
    <w:rsid w:val="00BE62E9"/>
    <w:rsid w:val="00BF0E35"/>
    <w:rsid w:val="00BF21D1"/>
    <w:rsid w:val="00BF2241"/>
    <w:rsid w:val="00BF27FF"/>
    <w:rsid w:val="00BF30CF"/>
    <w:rsid w:val="00BF5498"/>
    <w:rsid w:val="00BF57B5"/>
    <w:rsid w:val="00BF6B0D"/>
    <w:rsid w:val="00BF6CED"/>
    <w:rsid w:val="00BF7D56"/>
    <w:rsid w:val="00C01BC5"/>
    <w:rsid w:val="00C034AB"/>
    <w:rsid w:val="00C038B8"/>
    <w:rsid w:val="00C0448D"/>
    <w:rsid w:val="00C07480"/>
    <w:rsid w:val="00C10415"/>
    <w:rsid w:val="00C116D2"/>
    <w:rsid w:val="00C11A21"/>
    <w:rsid w:val="00C11F0A"/>
    <w:rsid w:val="00C1434A"/>
    <w:rsid w:val="00C23088"/>
    <w:rsid w:val="00C24C09"/>
    <w:rsid w:val="00C2652A"/>
    <w:rsid w:val="00C306C6"/>
    <w:rsid w:val="00C31074"/>
    <w:rsid w:val="00C31B07"/>
    <w:rsid w:val="00C349B1"/>
    <w:rsid w:val="00C35E07"/>
    <w:rsid w:val="00C361C8"/>
    <w:rsid w:val="00C37635"/>
    <w:rsid w:val="00C404E2"/>
    <w:rsid w:val="00C4115C"/>
    <w:rsid w:val="00C41648"/>
    <w:rsid w:val="00C41B2B"/>
    <w:rsid w:val="00C41C2C"/>
    <w:rsid w:val="00C424C3"/>
    <w:rsid w:val="00C429F5"/>
    <w:rsid w:val="00C47084"/>
    <w:rsid w:val="00C470C0"/>
    <w:rsid w:val="00C472CA"/>
    <w:rsid w:val="00C50FE2"/>
    <w:rsid w:val="00C51163"/>
    <w:rsid w:val="00C51AC9"/>
    <w:rsid w:val="00C5323E"/>
    <w:rsid w:val="00C54AEA"/>
    <w:rsid w:val="00C566CB"/>
    <w:rsid w:val="00C60418"/>
    <w:rsid w:val="00C60431"/>
    <w:rsid w:val="00C60AE4"/>
    <w:rsid w:val="00C61CB5"/>
    <w:rsid w:val="00C645E2"/>
    <w:rsid w:val="00C70789"/>
    <w:rsid w:val="00C70977"/>
    <w:rsid w:val="00C73D34"/>
    <w:rsid w:val="00C75252"/>
    <w:rsid w:val="00C77843"/>
    <w:rsid w:val="00C77F64"/>
    <w:rsid w:val="00C80B24"/>
    <w:rsid w:val="00C81B69"/>
    <w:rsid w:val="00C82948"/>
    <w:rsid w:val="00C852EE"/>
    <w:rsid w:val="00C87B4B"/>
    <w:rsid w:val="00C90B31"/>
    <w:rsid w:val="00C92A97"/>
    <w:rsid w:val="00C946CF"/>
    <w:rsid w:val="00C94C40"/>
    <w:rsid w:val="00C96580"/>
    <w:rsid w:val="00C974E0"/>
    <w:rsid w:val="00CA105B"/>
    <w:rsid w:val="00CA1E06"/>
    <w:rsid w:val="00CA6D04"/>
    <w:rsid w:val="00CA7A21"/>
    <w:rsid w:val="00CA7B47"/>
    <w:rsid w:val="00CB1EF9"/>
    <w:rsid w:val="00CB27F9"/>
    <w:rsid w:val="00CB2A0D"/>
    <w:rsid w:val="00CB4247"/>
    <w:rsid w:val="00CB5413"/>
    <w:rsid w:val="00CB7178"/>
    <w:rsid w:val="00CB74B3"/>
    <w:rsid w:val="00CC2E4F"/>
    <w:rsid w:val="00CC3AFC"/>
    <w:rsid w:val="00CC47F0"/>
    <w:rsid w:val="00CC63AF"/>
    <w:rsid w:val="00CC7386"/>
    <w:rsid w:val="00CC7A35"/>
    <w:rsid w:val="00CD08B2"/>
    <w:rsid w:val="00CD0AB0"/>
    <w:rsid w:val="00CD0B6B"/>
    <w:rsid w:val="00CD1785"/>
    <w:rsid w:val="00CD17AC"/>
    <w:rsid w:val="00CD262D"/>
    <w:rsid w:val="00CD2AAE"/>
    <w:rsid w:val="00CD5212"/>
    <w:rsid w:val="00CD5611"/>
    <w:rsid w:val="00CD5E97"/>
    <w:rsid w:val="00CD7114"/>
    <w:rsid w:val="00CE1B67"/>
    <w:rsid w:val="00CE1FF6"/>
    <w:rsid w:val="00CE5E34"/>
    <w:rsid w:val="00CE6B48"/>
    <w:rsid w:val="00CF112E"/>
    <w:rsid w:val="00CF3233"/>
    <w:rsid w:val="00CF476F"/>
    <w:rsid w:val="00CF79DC"/>
    <w:rsid w:val="00D007B1"/>
    <w:rsid w:val="00D014CB"/>
    <w:rsid w:val="00D01E02"/>
    <w:rsid w:val="00D02070"/>
    <w:rsid w:val="00D047AC"/>
    <w:rsid w:val="00D04EDA"/>
    <w:rsid w:val="00D05BAB"/>
    <w:rsid w:val="00D05EB6"/>
    <w:rsid w:val="00D1023D"/>
    <w:rsid w:val="00D10CD6"/>
    <w:rsid w:val="00D1102D"/>
    <w:rsid w:val="00D123ED"/>
    <w:rsid w:val="00D127E0"/>
    <w:rsid w:val="00D140EA"/>
    <w:rsid w:val="00D150E9"/>
    <w:rsid w:val="00D16F94"/>
    <w:rsid w:val="00D179EF"/>
    <w:rsid w:val="00D21624"/>
    <w:rsid w:val="00D2371C"/>
    <w:rsid w:val="00D24F15"/>
    <w:rsid w:val="00D263C0"/>
    <w:rsid w:val="00D27077"/>
    <w:rsid w:val="00D270CD"/>
    <w:rsid w:val="00D316DF"/>
    <w:rsid w:val="00D32BF0"/>
    <w:rsid w:val="00D35CBC"/>
    <w:rsid w:val="00D37F8A"/>
    <w:rsid w:val="00D40217"/>
    <w:rsid w:val="00D40808"/>
    <w:rsid w:val="00D40B25"/>
    <w:rsid w:val="00D41ED3"/>
    <w:rsid w:val="00D41F64"/>
    <w:rsid w:val="00D4580B"/>
    <w:rsid w:val="00D46739"/>
    <w:rsid w:val="00D517B8"/>
    <w:rsid w:val="00D52023"/>
    <w:rsid w:val="00D523D2"/>
    <w:rsid w:val="00D57E0F"/>
    <w:rsid w:val="00D6056F"/>
    <w:rsid w:val="00D606D1"/>
    <w:rsid w:val="00D60B35"/>
    <w:rsid w:val="00D61105"/>
    <w:rsid w:val="00D618B7"/>
    <w:rsid w:val="00D64307"/>
    <w:rsid w:val="00D65E19"/>
    <w:rsid w:val="00D675CC"/>
    <w:rsid w:val="00D676DD"/>
    <w:rsid w:val="00D70049"/>
    <w:rsid w:val="00D81A01"/>
    <w:rsid w:val="00D91233"/>
    <w:rsid w:val="00D93C5F"/>
    <w:rsid w:val="00DA411A"/>
    <w:rsid w:val="00DA4711"/>
    <w:rsid w:val="00DA49CF"/>
    <w:rsid w:val="00DA4B78"/>
    <w:rsid w:val="00DA5337"/>
    <w:rsid w:val="00DA7508"/>
    <w:rsid w:val="00DB2635"/>
    <w:rsid w:val="00DB3D80"/>
    <w:rsid w:val="00DC2A01"/>
    <w:rsid w:val="00DC314D"/>
    <w:rsid w:val="00DC4C3C"/>
    <w:rsid w:val="00DC610E"/>
    <w:rsid w:val="00DC7188"/>
    <w:rsid w:val="00DC7EDF"/>
    <w:rsid w:val="00DD0B2F"/>
    <w:rsid w:val="00DD0D1A"/>
    <w:rsid w:val="00DD1AD9"/>
    <w:rsid w:val="00DD1F20"/>
    <w:rsid w:val="00DD59EF"/>
    <w:rsid w:val="00DD6CDC"/>
    <w:rsid w:val="00DE0125"/>
    <w:rsid w:val="00DE11BE"/>
    <w:rsid w:val="00DE2AB0"/>
    <w:rsid w:val="00DE3769"/>
    <w:rsid w:val="00DE5DC3"/>
    <w:rsid w:val="00DE6EF0"/>
    <w:rsid w:val="00DF23E3"/>
    <w:rsid w:val="00DF5ADE"/>
    <w:rsid w:val="00E02C23"/>
    <w:rsid w:val="00E0305B"/>
    <w:rsid w:val="00E03BC5"/>
    <w:rsid w:val="00E10961"/>
    <w:rsid w:val="00E10C4C"/>
    <w:rsid w:val="00E12BAC"/>
    <w:rsid w:val="00E130BD"/>
    <w:rsid w:val="00E17399"/>
    <w:rsid w:val="00E173C1"/>
    <w:rsid w:val="00E17879"/>
    <w:rsid w:val="00E213F7"/>
    <w:rsid w:val="00E22DA4"/>
    <w:rsid w:val="00E2476F"/>
    <w:rsid w:val="00E2545C"/>
    <w:rsid w:val="00E266DC"/>
    <w:rsid w:val="00E26E6F"/>
    <w:rsid w:val="00E2706E"/>
    <w:rsid w:val="00E27AA0"/>
    <w:rsid w:val="00E32481"/>
    <w:rsid w:val="00E32EC7"/>
    <w:rsid w:val="00E351C5"/>
    <w:rsid w:val="00E35B16"/>
    <w:rsid w:val="00E35B2E"/>
    <w:rsid w:val="00E3779B"/>
    <w:rsid w:val="00E43EAD"/>
    <w:rsid w:val="00E44138"/>
    <w:rsid w:val="00E44BF3"/>
    <w:rsid w:val="00E472D5"/>
    <w:rsid w:val="00E475C5"/>
    <w:rsid w:val="00E476DD"/>
    <w:rsid w:val="00E47CC2"/>
    <w:rsid w:val="00E518B2"/>
    <w:rsid w:val="00E53B74"/>
    <w:rsid w:val="00E54937"/>
    <w:rsid w:val="00E55AAB"/>
    <w:rsid w:val="00E55C5E"/>
    <w:rsid w:val="00E56CB6"/>
    <w:rsid w:val="00E57097"/>
    <w:rsid w:val="00E57AAA"/>
    <w:rsid w:val="00E600B5"/>
    <w:rsid w:val="00E6060D"/>
    <w:rsid w:val="00E62288"/>
    <w:rsid w:val="00E62646"/>
    <w:rsid w:val="00E6351A"/>
    <w:rsid w:val="00E64ED1"/>
    <w:rsid w:val="00E661EC"/>
    <w:rsid w:val="00E751B1"/>
    <w:rsid w:val="00E773BB"/>
    <w:rsid w:val="00E77914"/>
    <w:rsid w:val="00E81FD5"/>
    <w:rsid w:val="00E836CC"/>
    <w:rsid w:val="00E837CE"/>
    <w:rsid w:val="00E85456"/>
    <w:rsid w:val="00E871B3"/>
    <w:rsid w:val="00E909E3"/>
    <w:rsid w:val="00E90D3A"/>
    <w:rsid w:val="00E91215"/>
    <w:rsid w:val="00E91639"/>
    <w:rsid w:val="00E91F29"/>
    <w:rsid w:val="00E922A9"/>
    <w:rsid w:val="00E93F55"/>
    <w:rsid w:val="00E9497D"/>
    <w:rsid w:val="00E94B0D"/>
    <w:rsid w:val="00E950B0"/>
    <w:rsid w:val="00E95D67"/>
    <w:rsid w:val="00E97399"/>
    <w:rsid w:val="00EA4D39"/>
    <w:rsid w:val="00EA5180"/>
    <w:rsid w:val="00EA5FA8"/>
    <w:rsid w:val="00EB223E"/>
    <w:rsid w:val="00EB7EDE"/>
    <w:rsid w:val="00EC4D48"/>
    <w:rsid w:val="00EC57CC"/>
    <w:rsid w:val="00EC65C7"/>
    <w:rsid w:val="00EC72DE"/>
    <w:rsid w:val="00EC7945"/>
    <w:rsid w:val="00ED044B"/>
    <w:rsid w:val="00ED0E1B"/>
    <w:rsid w:val="00ED6E82"/>
    <w:rsid w:val="00ED76EA"/>
    <w:rsid w:val="00EE00AE"/>
    <w:rsid w:val="00EE0718"/>
    <w:rsid w:val="00EE0FE1"/>
    <w:rsid w:val="00EE30C6"/>
    <w:rsid w:val="00EE3F71"/>
    <w:rsid w:val="00EE58B4"/>
    <w:rsid w:val="00EE7502"/>
    <w:rsid w:val="00EE7548"/>
    <w:rsid w:val="00EF02A5"/>
    <w:rsid w:val="00EF082C"/>
    <w:rsid w:val="00EF2AD6"/>
    <w:rsid w:val="00EF334E"/>
    <w:rsid w:val="00EF342E"/>
    <w:rsid w:val="00EF4990"/>
    <w:rsid w:val="00EF6572"/>
    <w:rsid w:val="00EF7C1B"/>
    <w:rsid w:val="00F04E86"/>
    <w:rsid w:val="00F069F6"/>
    <w:rsid w:val="00F110CD"/>
    <w:rsid w:val="00F11C39"/>
    <w:rsid w:val="00F11F83"/>
    <w:rsid w:val="00F13AA3"/>
    <w:rsid w:val="00F13FC4"/>
    <w:rsid w:val="00F15A8F"/>
    <w:rsid w:val="00F1645B"/>
    <w:rsid w:val="00F16CC4"/>
    <w:rsid w:val="00F21BF0"/>
    <w:rsid w:val="00F2317E"/>
    <w:rsid w:val="00F236F8"/>
    <w:rsid w:val="00F2673A"/>
    <w:rsid w:val="00F27BF4"/>
    <w:rsid w:val="00F30A2D"/>
    <w:rsid w:val="00F36DE6"/>
    <w:rsid w:val="00F37488"/>
    <w:rsid w:val="00F40CFC"/>
    <w:rsid w:val="00F40DB1"/>
    <w:rsid w:val="00F40FCD"/>
    <w:rsid w:val="00F41283"/>
    <w:rsid w:val="00F45D53"/>
    <w:rsid w:val="00F463E0"/>
    <w:rsid w:val="00F46A72"/>
    <w:rsid w:val="00F46F1B"/>
    <w:rsid w:val="00F47904"/>
    <w:rsid w:val="00F501D9"/>
    <w:rsid w:val="00F50565"/>
    <w:rsid w:val="00F51050"/>
    <w:rsid w:val="00F516F5"/>
    <w:rsid w:val="00F52C9D"/>
    <w:rsid w:val="00F566D5"/>
    <w:rsid w:val="00F600F2"/>
    <w:rsid w:val="00F63F3A"/>
    <w:rsid w:val="00F6568A"/>
    <w:rsid w:val="00F66BEA"/>
    <w:rsid w:val="00F66E91"/>
    <w:rsid w:val="00F71E6F"/>
    <w:rsid w:val="00F76DD2"/>
    <w:rsid w:val="00F80748"/>
    <w:rsid w:val="00F81111"/>
    <w:rsid w:val="00F8340E"/>
    <w:rsid w:val="00F861DE"/>
    <w:rsid w:val="00F90F7D"/>
    <w:rsid w:val="00F91DF3"/>
    <w:rsid w:val="00F92087"/>
    <w:rsid w:val="00F94D22"/>
    <w:rsid w:val="00F94DEF"/>
    <w:rsid w:val="00F95910"/>
    <w:rsid w:val="00F972AA"/>
    <w:rsid w:val="00F973A6"/>
    <w:rsid w:val="00F9748C"/>
    <w:rsid w:val="00FA070A"/>
    <w:rsid w:val="00FA5C02"/>
    <w:rsid w:val="00FA6FF2"/>
    <w:rsid w:val="00FA77EE"/>
    <w:rsid w:val="00FA7BFA"/>
    <w:rsid w:val="00FB54AB"/>
    <w:rsid w:val="00FB5764"/>
    <w:rsid w:val="00FB6113"/>
    <w:rsid w:val="00FB6437"/>
    <w:rsid w:val="00FB7E7D"/>
    <w:rsid w:val="00FC2FBA"/>
    <w:rsid w:val="00FC5DA4"/>
    <w:rsid w:val="00FC68F9"/>
    <w:rsid w:val="00FC6EE9"/>
    <w:rsid w:val="00FD145C"/>
    <w:rsid w:val="00FD1A3D"/>
    <w:rsid w:val="00FD274D"/>
    <w:rsid w:val="00FD52FC"/>
    <w:rsid w:val="00FD620E"/>
    <w:rsid w:val="00FE3A95"/>
    <w:rsid w:val="00FF3536"/>
    <w:rsid w:val="00FF3954"/>
    <w:rsid w:val="00FF4636"/>
    <w:rsid w:val="00FF580F"/>
    <w:rsid w:val="00FF5D2B"/>
    <w:rsid w:val="00FF5E23"/>
    <w:rsid w:val="018E7819"/>
    <w:rsid w:val="01C247F0"/>
    <w:rsid w:val="01D66BDF"/>
    <w:rsid w:val="01DD41C2"/>
    <w:rsid w:val="01DE4120"/>
    <w:rsid w:val="020C68B4"/>
    <w:rsid w:val="02113E4F"/>
    <w:rsid w:val="02511314"/>
    <w:rsid w:val="026F71B4"/>
    <w:rsid w:val="02AD7C71"/>
    <w:rsid w:val="02C80F58"/>
    <w:rsid w:val="02D533B3"/>
    <w:rsid w:val="036A38A7"/>
    <w:rsid w:val="03747A3A"/>
    <w:rsid w:val="039B5720"/>
    <w:rsid w:val="03DC6164"/>
    <w:rsid w:val="03FC5E82"/>
    <w:rsid w:val="040F1BAA"/>
    <w:rsid w:val="041617C1"/>
    <w:rsid w:val="043715E2"/>
    <w:rsid w:val="043D1681"/>
    <w:rsid w:val="049975B9"/>
    <w:rsid w:val="04B73549"/>
    <w:rsid w:val="04C87066"/>
    <w:rsid w:val="050B6856"/>
    <w:rsid w:val="052B5A86"/>
    <w:rsid w:val="05713FFC"/>
    <w:rsid w:val="0597643A"/>
    <w:rsid w:val="061C285F"/>
    <w:rsid w:val="06322C8C"/>
    <w:rsid w:val="06A27BF1"/>
    <w:rsid w:val="06B5558D"/>
    <w:rsid w:val="07190B35"/>
    <w:rsid w:val="07195D48"/>
    <w:rsid w:val="0730075A"/>
    <w:rsid w:val="07716FC5"/>
    <w:rsid w:val="07BA4E3B"/>
    <w:rsid w:val="07DC537F"/>
    <w:rsid w:val="07E72487"/>
    <w:rsid w:val="081F03E2"/>
    <w:rsid w:val="083060FE"/>
    <w:rsid w:val="083E7612"/>
    <w:rsid w:val="084A0EA6"/>
    <w:rsid w:val="0882172A"/>
    <w:rsid w:val="08A81240"/>
    <w:rsid w:val="08E97AAB"/>
    <w:rsid w:val="08FE2242"/>
    <w:rsid w:val="09147308"/>
    <w:rsid w:val="09483348"/>
    <w:rsid w:val="09795E21"/>
    <w:rsid w:val="098531AD"/>
    <w:rsid w:val="09DB0338"/>
    <w:rsid w:val="09E81BCC"/>
    <w:rsid w:val="0A5C798D"/>
    <w:rsid w:val="0ADF52ED"/>
    <w:rsid w:val="0AEF0200"/>
    <w:rsid w:val="0AFF4C18"/>
    <w:rsid w:val="0B067E26"/>
    <w:rsid w:val="0B100735"/>
    <w:rsid w:val="0B1957C1"/>
    <w:rsid w:val="0B44732B"/>
    <w:rsid w:val="0B5750F6"/>
    <w:rsid w:val="0B673342"/>
    <w:rsid w:val="0BBD62CF"/>
    <w:rsid w:val="0BCF786E"/>
    <w:rsid w:val="0BEC359B"/>
    <w:rsid w:val="0C3B6B9E"/>
    <w:rsid w:val="0C403025"/>
    <w:rsid w:val="0C5145C5"/>
    <w:rsid w:val="0CA04344"/>
    <w:rsid w:val="0D0512FE"/>
    <w:rsid w:val="0D0B39F3"/>
    <w:rsid w:val="0D597375"/>
    <w:rsid w:val="0D6A5091"/>
    <w:rsid w:val="0D7D2A2D"/>
    <w:rsid w:val="0DCB35EB"/>
    <w:rsid w:val="0DCD3AB1"/>
    <w:rsid w:val="0DE94A9D"/>
    <w:rsid w:val="0E041A0C"/>
    <w:rsid w:val="0E263246"/>
    <w:rsid w:val="0E4E5304"/>
    <w:rsid w:val="0E871FE6"/>
    <w:rsid w:val="0E9E6388"/>
    <w:rsid w:val="0EA67017"/>
    <w:rsid w:val="0EBC11BB"/>
    <w:rsid w:val="0EE31171"/>
    <w:rsid w:val="0EE65882"/>
    <w:rsid w:val="0F545EB6"/>
    <w:rsid w:val="0F59233E"/>
    <w:rsid w:val="0F5F4247"/>
    <w:rsid w:val="0F8C5F99"/>
    <w:rsid w:val="0FA201B4"/>
    <w:rsid w:val="0FDA3B91"/>
    <w:rsid w:val="0FF259B5"/>
    <w:rsid w:val="1041483A"/>
    <w:rsid w:val="105B7E39"/>
    <w:rsid w:val="10884FAF"/>
    <w:rsid w:val="108904B2"/>
    <w:rsid w:val="108A26B0"/>
    <w:rsid w:val="10A27D57"/>
    <w:rsid w:val="10C2280A"/>
    <w:rsid w:val="10F26BDC"/>
    <w:rsid w:val="10FA61E7"/>
    <w:rsid w:val="114854F1"/>
    <w:rsid w:val="11516BF6"/>
    <w:rsid w:val="115F7210"/>
    <w:rsid w:val="1199286D"/>
    <w:rsid w:val="11DC205D"/>
    <w:rsid w:val="11DD425B"/>
    <w:rsid w:val="122327D1"/>
    <w:rsid w:val="123E0DFD"/>
    <w:rsid w:val="124C2311"/>
    <w:rsid w:val="128F24EA"/>
    <w:rsid w:val="12BE2183"/>
    <w:rsid w:val="12E44E0E"/>
    <w:rsid w:val="12EC7C9C"/>
    <w:rsid w:val="13010B3B"/>
    <w:rsid w:val="130F36D3"/>
    <w:rsid w:val="13584DCD"/>
    <w:rsid w:val="135A2CE6"/>
    <w:rsid w:val="135D1254"/>
    <w:rsid w:val="13787880"/>
    <w:rsid w:val="13A22EA1"/>
    <w:rsid w:val="13B10CDE"/>
    <w:rsid w:val="13C94D8F"/>
    <w:rsid w:val="13CB3A86"/>
    <w:rsid w:val="13D07F0E"/>
    <w:rsid w:val="13FA500A"/>
    <w:rsid w:val="143769B9"/>
    <w:rsid w:val="146141DF"/>
    <w:rsid w:val="14775224"/>
    <w:rsid w:val="147C65C2"/>
    <w:rsid w:val="14997957"/>
    <w:rsid w:val="14C447F8"/>
    <w:rsid w:val="14E336E2"/>
    <w:rsid w:val="15080EBE"/>
    <w:rsid w:val="150D3199"/>
    <w:rsid w:val="15356E8A"/>
    <w:rsid w:val="158D6F6A"/>
    <w:rsid w:val="164F7029"/>
    <w:rsid w:val="16766EE8"/>
    <w:rsid w:val="16AA063C"/>
    <w:rsid w:val="16ED5C2D"/>
    <w:rsid w:val="16F06BB2"/>
    <w:rsid w:val="173A24A9"/>
    <w:rsid w:val="176645F2"/>
    <w:rsid w:val="17982843"/>
    <w:rsid w:val="17995D46"/>
    <w:rsid w:val="17F13E79"/>
    <w:rsid w:val="17FD3F0D"/>
    <w:rsid w:val="18397E4E"/>
    <w:rsid w:val="189823E5"/>
    <w:rsid w:val="18F45D57"/>
    <w:rsid w:val="191A4F3D"/>
    <w:rsid w:val="191F13C5"/>
    <w:rsid w:val="19391F6F"/>
    <w:rsid w:val="19412BFE"/>
    <w:rsid w:val="19492209"/>
    <w:rsid w:val="195C65FC"/>
    <w:rsid w:val="197907DA"/>
    <w:rsid w:val="19C169D0"/>
    <w:rsid w:val="19FD2FB1"/>
    <w:rsid w:val="1A47212C"/>
    <w:rsid w:val="1A620757"/>
    <w:rsid w:val="1A7154EF"/>
    <w:rsid w:val="1A877692"/>
    <w:rsid w:val="1B1B5988"/>
    <w:rsid w:val="1B2E7EFB"/>
    <w:rsid w:val="1B4048C2"/>
    <w:rsid w:val="1B730595"/>
    <w:rsid w:val="1C0E1A98"/>
    <w:rsid w:val="1C1D682F"/>
    <w:rsid w:val="1C4B5D71"/>
    <w:rsid w:val="1C4C3AFB"/>
    <w:rsid w:val="1C517F83"/>
    <w:rsid w:val="1C756EBE"/>
    <w:rsid w:val="1CE7177B"/>
    <w:rsid w:val="1CF2631E"/>
    <w:rsid w:val="1D347916"/>
    <w:rsid w:val="1D3A7F00"/>
    <w:rsid w:val="1D7C63EB"/>
    <w:rsid w:val="1D7D76F0"/>
    <w:rsid w:val="1DE01993"/>
    <w:rsid w:val="1E2A308C"/>
    <w:rsid w:val="1E7A630E"/>
    <w:rsid w:val="1E8C78AD"/>
    <w:rsid w:val="1E9B20C6"/>
    <w:rsid w:val="1EBB651C"/>
    <w:rsid w:val="1ED55723"/>
    <w:rsid w:val="1ED81F2B"/>
    <w:rsid w:val="1EE61241"/>
    <w:rsid w:val="1F0152EE"/>
    <w:rsid w:val="1F63408D"/>
    <w:rsid w:val="1F741DA9"/>
    <w:rsid w:val="1F967D60"/>
    <w:rsid w:val="1FBB7F9F"/>
    <w:rsid w:val="1FD22143"/>
    <w:rsid w:val="1FF40126"/>
    <w:rsid w:val="1FFF3F0C"/>
    <w:rsid w:val="202E28ED"/>
    <w:rsid w:val="203543E6"/>
    <w:rsid w:val="2072424B"/>
    <w:rsid w:val="207C25DC"/>
    <w:rsid w:val="20831BA0"/>
    <w:rsid w:val="20AB4024"/>
    <w:rsid w:val="20E9190B"/>
    <w:rsid w:val="20F40FA1"/>
    <w:rsid w:val="20FA7627"/>
    <w:rsid w:val="20FB76C1"/>
    <w:rsid w:val="214964AC"/>
    <w:rsid w:val="21753704"/>
    <w:rsid w:val="217B0E7A"/>
    <w:rsid w:val="221955EF"/>
    <w:rsid w:val="22405740"/>
    <w:rsid w:val="22800488"/>
    <w:rsid w:val="22A72B65"/>
    <w:rsid w:val="22AD02F2"/>
    <w:rsid w:val="22D8243B"/>
    <w:rsid w:val="23011F7A"/>
    <w:rsid w:val="2317411E"/>
    <w:rsid w:val="233911DB"/>
    <w:rsid w:val="23582989"/>
    <w:rsid w:val="236A19AA"/>
    <w:rsid w:val="23792EBE"/>
    <w:rsid w:val="23CC074A"/>
    <w:rsid w:val="23CF3BAA"/>
    <w:rsid w:val="23FC29EF"/>
    <w:rsid w:val="240F7F39"/>
    <w:rsid w:val="24120EBE"/>
    <w:rsid w:val="2438587A"/>
    <w:rsid w:val="24CE7073"/>
    <w:rsid w:val="25323514"/>
    <w:rsid w:val="25361F1A"/>
    <w:rsid w:val="255D565D"/>
    <w:rsid w:val="258B7426"/>
    <w:rsid w:val="25B41E9D"/>
    <w:rsid w:val="25C65F86"/>
    <w:rsid w:val="2622669F"/>
    <w:rsid w:val="26310EB8"/>
    <w:rsid w:val="265A67F9"/>
    <w:rsid w:val="269862DE"/>
    <w:rsid w:val="27066912"/>
    <w:rsid w:val="275774BC"/>
    <w:rsid w:val="27765CCC"/>
    <w:rsid w:val="27BC027C"/>
    <w:rsid w:val="27BC6441"/>
    <w:rsid w:val="28017E2F"/>
    <w:rsid w:val="28347384"/>
    <w:rsid w:val="2868435B"/>
    <w:rsid w:val="28792F09"/>
    <w:rsid w:val="289A6D28"/>
    <w:rsid w:val="28AB4A44"/>
    <w:rsid w:val="28B66659"/>
    <w:rsid w:val="28BB2AE0"/>
    <w:rsid w:val="28FB134B"/>
    <w:rsid w:val="296D4B02"/>
    <w:rsid w:val="2973448D"/>
    <w:rsid w:val="2983524E"/>
    <w:rsid w:val="29B30AFA"/>
    <w:rsid w:val="29D14827"/>
    <w:rsid w:val="2A164F5A"/>
    <w:rsid w:val="2A5B478B"/>
    <w:rsid w:val="2A6A2C93"/>
    <w:rsid w:val="2A7121B2"/>
    <w:rsid w:val="2AE62171"/>
    <w:rsid w:val="2AEE177B"/>
    <w:rsid w:val="2B7A2D23"/>
    <w:rsid w:val="2B914808"/>
    <w:rsid w:val="2BC41011"/>
    <w:rsid w:val="2BC639DD"/>
    <w:rsid w:val="2BD01D6E"/>
    <w:rsid w:val="2BDA5F01"/>
    <w:rsid w:val="2C2A6F85"/>
    <w:rsid w:val="2C3E23A2"/>
    <w:rsid w:val="2C5348C6"/>
    <w:rsid w:val="2CAD3CDB"/>
    <w:rsid w:val="2CF96358"/>
    <w:rsid w:val="2D3277B7"/>
    <w:rsid w:val="2D385E3D"/>
    <w:rsid w:val="2D645A08"/>
    <w:rsid w:val="2D657C06"/>
    <w:rsid w:val="2D9D5B09"/>
    <w:rsid w:val="2E0C4F1C"/>
    <w:rsid w:val="2E743646"/>
    <w:rsid w:val="2E747DC3"/>
    <w:rsid w:val="2E955D79"/>
    <w:rsid w:val="2EA53E15"/>
    <w:rsid w:val="2EC03704"/>
    <w:rsid w:val="2ED72066"/>
    <w:rsid w:val="2EDD77F3"/>
    <w:rsid w:val="2EEA3285"/>
    <w:rsid w:val="2F2D0876"/>
    <w:rsid w:val="2F486EA2"/>
    <w:rsid w:val="2F4F0A2B"/>
    <w:rsid w:val="2F4F682D"/>
    <w:rsid w:val="2F601055"/>
    <w:rsid w:val="2FA54819"/>
    <w:rsid w:val="2FB674D6"/>
    <w:rsid w:val="2FB70B5B"/>
    <w:rsid w:val="2FB74F57"/>
    <w:rsid w:val="2FD67A0A"/>
    <w:rsid w:val="2FE3129F"/>
    <w:rsid w:val="30355826"/>
    <w:rsid w:val="30661878"/>
    <w:rsid w:val="30984245"/>
    <w:rsid w:val="30F2145C"/>
    <w:rsid w:val="310F0A0C"/>
    <w:rsid w:val="314D3E18"/>
    <w:rsid w:val="31696B1C"/>
    <w:rsid w:val="31AA06AE"/>
    <w:rsid w:val="31D574D0"/>
    <w:rsid w:val="32273A57"/>
    <w:rsid w:val="325623AA"/>
    <w:rsid w:val="325767A5"/>
    <w:rsid w:val="32832AEC"/>
    <w:rsid w:val="33082D45"/>
    <w:rsid w:val="3309404A"/>
    <w:rsid w:val="33353386"/>
    <w:rsid w:val="33512240"/>
    <w:rsid w:val="33684063"/>
    <w:rsid w:val="33964F33"/>
    <w:rsid w:val="33C024F3"/>
    <w:rsid w:val="33C259F7"/>
    <w:rsid w:val="33C74298"/>
    <w:rsid w:val="33D7599C"/>
    <w:rsid w:val="347F162D"/>
    <w:rsid w:val="34845AB5"/>
    <w:rsid w:val="348722BC"/>
    <w:rsid w:val="34CF5F34"/>
    <w:rsid w:val="34E34BD5"/>
    <w:rsid w:val="351A72AD"/>
    <w:rsid w:val="352D62CE"/>
    <w:rsid w:val="354D2F7F"/>
    <w:rsid w:val="35527407"/>
    <w:rsid w:val="357850C8"/>
    <w:rsid w:val="35964678"/>
    <w:rsid w:val="35EA0E10"/>
    <w:rsid w:val="361507CA"/>
    <w:rsid w:val="366D46DB"/>
    <w:rsid w:val="36E13395"/>
    <w:rsid w:val="36E62DD3"/>
    <w:rsid w:val="3728158B"/>
    <w:rsid w:val="37617167"/>
    <w:rsid w:val="37624BE8"/>
    <w:rsid w:val="3789032B"/>
    <w:rsid w:val="37C87E10"/>
    <w:rsid w:val="37F31F59"/>
    <w:rsid w:val="38126F8A"/>
    <w:rsid w:val="3875702F"/>
    <w:rsid w:val="38953CE0"/>
    <w:rsid w:val="38A20DF8"/>
    <w:rsid w:val="38A36879"/>
    <w:rsid w:val="38A464F9"/>
    <w:rsid w:val="38AB4F49"/>
    <w:rsid w:val="38F73316"/>
    <w:rsid w:val="38FC0CD5"/>
    <w:rsid w:val="391C3471"/>
    <w:rsid w:val="3982604D"/>
    <w:rsid w:val="398A2E2E"/>
    <w:rsid w:val="39B20C35"/>
    <w:rsid w:val="3A0B4B47"/>
    <w:rsid w:val="3A1357D6"/>
    <w:rsid w:val="3AA627C7"/>
    <w:rsid w:val="3AD54840"/>
    <w:rsid w:val="3ADA3F1A"/>
    <w:rsid w:val="3ADD0722"/>
    <w:rsid w:val="3AF57197"/>
    <w:rsid w:val="3B6E2210"/>
    <w:rsid w:val="3B957ED1"/>
    <w:rsid w:val="3BB9138A"/>
    <w:rsid w:val="3BC608D8"/>
    <w:rsid w:val="3BEF1864"/>
    <w:rsid w:val="3BFD65FB"/>
    <w:rsid w:val="3C1B043E"/>
    <w:rsid w:val="3C26613B"/>
    <w:rsid w:val="3C3C60E0"/>
    <w:rsid w:val="3C471EF3"/>
    <w:rsid w:val="3C7207B9"/>
    <w:rsid w:val="3CBD13FD"/>
    <w:rsid w:val="3CF06E89"/>
    <w:rsid w:val="3D5236AA"/>
    <w:rsid w:val="3D56682D"/>
    <w:rsid w:val="3DD73903"/>
    <w:rsid w:val="3DEC0025"/>
    <w:rsid w:val="3DF4053E"/>
    <w:rsid w:val="3E0A75D5"/>
    <w:rsid w:val="3E4A2A81"/>
    <w:rsid w:val="3E6469EA"/>
    <w:rsid w:val="3E6E552A"/>
    <w:rsid w:val="3E775A0B"/>
    <w:rsid w:val="3E844D20"/>
    <w:rsid w:val="3E9F334C"/>
    <w:rsid w:val="3EFA6EDE"/>
    <w:rsid w:val="3F767B2C"/>
    <w:rsid w:val="3F9D4347"/>
    <w:rsid w:val="3FD768CC"/>
    <w:rsid w:val="400A259E"/>
    <w:rsid w:val="40292E53"/>
    <w:rsid w:val="404B2E8B"/>
    <w:rsid w:val="404B3E24"/>
    <w:rsid w:val="406B3DDC"/>
    <w:rsid w:val="40910F5D"/>
    <w:rsid w:val="409D1B0D"/>
    <w:rsid w:val="409F0893"/>
    <w:rsid w:val="40A13D96"/>
    <w:rsid w:val="40BA4177"/>
    <w:rsid w:val="40C50AD3"/>
    <w:rsid w:val="40F94425"/>
    <w:rsid w:val="40FF632E"/>
    <w:rsid w:val="412818A5"/>
    <w:rsid w:val="41297D82"/>
    <w:rsid w:val="414C642D"/>
    <w:rsid w:val="41880811"/>
    <w:rsid w:val="41B80C5C"/>
    <w:rsid w:val="41D00C05"/>
    <w:rsid w:val="41E50BAA"/>
    <w:rsid w:val="422D1948"/>
    <w:rsid w:val="42471B37"/>
    <w:rsid w:val="42E377C8"/>
    <w:rsid w:val="42E71A52"/>
    <w:rsid w:val="42F951EF"/>
    <w:rsid w:val="430D3E90"/>
    <w:rsid w:val="432B1CC4"/>
    <w:rsid w:val="43B70AA5"/>
    <w:rsid w:val="43E715F4"/>
    <w:rsid w:val="4407792B"/>
    <w:rsid w:val="440C3DB3"/>
    <w:rsid w:val="442B2FE3"/>
    <w:rsid w:val="44555450"/>
    <w:rsid w:val="44790B63"/>
    <w:rsid w:val="44EB3421"/>
    <w:rsid w:val="45384064"/>
    <w:rsid w:val="453F2EAB"/>
    <w:rsid w:val="455728DE"/>
    <w:rsid w:val="4565044C"/>
    <w:rsid w:val="45AC7C5B"/>
    <w:rsid w:val="45B52AE9"/>
    <w:rsid w:val="45C9758C"/>
    <w:rsid w:val="46014481"/>
    <w:rsid w:val="460D47FD"/>
    <w:rsid w:val="46336C3B"/>
    <w:rsid w:val="46621D09"/>
    <w:rsid w:val="467B15AE"/>
    <w:rsid w:val="468A4D8B"/>
    <w:rsid w:val="46A71178"/>
    <w:rsid w:val="46DC3BD1"/>
    <w:rsid w:val="46F843FA"/>
    <w:rsid w:val="474D1906"/>
    <w:rsid w:val="477B4832"/>
    <w:rsid w:val="47DD11F5"/>
    <w:rsid w:val="47E2567D"/>
    <w:rsid w:val="48624CD1"/>
    <w:rsid w:val="488C6CCD"/>
    <w:rsid w:val="48F22448"/>
    <w:rsid w:val="49190F7D"/>
    <w:rsid w:val="49462D46"/>
    <w:rsid w:val="49626DF3"/>
    <w:rsid w:val="498118A6"/>
    <w:rsid w:val="49BB0786"/>
    <w:rsid w:val="49C1268F"/>
    <w:rsid w:val="49D1292A"/>
    <w:rsid w:val="49F00D5F"/>
    <w:rsid w:val="49F47A9B"/>
    <w:rsid w:val="4A0A3D88"/>
    <w:rsid w:val="4A5166FB"/>
    <w:rsid w:val="4A6E0229"/>
    <w:rsid w:val="4A8D525B"/>
    <w:rsid w:val="4AFD4615"/>
    <w:rsid w:val="4AFE2097"/>
    <w:rsid w:val="4B2422D7"/>
    <w:rsid w:val="4B6A35F4"/>
    <w:rsid w:val="4BA460A8"/>
    <w:rsid w:val="4BE0268A"/>
    <w:rsid w:val="4C00513D"/>
    <w:rsid w:val="4C074AC8"/>
    <w:rsid w:val="4C1E7796"/>
    <w:rsid w:val="4C2578FB"/>
    <w:rsid w:val="4C286301"/>
    <w:rsid w:val="4C28759A"/>
    <w:rsid w:val="4C4D523C"/>
    <w:rsid w:val="4C6F6A75"/>
    <w:rsid w:val="4CB76E6A"/>
    <w:rsid w:val="4CBF7AF9"/>
    <w:rsid w:val="4CFB40DB"/>
    <w:rsid w:val="4D185C09"/>
    <w:rsid w:val="4E146DA6"/>
    <w:rsid w:val="4E1D1C34"/>
    <w:rsid w:val="4EEE230C"/>
    <w:rsid w:val="4F1521CC"/>
    <w:rsid w:val="4F1B3040"/>
    <w:rsid w:val="4F1F635F"/>
    <w:rsid w:val="4F2711ED"/>
    <w:rsid w:val="4F33177C"/>
    <w:rsid w:val="4F343DA7"/>
    <w:rsid w:val="4F396F09"/>
    <w:rsid w:val="4F3C208C"/>
    <w:rsid w:val="4F722566"/>
    <w:rsid w:val="4FA252B3"/>
    <w:rsid w:val="4FCC3EF9"/>
    <w:rsid w:val="4FCF4E7E"/>
    <w:rsid w:val="4FEC222F"/>
    <w:rsid w:val="500242FE"/>
    <w:rsid w:val="509016B8"/>
    <w:rsid w:val="50CA0599"/>
    <w:rsid w:val="50D137A7"/>
    <w:rsid w:val="50EC654F"/>
    <w:rsid w:val="51241F2C"/>
    <w:rsid w:val="51442461"/>
    <w:rsid w:val="514B1DEB"/>
    <w:rsid w:val="51C51AB5"/>
    <w:rsid w:val="51D43C68"/>
    <w:rsid w:val="5206251F"/>
    <w:rsid w:val="522D01E0"/>
    <w:rsid w:val="52643142"/>
    <w:rsid w:val="528662F0"/>
    <w:rsid w:val="52DF2202"/>
    <w:rsid w:val="52E4668A"/>
    <w:rsid w:val="52ED4D9B"/>
    <w:rsid w:val="52F656AA"/>
    <w:rsid w:val="53047B1C"/>
    <w:rsid w:val="53645CDE"/>
    <w:rsid w:val="537517FC"/>
    <w:rsid w:val="539F6DBD"/>
    <w:rsid w:val="53AA2BCF"/>
    <w:rsid w:val="53EF11F3"/>
    <w:rsid w:val="53F01145"/>
    <w:rsid w:val="540C73F1"/>
    <w:rsid w:val="54140080"/>
    <w:rsid w:val="542C5727"/>
    <w:rsid w:val="5445084F"/>
    <w:rsid w:val="54C75926"/>
    <w:rsid w:val="54F23A3C"/>
    <w:rsid w:val="55000C8A"/>
    <w:rsid w:val="55035063"/>
    <w:rsid w:val="55350158"/>
    <w:rsid w:val="559357DD"/>
    <w:rsid w:val="55945F73"/>
    <w:rsid w:val="559D6882"/>
    <w:rsid w:val="55B13325"/>
    <w:rsid w:val="55D05DD8"/>
    <w:rsid w:val="55F11B90"/>
    <w:rsid w:val="56072347"/>
    <w:rsid w:val="56236C6E"/>
    <w:rsid w:val="5669226E"/>
    <w:rsid w:val="56856D59"/>
    <w:rsid w:val="56E20EC8"/>
    <w:rsid w:val="56E35D53"/>
    <w:rsid w:val="570603D3"/>
    <w:rsid w:val="571264AF"/>
    <w:rsid w:val="57260908"/>
    <w:rsid w:val="573967DC"/>
    <w:rsid w:val="573B502A"/>
    <w:rsid w:val="5758495A"/>
    <w:rsid w:val="576616F1"/>
    <w:rsid w:val="577D4B9A"/>
    <w:rsid w:val="57805B1E"/>
    <w:rsid w:val="57B2047E"/>
    <w:rsid w:val="57B204EC"/>
    <w:rsid w:val="57B35F6D"/>
    <w:rsid w:val="57BE7B82"/>
    <w:rsid w:val="57EC2C4F"/>
    <w:rsid w:val="58183713"/>
    <w:rsid w:val="585F0CFA"/>
    <w:rsid w:val="5862288E"/>
    <w:rsid w:val="58900DF0"/>
    <w:rsid w:val="58B84252"/>
    <w:rsid w:val="58BE6CA1"/>
    <w:rsid w:val="592738D0"/>
    <w:rsid w:val="592B2432"/>
    <w:rsid w:val="59B72774"/>
    <w:rsid w:val="59EB2715"/>
    <w:rsid w:val="5A4178A0"/>
    <w:rsid w:val="5A9F7C3A"/>
    <w:rsid w:val="5AB578C2"/>
    <w:rsid w:val="5AB94067"/>
    <w:rsid w:val="5AC01473"/>
    <w:rsid w:val="5AE006A3"/>
    <w:rsid w:val="5B2675A6"/>
    <w:rsid w:val="5B5D4EA9"/>
    <w:rsid w:val="5B6F4A8F"/>
    <w:rsid w:val="5B7E2B2B"/>
    <w:rsid w:val="5BAA6E73"/>
    <w:rsid w:val="5BB93C0A"/>
    <w:rsid w:val="5C0F2107"/>
    <w:rsid w:val="5C29540E"/>
    <w:rsid w:val="5CBE7C34"/>
    <w:rsid w:val="5D135882"/>
    <w:rsid w:val="5D502A26"/>
    <w:rsid w:val="5DEB2C25"/>
    <w:rsid w:val="5E3E4C2D"/>
    <w:rsid w:val="5E4C19C5"/>
    <w:rsid w:val="5E531797"/>
    <w:rsid w:val="5E543814"/>
    <w:rsid w:val="5E5F664B"/>
    <w:rsid w:val="5E766F86"/>
    <w:rsid w:val="5E9268B6"/>
    <w:rsid w:val="5ED8702A"/>
    <w:rsid w:val="5EE2793A"/>
    <w:rsid w:val="5F4C5CE4"/>
    <w:rsid w:val="5FBA7BE3"/>
    <w:rsid w:val="606C7440"/>
    <w:rsid w:val="60980E01"/>
    <w:rsid w:val="61094D40"/>
    <w:rsid w:val="61581E34"/>
    <w:rsid w:val="6160574F"/>
    <w:rsid w:val="61620FB6"/>
    <w:rsid w:val="61A4713D"/>
    <w:rsid w:val="625008DB"/>
    <w:rsid w:val="625E1DEF"/>
    <w:rsid w:val="62767495"/>
    <w:rsid w:val="62A0195F"/>
    <w:rsid w:val="62B06376"/>
    <w:rsid w:val="62B674A5"/>
    <w:rsid w:val="62C37595"/>
    <w:rsid w:val="630A358C"/>
    <w:rsid w:val="632B5CBF"/>
    <w:rsid w:val="6344466B"/>
    <w:rsid w:val="63675357"/>
    <w:rsid w:val="636A48AB"/>
    <w:rsid w:val="638650D4"/>
    <w:rsid w:val="63E11F6B"/>
    <w:rsid w:val="63E541F4"/>
    <w:rsid w:val="63EA067C"/>
    <w:rsid w:val="64B251B8"/>
    <w:rsid w:val="64D305FA"/>
    <w:rsid w:val="64E80A78"/>
    <w:rsid w:val="64E965CB"/>
    <w:rsid w:val="65090AD4"/>
    <w:rsid w:val="651673BB"/>
    <w:rsid w:val="6561620F"/>
    <w:rsid w:val="659E3545"/>
    <w:rsid w:val="65A719D2"/>
    <w:rsid w:val="65D75478"/>
    <w:rsid w:val="65E052B4"/>
    <w:rsid w:val="665A501E"/>
    <w:rsid w:val="665F3603"/>
    <w:rsid w:val="66803B38"/>
    <w:rsid w:val="66996C60"/>
    <w:rsid w:val="66AE3383"/>
    <w:rsid w:val="66D74547"/>
    <w:rsid w:val="66E4385D"/>
    <w:rsid w:val="67084D16"/>
    <w:rsid w:val="670C6F9F"/>
    <w:rsid w:val="672E6E92"/>
    <w:rsid w:val="67392F67"/>
    <w:rsid w:val="677D5FDA"/>
    <w:rsid w:val="678D07F2"/>
    <w:rsid w:val="67A6286B"/>
    <w:rsid w:val="67B1772D"/>
    <w:rsid w:val="67B97DDD"/>
    <w:rsid w:val="680F1CC5"/>
    <w:rsid w:val="685A0E40"/>
    <w:rsid w:val="688B4E92"/>
    <w:rsid w:val="689F131E"/>
    <w:rsid w:val="68B42BF3"/>
    <w:rsid w:val="68BC0EE4"/>
    <w:rsid w:val="68BD6966"/>
    <w:rsid w:val="68C71474"/>
    <w:rsid w:val="68F25B3B"/>
    <w:rsid w:val="696370F4"/>
    <w:rsid w:val="69A2465A"/>
    <w:rsid w:val="69C76E18"/>
    <w:rsid w:val="6A170DB8"/>
    <w:rsid w:val="6A655A1D"/>
    <w:rsid w:val="6A7E0B45"/>
    <w:rsid w:val="6ABB2BA8"/>
    <w:rsid w:val="6ADD0B5E"/>
    <w:rsid w:val="6ADE1E63"/>
    <w:rsid w:val="6B2028CD"/>
    <w:rsid w:val="6B225DD0"/>
    <w:rsid w:val="6B244066"/>
    <w:rsid w:val="6B3A19E3"/>
    <w:rsid w:val="6B4D7F19"/>
    <w:rsid w:val="6B9D5719"/>
    <w:rsid w:val="6C1808E6"/>
    <w:rsid w:val="6C2211F6"/>
    <w:rsid w:val="6C5B6DD1"/>
    <w:rsid w:val="6CCA2908"/>
    <w:rsid w:val="6CDF3E12"/>
    <w:rsid w:val="6D26779F"/>
    <w:rsid w:val="6D270AA3"/>
    <w:rsid w:val="6D30452E"/>
    <w:rsid w:val="6D6F527B"/>
    <w:rsid w:val="6DA325EB"/>
    <w:rsid w:val="6DA66DF3"/>
    <w:rsid w:val="6E407887"/>
    <w:rsid w:val="6E632A2A"/>
    <w:rsid w:val="6E750089"/>
    <w:rsid w:val="6EA64798"/>
    <w:rsid w:val="6EAE7626"/>
    <w:rsid w:val="6EB846B2"/>
    <w:rsid w:val="6EBE403D"/>
    <w:rsid w:val="6ECA7E4F"/>
    <w:rsid w:val="6ED01D59"/>
    <w:rsid w:val="6F532332"/>
    <w:rsid w:val="6F6944D6"/>
    <w:rsid w:val="6F6B325C"/>
    <w:rsid w:val="6F6C545A"/>
    <w:rsid w:val="6F846384"/>
    <w:rsid w:val="6F9817A2"/>
    <w:rsid w:val="6F9D65B5"/>
    <w:rsid w:val="6FD16484"/>
    <w:rsid w:val="6FDB6D93"/>
    <w:rsid w:val="6FEE28FA"/>
    <w:rsid w:val="6FFC14C6"/>
    <w:rsid w:val="70092D5A"/>
    <w:rsid w:val="702D5518"/>
    <w:rsid w:val="705047D3"/>
    <w:rsid w:val="70606FEC"/>
    <w:rsid w:val="708304A5"/>
    <w:rsid w:val="70B64178"/>
    <w:rsid w:val="70C3128F"/>
    <w:rsid w:val="70EA114F"/>
    <w:rsid w:val="71465FE5"/>
    <w:rsid w:val="71473A67"/>
    <w:rsid w:val="7175165A"/>
    <w:rsid w:val="71A12E7C"/>
    <w:rsid w:val="71AD6C8E"/>
    <w:rsid w:val="71D83356"/>
    <w:rsid w:val="71F41601"/>
    <w:rsid w:val="72064D9E"/>
    <w:rsid w:val="72513F19"/>
    <w:rsid w:val="726376B6"/>
    <w:rsid w:val="72D36A71"/>
    <w:rsid w:val="72F0059F"/>
    <w:rsid w:val="73050544"/>
    <w:rsid w:val="73054CC1"/>
    <w:rsid w:val="73195E4C"/>
    <w:rsid w:val="73372F12"/>
    <w:rsid w:val="73532842"/>
    <w:rsid w:val="736F2172"/>
    <w:rsid w:val="73981CB2"/>
    <w:rsid w:val="739C3F3B"/>
    <w:rsid w:val="73D67598"/>
    <w:rsid w:val="746A200A"/>
    <w:rsid w:val="748309B5"/>
    <w:rsid w:val="74917CCB"/>
    <w:rsid w:val="74CA112A"/>
    <w:rsid w:val="74DC2A68"/>
    <w:rsid w:val="74DF4B7F"/>
    <w:rsid w:val="750C2E98"/>
    <w:rsid w:val="7530793A"/>
    <w:rsid w:val="75645AA5"/>
    <w:rsid w:val="756A5430"/>
    <w:rsid w:val="756E1C38"/>
    <w:rsid w:val="75856CF0"/>
    <w:rsid w:val="75963CF6"/>
    <w:rsid w:val="75FD6934"/>
    <w:rsid w:val="76093A95"/>
    <w:rsid w:val="760A7538"/>
    <w:rsid w:val="761A1D50"/>
    <w:rsid w:val="763B7D07"/>
    <w:rsid w:val="764C3824"/>
    <w:rsid w:val="76623D76"/>
    <w:rsid w:val="768E7B11"/>
    <w:rsid w:val="76A52D81"/>
    <w:rsid w:val="76AC12BF"/>
    <w:rsid w:val="76E14E65"/>
    <w:rsid w:val="77107C07"/>
    <w:rsid w:val="7715546B"/>
    <w:rsid w:val="773A7C2A"/>
    <w:rsid w:val="774175B4"/>
    <w:rsid w:val="775F23E8"/>
    <w:rsid w:val="77857199"/>
    <w:rsid w:val="778F7334"/>
    <w:rsid w:val="78106988"/>
    <w:rsid w:val="782557C0"/>
    <w:rsid w:val="784748E4"/>
    <w:rsid w:val="784D2D5B"/>
    <w:rsid w:val="78632B8F"/>
    <w:rsid w:val="787231A9"/>
    <w:rsid w:val="788419CF"/>
    <w:rsid w:val="78913A5E"/>
    <w:rsid w:val="79132D33"/>
    <w:rsid w:val="79815565"/>
    <w:rsid w:val="79DF1182"/>
    <w:rsid w:val="79EB37FE"/>
    <w:rsid w:val="7A430EA6"/>
    <w:rsid w:val="7A7E1F85"/>
    <w:rsid w:val="7A905722"/>
    <w:rsid w:val="7A9B070A"/>
    <w:rsid w:val="7AC34C78"/>
    <w:rsid w:val="7AC8587C"/>
    <w:rsid w:val="7AE110A7"/>
    <w:rsid w:val="7AFB0655"/>
    <w:rsid w:val="7B031548"/>
    <w:rsid w:val="7B1B7885"/>
    <w:rsid w:val="7B2E4327"/>
    <w:rsid w:val="7B615DFB"/>
    <w:rsid w:val="7BD40338"/>
    <w:rsid w:val="7C0A4F8F"/>
    <w:rsid w:val="7C501E80"/>
    <w:rsid w:val="7C58728C"/>
    <w:rsid w:val="7C5B3A94"/>
    <w:rsid w:val="7C6678A7"/>
    <w:rsid w:val="7C8D1CE5"/>
    <w:rsid w:val="7CA65E91"/>
    <w:rsid w:val="7CF92699"/>
    <w:rsid w:val="7D23263F"/>
    <w:rsid w:val="7D355645"/>
    <w:rsid w:val="7D443A12"/>
    <w:rsid w:val="7D885400"/>
    <w:rsid w:val="7DAF2BA0"/>
    <w:rsid w:val="7DE5359B"/>
    <w:rsid w:val="7DF436EC"/>
    <w:rsid w:val="7E1178E2"/>
    <w:rsid w:val="7E134FA2"/>
    <w:rsid w:val="7E256583"/>
    <w:rsid w:val="7E5228CA"/>
    <w:rsid w:val="7E6418EB"/>
    <w:rsid w:val="7E664DEE"/>
    <w:rsid w:val="7E93243A"/>
    <w:rsid w:val="7EB3166A"/>
    <w:rsid w:val="7EB625EF"/>
    <w:rsid w:val="7ED45422"/>
    <w:rsid w:val="7F1C1099"/>
    <w:rsid w:val="7F32323D"/>
    <w:rsid w:val="7F982BE1"/>
    <w:rsid w:val="7F9E4AEB"/>
    <w:rsid w:val="7FBB5720"/>
    <w:rsid w:val="7FFD029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11">
    <w:name w:val="Default Paragraph Font"/>
    <w:unhideWhenUsed/>
    <w:qFormat/>
    <w:uiPriority w:val="1"/>
  </w:style>
  <w:style w:type="table" w:default="1" w:styleId="15">
    <w:name w:val="Normal Table"/>
    <w:unhideWhenUsed/>
    <w:qFormat/>
    <w:uiPriority w:val="99"/>
    <w:tblPr>
      <w:tblStyle w:val="15"/>
      <w:tblLayout w:type="fixed"/>
      <w:tblCellMar>
        <w:top w:w="0" w:type="dxa"/>
        <w:left w:w="108" w:type="dxa"/>
        <w:bottom w:w="0" w:type="dxa"/>
        <w:right w:w="108" w:type="dxa"/>
      </w:tblCellMar>
    </w:tblPr>
    <w:tcPr>
      <w:textDirection w:val="lrTb"/>
    </w:tcPr>
  </w:style>
  <w:style w:type="paragraph" w:styleId="2">
    <w:name w:val="annotation subject"/>
    <w:basedOn w:val="3"/>
    <w:next w:val="3"/>
    <w:link w:val="27"/>
    <w:unhideWhenUsed/>
    <w:qFormat/>
    <w:uiPriority w:val="99"/>
    <w:rPr>
      <w:b/>
      <w:bCs/>
    </w:rPr>
  </w:style>
  <w:style w:type="paragraph" w:styleId="3">
    <w:name w:val="annotation text"/>
    <w:basedOn w:val="1"/>
    <w:link w:val="22"/>
    <w:unhideWhenUsed/>
    <w:qFormat/>
    <w:uiPriority w:val="99"/>
    <w:pPr>
      <w:jc w:val="left"/>
    </w:pPr>
  </w:style>
  <w:style w:type="paragraph" w:styleId="4">
    <w:name w:val="Document Map"/>
    <w:basedOn w:val="1"/>
    <w:link w:val="21"/>
    <w:qFormat/>
    <w:uiPriority w:val="0"/>
    <w:rPr>
      <w:rFonts w:ascii="宋体"/>
      <w:sz w:val="18"/>
      <w:szCs w:val="18"/>
    </w:rPr>
  </w:style>
  <w:style w:type="paragraph" w:styleId="5">
    <w:name w:val="Body Text Indent 2"/>
    <w:basedOn w:val="1"/>
    <w:link w:val="23"/>
    <w:qFormat/>
    <w:uiPriority w:val="0"/>
    <w:pPr>
      <w:ind w:firstLine="640" w:firstLineChars="200"/>
    </w:pPr>
    <w:rPr>
      <w:rFonts w:ascii="楷体_GB2312" w:hAnsi="Courier New" w:eastAsia="楷体_GB2312"/>
      <w:szCs w:val="20"/>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5"/>
    <w:qFormat/>
    <w:uiPriority w:val="11"/>
    <w:pPr>
      <w:spacing w:before="240" w:after="60" w:line="312" w:lineRule="auto"/>
      <w:jc w:val="center"/>
      <w:outlineLvl w:val="1"/>
    </w:pPr>
    <w:rPr>
      <w:rFonts w:ascii="Cambria" w:hAnsi="Cambria"/>
      <w:b/>
      <w:bCs/>
      <w:kern w:val="28"/>
      <w:szCs w:val="32"/>
    </w:rPr>
  </w:style>
  <w:style w:type="paragraph" w:styleId="10">
    <w:name w:val="Title"/>
    <w:basedOn w:val="1"/>
    <w:next w:val="1"/>
    <w:link w:val="26"/>
    <w:qFormat/>
    <w:uiPriority w:val="0"/>
    <w:pPr>
      <w:spacing w:before="240" w:after="60"/>
      <w:jc w:val="center"/>
      <w:outlineLvl w:val="0"/>
    </w:pPr>
    <w:rPr>
      <w:rFonts w:ascii="Cambria" w:hAnsi="Cambria"/>
      <w:b/>
      <w:bCs/>
      <w:szCs w:val="32"/>
    </w:rPr>
  </w:style>
  <w:style w:type="character" w:styleId="12">
    <w:name w:val="Strong"/>
    <w:basedOn w:val="11"/>
    <w:qFormat/>
    <w:uiPriority w:val="22"/>
    <w:rPr>
      <w:b/>
      <w:bCs/>
    </w:rPr>
  </w:style>
  <w:style w:type="character" w:styleId="13">
    <w:name w:val="page number"/>
    <w:qFormat/>
    <w:uiPriority w:val="0"/>
  </w:style>
  <w:style w:type="character" w:styleId="14">
    <w:name w:val="annotation reference"/>
    <w:unhideWhenUsed/>
    <w:qFormat/>
    <w:uiPriority w:val="99"/>
    <w:rPr>
      <w:sz w:val="21"/>
      <w:szCs w:val="21"/>
    </w:rPr>
  </w:style>
  <w:style w:type="paragraph" w:customStyle="1" w:styleId="16">
    <w:name w:val="Char"/>
    <w:basedOn w:val="1"/>
    <w:qFormat/>
    <w:uiPriority w:val="0"/>
    <w:pPr>
      <w:widowControl/>
      <w:jc w:val="left"/>
    </w:pPr>
  </w:style>
  <w:style w:type="paragraph" w:customStyle="1" w:styleId="17">
    <w:name w:val="p17"/>
    <w:basedOn w:val="1"/>
    <w:qFormat/>
    <w:uiPriority w:val="0"/>
    <w:pPr>
      <w:widowControl/>
    </w:pPr>
    <w:rPr>
      <w:rFonts w:ascii="宋体" w:hAnsi="宋体" w:cs="宋体"/>
      <w:kern w:val="0"/>
      <w:szCs w:val="21"/>
    </w:rPr>
  </w:style>
  <w:style w:type="paragraph" w:customStyle="1" w:styleId="18">
    <w:name w:val="Char1"/>
    <w:basedOn w:val="1"/>
    <w:uiPriority w:val="0"/>
    <w:pPr>
      <w:widowControl/>
      <w:jc w:val="left"/>
    </w:pPr>
  </w:style>
  <w:style w:type="paragraph" w:customStyle="1" w:styleId="19">
    <w:name w:val="Char Char Char Char"/>
    <w:basedOn w:val="1"/>
    <w:qFormat/>
    <w:uiPriority w:val="0"/>
  </w:style>
  <w:style w:type="paragraph" w:customStyle="1" w:styleId="20">
    <w:name w:val="p0"/>
    <w:basedOn w:val="1"/>
    <w:link w:val="29"/>
    <w:qFormat/>
    <w:uiPriority w:val="0"/>
    <w:pPr>
      <w:widowControl/>
    </w:pPr>
    <w:rPr>
      <w:kern w:val="0"/>
      <w:sz w:val="20"/>
      <w:szCs w:val="21"/>
    </w:rPr>
  </w:style>
  <w:style w:type="character" w:customStyle="1" w:styleId="21">
    <w:name w:val="文档结构图 字符"/>
    <w:link w:val="4"/>
    <w:qFormat/>
    <w:uiPriority w:val="0"/>
    <w:rPr>
      <w:rFonts w:ascii="宋体"/>
      <w:kern w:val="2"/>
      <w:sz w:val="18"/>
      <w:szCs w:val="18"/>
    </w:rPr>
  </w:style>
  <w:style w:type="character" w:customStyle="1" w:styleId="22">
    <w:name w:val="批注文字 字符"/>
    <w:link w:val="3"/>
    <w:semiHidden/>
    <w:qFormat/>
    <w:uiPriority w:val="99"/>
    <w:rPr>
      <w:kern w:val="2"/>
      <w:sz w:val="32"/>
      <w:szCs w:val="24"/>
    </w:rPr>
  </w:style>
  <w:style w:type="character" w:customStyle="1" w:styleId="23">
    <w:name w:val="正文文本缩进 2 字符"/>
    <w:link w:val="5"/>
    <w:qFormat/>
    <w:uiPriority w:val="0"/>
    <w:rPr>
      <w:rFonts w:ascii="楷体_GB2312" w:hAnsi="Courier New" w:eastAsia="楷体_GB2312"/>
      <w:kern w:val="2"/>
      <w:sz w:val="32"/>
    </w:rPr>
  </w:style>
  <w:style w:type="character" w:customStyle="1" w:styleId="24">
    <w:name w:val="页码1"/>
    <w:qFormat/>
    <w:uiPriority w:val="0"/>
  </w:style>
  <w:style w:type="character" w:customStyle="1" w:styleId="25">
    <w:name w:val="副标题 字符"/>
    <w:link w:val="9"/>
    <w:qFormat/>
    <w:uiPriority w:val="11"/>
    <w:rPr>
      <w:rFonts w:ascii="Cambria" w:hAnsi="Cambria" w:cs="Times New Roman"/>
      <w:b/>
      <w:bCs/>
      <w:kern w:val="28"/>
      <w:sz w:val="32"/>
      <w:szCs w:val="32"/>
    </w:rPr>
  </w:style>
  <w:style w:type="character" w:customStyle="1" w:styleId="26">
    <w:name w:val="标题 字符"/>
    <w:link w:val="10"/>
    <w:qFormat/>
    <w:uiPriority w:val="0"/>
    <w:rPr>
      <w:rFonts w:ascii="Cambria" w:hAnsi="Cambria" w:cs="Times New Roman"/>
      <w:b/>
      <w:bCs/>
      <w:kern w:val="2"/>
      <w:sz w:val="32"/>
      <w:szCs w:val="32"/>
    </w:rPr>
  </w:style>
  <w:style w:type="character" w:customStyle="1" w:styleId="27">
    <w:name w:val="批注主题 字符"/>
    <w:link w:val="2"/>
    <w:semiHidden/>
    <w:qFormat/>
    <w:uiPriority w:val="99"/>
    <w:rPr>
      <w:b/>
      <w:bCs/>
      <w:kern w:val="2"/>
      <w:sz w:val="32"/>
      <w:szCs w:val="24"/>
    </w:rPr>
  </w:style>
  <w:style w:type="character" w:customStyle="1" w:styleId="28">
    <w:name w:val="样式 仿宋 三号 Char"/>
    <w:qFormat/>
    <w:uiPriority w:val="0"/>
    <w:rPr>
      <w:rFonts w:ascii="仿宋" w:hAnsi="仿宋" w:eastAsia="仿宋" w:cs="宋体"/>
      <w:kern w:val="2"/>
      <w:sz w:val="32"/>
      <w:lang w:val="en-US" w:eastAsia="zh-CN" w:bidi="ar-SA"/>
    </w:rPr>
  </w:style>
  <w:style w:type="character" w:customStyle="1" w:styleId="29">
    <w:name w:val="p0{858D7CFB-ED40-4347-BF05-701D383B685F}"/>
    <w:link w:val="20"/>
    <w:qFormat/>
    <w:uiPriority w:val="0"/>
    <w:rPr>
      <w:kern w:val="0"/>
      <w:szCs w:val="21"/>
    </w:rPr>
  </w:style>
  <w:style w:type="character" w:customStyle="1" w:styleId="30">
    <w:name w:val="font51"/>
    <w:basedOn w:val="11"/>
    <w:qFormat/>
    <w:uiPriority w:val="0"/>
    <w:rPr>
      <w:rFonts w:hint="eastAsia" w:ascii="仿宋_GB2312" w:eastAsia="仿宋_GB2312" w:cs="仿宋_GB2312"/>
      <w:color w:val="000000"/>
      <w:sz w:val="22"/>
      <w:szCs w:val="22"/>
      <w:u w:val="none"/>
    </w:rPr>
  </w:style>
  <w:style w:type="character" w:customStyle="1" w:styleId="31">
    <w:name w:val="font61"/>
    <w:basedOn w:val="11"/>
    <w:qFormat/>
    <w:uiPriority w:val="0"/>
    <w:rPr>
      <w:rFonts w:ascii="Arial" w:hAnsi="Arial" w:cs="Arial"/>
      <w:color w:val="000000"/>
      <w:sz w:val="22"/>
      <w:szCs w:val="22"/>
      <w:u w:val="none"/>
    </w:rPr>
  </w:style>
  <w:style w:type="character" w:customStyle="1" w:styleId="32">
    <w:name w:val="font81"/>
    <w:basedOn w:val="11"/>
    <w:qFormat/>
    <w:uiPriority w:val="0"/>
    <w:rPr>
      <w:rFonts w:hint="eastAsia" w:ascii="宋体" w:hAnsi="宋体" w:eastAsia="宋体" w:cs="宋体"/>
      <w:color w:val="000000"/>
      <w:sz w:val="22"/>
      <w:szCs w:val="22"/>
      <w:u w:val="none"/>
    </w:rPr>
  </w:style>
  <w:style w:type="character" w:customStyle="1" w:styleId="33">
    <w:name w:val="font01"/>
    <w:basedOn w:val="11"/>
    <w:qFormat/>
    <w:uiPriority w:val="0"/>
    <w:rPr>
      <w:rFonts w:ascii="Arial" w:hAnsi="Arial" w:cs="Arial"/>
      <w:color w:val="auto"/>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90</Pages>
  <Words>40651</Words>
  <Characters>46588</Characters>
  <Lines>386</Lines>
  <Paragraphs>108</Paragraphs>
  <ScaleCrop>false</ScaleCrop>
  <LinksUpToDate>false</LinksUpToDate>
  <CharactersWithSpaces>0</CharactersWithSpaces>
  <Application>WPS Office 专业版_9.1.0.5432_F1E327BC-269C-435d-A152-05C5408002CA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2022-09-04T14:03:00Z</dcterms:created>
  <cp:lastPrinted>2022-09-23T06:17:00Z</cp:lastPrinted>
  <dcterms:modified xsi:type="dcterms:W3CDTF">2022-09-29T08:00:37Z</dcterms:modified>
  <dc:title>2021年度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y fmtid="{D5CDD505-2E9C-101B-9397-08002B2CF9AE}" pid="3" name="_MarkAsFinal">
    <vt:bool>true</vt:bool>
  </property>
  <property fmtid="{D5CDD505-2E9C-101B-9397-08002B2CF9AE}" pid="4" name="ICV">
    <vt:lpwstr>A716AEB376934F5CBB34B9FBD03152CB</vt:lpwstr>
  </property>
</Properties>
</file>