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青岛市</w:t>
      </w:r>
      <w:r>
        <w:rPr>
          <w:rFonts w:hint="eastAsia" w:ascii="方正小标宋_GBK" w:eastAsia="方正小标宋_GBK"/>
          <w:sz w:val="44"/>
          <w:szCs w:val="44"/>
          <w:lang w:val="en-US" w:eastAsia="zh-CN"/>
        </w:rPr>
        <w:t>市场监督管理局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2021年政府信息公开工作年度报告</w:t>
      </w:r>
    </w:p>
    <w:p>
      <w:pPr>
        <w:snapToGrid w:val="0"/>
        <w:spacing w:line="560" w:lineRule="exact"/>
        <w:jc w:val="left"/>
        <w:rPr>
          <w:rFonts w:ascii="仿宋_GB2312" w:eastAsia="仿宋_GB2312"/>
          <w:color w:val="000000"/>
          <w:sz w:val="32"/>
          <w:szCs w:val="32"/>
        </w:rPr>
      </w:pPr>
    </w:p>
    <w:p>
      <w:pPr>
        <w:snapToGrid w:val="0"/>
        <w:spacing w:line="560" w:lineRule="exact"/>
        <w:ind w:firstLine="630"/>
        <w:jc w:val="left"/>
        <w:rPr>
          <w:rFonts w:ascii="仿宋_GB2312" w:hAnsi="Arial" w:eastAsia="仿宋_GB2312" w:cs="Arial"/>
          <w:kern w:val="0"/>
          <w:sz w:val="32"/>
          <w:szCs w:val="32"/>
        </w:rPr>
      </w:pPr>
      <w:r>
        <w:rPr>
          <w:rFonts w:hint="eastAsia" w:ascii="仿宋_GB2312" w:hAnsi="Arial" w:eastAsia="仿宋_GB2312" w:cs="Arial"/>
          <w:kern w:val="0"/>
          <w:sz w:val="32"/>
          <w:szCs w:val="32"/>
        </w:rPr>
        <w:t>根据《中华人民共和国政府信息公开条例》和青岛市人民政府《关于加快推进政府信息公开工作的实施意见》等文件要求编制并向社会公布</w:t>
      </w:r>
      <w:r>
        <w:rPr>
          <w:rFonts w:hint="eastAsia" w:ascii="仿宋_GB2312" w:hAnsi="Arial" w:eastAsia="仿宋_GB2312" w:cs="Arial"/>
          <w:kern w:val="0"/>
          <w:sz w:val="32"/>
          <w:szCs w:val="32"/>
          <w:lang w:eastAsia="zh-CN"/>
        </w:rPr>
        <w:t>青岛市市场监督管理局</w:t>
      </w:r>
      <w:r>
        <w:rPr>
          <w:rFonts w:hint="eastAsia" w:ascii="仿宋_GB2312" w:hAnsi="Arial" w:eastAsia="仿宋_GB2312" w:cs="Arial"/>
          <w:kern w:val="0"/>
          <w:sz w:val="32"/>
          <w:szCs w:val="32"/>
        </w:rPr>
        <w:t>（以下简称市</w:t>
      </w:r>
      <w:r>
        <w:rPr>
          <w:rFonts w:hint="eastAsia" w:ascii="仿宋_GB2312" w:hAnsi="Arial" w:eastAsia="仿宋_GB2312" w:cs="Arial"/>
          <w:kern w:val="0"/>
          <w:sz w:val="32"/>
          <w:szCs w:val="32"/>
          <w:lang w:eastAsia="zh-CN"/>
        </w:rPr>
        <w:t>市场监督管理局</w:t>
      </w:r>
      <w:r>
        <w:rPr>
          <w:rFonts w:hint="eastAsia" w:ascii="仿宋_GB2312" w:hAnsi="Arial" w:eastAsia="仿宋_GB2312" w:cs="Arial"/>
          <w:kern w:val="0"/>
          <w:sz w:val="32"/>
          <w:szCs w:val="32"/>
        </w:rPr>
        <w:t>）2021年政府信息公开工作年度报告。本报告由总体情况、主动公开政府信息情况、收到和处理政府信息公开申请情况、政府信息公开行政复议和行政诉讼情况、存在的主要问题和改进情况、其他需要报告的事项组成。本年度报告中所列数据的统计期限自2021年1月1日至2021年12月31日。本报告的电子版可在“青岛政务网”（</w:t>
      </w:r>
      <w:r>
        <w:fldChar w:fldCharType="begin"/>
      </w:r>
      <w:r>
        <w:instrText xml:space="preserve"> HYPERLINK "http://www.qingdao.gov.cn/" </w:instrText>
      </w:r>
      <w:r>
        <w:fldChar w:fldCharType="separate"/>
      </w:r>
      <w:r>
        <w:rPr>
          <w:rFonts w:hint="eastAsia" w:ascii="仿宋_GB2312" w:hAnsi="Arial" w:eastAsia="仿宋_GB2312" w:cs="Arial"/>
          <w:kern w:val="0"/>
          <w:sz w:val="32"/>
          <w:szCs w:val="32"/>
        </w:rPr>
        <w:t>www.qingdao.gov.cn</w:t>
      </w:r>
      <w:r>
        <w:rPr>
          <w:rFonts w:hint="eastAsia" w:ascii="仿宋_GB2312" w:hAnsi="Arial" w:eastAsia="仿宋_GB2312" w:cs="Arial"/>
          <w:kern w:val="0"/>
          <w:sz w:val="32"/>
          <w:szCs w:val="32"/>
        </w:rPr>
        <w:fldChar w:fldCharType="end"/>
      </w:r>
      <w:r>
        <w:rPr>
          <w:rFonts w:hint="eastAsia" w:ascii="仿宋_GB2312" w:hAnsi="Arial" w:eastAsia="仿宋_GB2312" w:cs="Arial"/>
          <w:kern w:val="0"/>
          <w:sz w:val="32"/>
          <w:szCs w:val="32"/>
        </w:rPr>
        <w:t>）下载。如对本报告有任何疑问，请与市</w:t>
      </w:r>
      <w:r>
        <w:rPr>
          <w:rFonts w:hint="eastAsia" w:ascii="仿宋_GB2312" w:hAnsi="Arial" w:eastAsia="仿宋_GB2312" w:cs="Arial"/>
          <w:kern w:val="0"/>
          <w:sz w:val="32"/>
          <w:szCs w:val="32"/>
          <w:lang w:eastAsia="zh-CN"/>
        </w:rPr>
        <w:t>市场监督管理局</w:t>
      </w:r>
      <w:r>
        <w:rPr>
          <w:rFonts w:hint="eastAsia" w:ascii="仿宋_GB2312" w:hAnsi="Arial" w:eastAsia="仿宋_GB2312" w:cs="Arial"/>
          <w:kern w:val="0"/>
          <w:sz w:val="32"/>
          <w:szCs w:val="32"/>
        </w:rPr>
        <w:t>办公室联系（地址：青岛市市南区</w:t>
      </w:r>
      <w:r>
        <w:rPr>
          <w:rFonts w:hint="eastAsia" w:ascii="仿宋_GB2312" w:hAnsi="Arial" w:eastAsia="仿宋_GB2312" w:cs="Arial"/>
          <w:kern w:val="0"/>
          <w:sz w:val="32"/>
          <w:szCs w:val="32"/>
          <w:lang w:val="en-US" w:eastAsia="zh-CN"/>
        </w:rPr>
        <w:t>福州南路83号</w:t>
      </w:r>
      <w:r>
        <w:rPr>
          <w:rFonts w:hint="eastAsia" w:ascii="仿宋_GB2312" w:hAnsi="Arial" w:eastAsia="仿宋_GB2312" w:cs="Arial"/>
          <w:kern w:val="0"/>
          <w:sz w:val="32"/>
          <w:szCs w:val="32"/>
        </w:rPr>
        <w:t>，邮编：266071；电话、传真：0532-</w:t>
      </w:r>
      <w:r>
        <w:rPr>
          <w:rFonts w:hint="eastAsia" w:ascii="仿宋_GB2312" w:hAnsi="Arial" w:eastAsia="仿宋_GB2312" w:cs="Arial"/>
          <w:kern w:val="0"/>
          <w:sz w:val="32"/>
          <w:szCs w:val="32"/>
          <w:lang w:val="en-US" w:eastAsia="zh-CN"/>
        </w:rPr>
        <w:t>85730869</w:t>
      </w:r>
      <w:r>
        <w:rPr>
          <w:rFonts w:hint="eastAsia" w:ascii="仿宋_GB2312" w:hAnsi="Arial" w:eastAsia="仿宋_GB2312" w:cs="Arial"/>
          <w:kern w:val="0"/>
          <w:sz w:val="32"/>
          <w:szCs w:val="32"/>
        </w:rPr>
        <w:t>）</w:t>
      </w:r>
      <w:r>
        <w:rPr>
          <w:rFonts w:hint="eastAsia" w:ascii="仿宋_GB2312" w:hAnsi="黑体" w:eastAsia="仿宋_GB2312"/>
          <w:color w:val="000000"/>
          <w:sz w:val="32"/>
          <w:szCs w:val="32"/>
        </w:rPr>
        <w:t>。</w:t>
      </w:r>
    </w:p>
    <w:p>
      <w:pPr>
        <w:snapToGrid w:val="0"/>
        <w:spacing w:line="560" w:lineRule="exact"/>
        <w:ind w:firstLine="630"/>
        <w:jc w:val="left"/>
        <w:rPr>
          <w:rFonts w:ascii="黑体" w:hAnsi="黑体" w:eastAsia="黑体"/>
          <w:color w:val="000000"/>
          <w:sz w:val="32"/>
          <w:szCs w:val="32"/>
        </w:rPr>
      </w:pPr>
      <w:r>
        <w:rPr>
          <w:rFonts w:hint="eastAsia" w:ascii="黑体" w:hAnsi="黑体" w:eastAsia="黑体"/>
          <w:color w:val="000000"/>
          <w:sz w:val="32"/>
          <w:szCs w:val="32"/>
        </w:rPr>
        <w:t>一、总体情况</w:t>
      </w:r>
    </w:p>
    <w:p>
      <w:pPr>
        <w:widowControl w:val="0"/>
        <w:spacing w:line="560" w:lineRule="exact"/>
        <w:ind w:firstLine="640"/>
        <w:rPr>
          <w:rFonts w:ascii="仿宋_GB2312" w:hAnsi="Arial" w:eastAsia="仿宋_GB2312" w:cs="Arial"/>
          <w:kern w:val="0"/>
          <w:sz w:val="32"/>
          <w:szCs w:val="32"/>
        </w:rPr>
      </w:pPr>
      <w:r>
        <w:rPr>
          <w:rFonts w:hint="eastAsia" w:ascii="Times New Roman" w:hAnsi="Times New Roman" w:eastAsia="仿宋_GB2312"/>
          <w:kern w:val="2"/>
          <w:sz w:val="32"/>
          <w:szCs w:val="22"/>
        </w:rPr>
        <w:t>202</w:t>
      </w:r>
      <w:r>
        <w:rPr>
          <w:rFonts w:hint="eastAsia" w:eastAsia="仿宋_GB2312"/>
          <w:kern w:val="2"/>
          <w:sz w:val="32"/>
          <w:szCs w:val="22"/>
          <w:lang w:val="en-US" w:eastAsia="zh-CN"/>
        </w:rPr>
        <w:t>1</w:t>
      </w:r>
      <w:r>
        <w:rPr>
          <w:rFonts w:hint="eastAsia" w:ascii="Times New Roman" w:hAnsi="Times New Roman" w:eastAsia="仿宋_GB2312"/>
          <w:kern w:val="2"/>
          <w:sz w:val="32"/>
          <w:szCs w:val="22"/>
        </w:rPr>
        <w:t>年，青岛市市场监督管理局坚持以习近平新时代中国特色社会主义思想为指导，深入贯彻落实党中央、国务院关于全面推进政务公开的决策部署，</w:t>
      </w:r>
      <w:r>
        <w:rPr>
          <w:rFonts w:hint="eastAsia" w:ascii="仿宋_GB2312" w:hAnsi="文星仿宋" w:eastAsia="仿宋_GB2312" w:cs="宋体"/>
          <w:kern w:val="0"/>
          <w:sz w:val="32"/>
          <w:szCs w:val="32"/>
        </w:rPr>
        <w:t>紧扣2021年青岛市政务公开工作要点，</w:t>
      </w:r>
      <w:r>
        <w:rPr>
          <w:rFonts w:hint="eastAsia" w:ascii="仿宋_GB2312" w:eastAsia="仿宋_GB2312"/>
          <w:sz w:val="32"/>
          <w:szCs w:val="32"/>
        </w:rPr>
        <w:t>按照</w:t>
      </w:r>
      <w:r>
        <w:rPr>
          <w:rFonts w:hint="eastAsia" w:ascii="仿宋_GB2312" w:hAnsi="黑体" w:eastAsia="仿宋_GB2312"/>
          <w:color w:val="000000"/>
          <w:sz w:val="32"/>
          <w:szCs w:val="32"/>
        </w:rPr>
        <w:t>“以公开为常态，不公开为例外”原则，</w:t>
      </w:r>
      <w:r>
        <w:rPr>
          <w:rFonts w:hint="eastAsia" w:ascii="Times New Roman" w:hAnsi="Times New Roman" w:eastAsia="仿宋_GB2312"/>
          <w:kern w:val="2"/>
          <w:sz w:val="32"/>
          <w:szCs w:val="22"/>
        </w:rPr>
        <w:t>持续加大重点领域信息公开力度，</w:t>
      </w:r>
      <w:r>
        <w:rPr>
          <w:rFonts w:hint="eastAsia" w:ascii="仿宋_GB2312" w:hAnsi="文星仿宋" w:eastAsia="仿宋_GB2312" w:cs="宋体"/>
          <w:kern w:val="0"/>
          <w:sz w:val="32"/>
          <w:szCs w:val="32"/>
        </w:rPr>
        <w:t>着力提升政务公开质量，</w:t>
      </w:r>
      <w:r>
        <w:rPr>
          <w:rFonts w:hint="eastAsia" w:ascii="Times New Roman" w:hAnsi="Times New Roman" w:eastAsia="仿宋_GB2312"/>
          <w:kern w:val="2"/>
          <w:sz w:val="32"/>
          <w:szCs w:val="22"/>
        </w:rPr>
        <w:t>积极畅通公众参与渠道，主动回应社会关切，政府信息公开实效不断提升。</w:t>
      </w:r>
    </w:p>
    <w:p>
      <w:pPr>
        <w:spacing w:line="560" w:lineRule="exact"/>
        <w:ind w:firstLine="640" w:firstLineChars="200"/>
        <w:jc w:val="left"/>
        <w:rPr>
          <w:rFonts w:hint="default" w:ascii="仿宋_GB2312" w:hAnsi="Arial" w:eastAsia="仿宋_GB2312" w:cs="Arial"/>
          <w:sz w:val="32"/>
          <w:szCs w:val="32"/>
          <w:lang w:val="en-US" w:eastAsia="zh-CN"/>
        </w:rPr>
      </w:pPr>
      <w:r>
        <w:rPr>
          <w:rFonts w:hint="eastAsia" w:ascii="楷体_GB2312" w:hAnsi="黑体" w:eastAsia="楷体_GB2312"/>
          <w:sz w:val="32"/>
          <w:szCs w:val="32"/>
        </w:rPr>
        <w:t>（一）主动公开方面。</w:t>
      </w:r>
      <w:r>
        <w:rPr>
          <w:rFonts w:hint="eastAsia" w:ascii="仿宋_GB2312" w:hAnsi="黑体" w:eastAsia="仿宋_GB2312"/>
          <w:sz w:val="32"/>
          <w:szCs w:val="32"/>
        </w:rPr>
        <w:t>2021年，</w:t>
      </w:r>
      <w:r>
        <w:rPr>
          <w:rFonts w:hint="eastAsia" w:ascii="仿宋_GB2312" w:hAnsi="Arial" w:eastAsia="仿宋_GB2312" w:cs="Arial"/>
          <w:kern w:val="0"/>
          <w:sz w:val="32"/>
          <w:szCs w:val="32"/>
        </w:rPr>
        <w:t>市</w:t>
      </w:r>
      <w:r>
        <w:rPr>
          <w:rFonts w:hint="eastAsia" w:ascii="仿宋_GB2312" w:hAnsi="Arial" w:eastAsia="仿宋_GB2312" w:cs="Arial"/>
          <w:kern w:val="0"/>
          <w:sz w:val="32"/>
          <w:szCs w:val="32"/>
          <w:lang w:eastAsia="zh-CN"/>
        </w:rPr>
        <w:t>市场监督管理局</w:t>
      </w:r>
      <w:r>
        <w:rPr>
          <w:rFonts w:hint="eastAsia" w:ascii="仿宋_GB2312" w:hAnsi="Arial" w:eastAsia="仿宋_GB2312" w:cs="Arial"/>
          <w:sz w:val="32"/>
          <w:szCs w:val="32"/>
        </w:rPr>
        <w:t>严格执行信息日常发布机制，全年通过青岛政务网政府信息公开专栏、局官方网站</w:t>
      </w:r>
      <w:r>
        <w:rPr>
          <w:rFonts w:hint="eastAsia" w:ascii="仿宋_GB2312" w:hAnsi="Arial" w:eastAsia="仿宋_GB2312" w:cs="Arial"/>
          <w:sz w:val="32"/>
          <w:szCs w:val="32"/>
          <w:highlight w:val="none"/>
          <w:lang w:val="en-US" w:eastAsia="zh-CN"/>
        </w:rPr>
        <w:t>、“青岛市场监管”</w:t>
      </w:r>
      <w:r>
        <w:rPr>
          <w:rFonts w:hint="eastAsia" w:ascii="仿宋_GB2312" w:hAnsi="Arial" w:eastAsia="仿宋_GB2312" w:cs="Arial"/>
          <w:sz w:val="32"/>
          <w:szCs w:val="32"/>
          <w:lang w:val="en-US" w:eastAsia="zh-CN"/>
        </w:rPr>
        <w:t>官方微博、微信公众号、抖音等平台累计向社会主动发布各类信息2000余篇，涵盖年度工作要点、工作规划、工作总结、工作动态、政策解读等多类信息。其中，通过局官方网站公开政府信息576</w:t>
      </w:r>
      <w:r>
        <w:rPr>
          <w:rFonts w:hint="eastAsia" w:ascii="仿宋_GB2312" w:hAnsi="Arial" w:eastAsia="仿宋_GB2312" w:cs="Arial"/>
          <w:sz w:val="32"/>
          <w:szCs w:val="32"/>
          <w:lang w:val="en-US" w:eastAsia="zh-CN"/>
        </w:rPr>
        <w:t>条，通过官方微博公开政府信息371条，通过微信公众号公开政府信息720条；积极参与“三民活动”，向市民代表、专家汇报2021年全市市场监管工作情况，认真答复市民代表、专家的意见建</w:t>
      </w:r>
      <w:r>
        <w:rPr>
          <w:rFonts w:hint="eastAsia" w:ascii="仿宋_GB2312" w:hAnsi="Arial" w:eastAsia="仿宋_GB2312" w:cs="Arial"/>
          <w:sz w:val="32"/>
          <w:szCs w:val="32"/>
          <w:highlight w:val="none"/>
          <w:lang w:val="en-US" w:eastAsia="zh-CN"/>
        </w:rPr>
        <w:t>议；参与民生在线活动，</w:t>
      </w:r>
      <w:r>
        <w:rPr>
          <w:rFonts w:hint="eastAsia" w:ascii="仿宋_GB2312" w:hAnsi="Arial" w:eastAsia="仿宋_GB2312" w:cs="Arial"/>
          <w:sz w:val="32"/>
          <w:szCs w:val="32"/>
          <w:lang w:val="en-US" w:eastAsia="zh-CN"/>
        </w:rPr>
        <w:t>对收到的各类群众咨询、建议116条，全部及时给予答复和落实；主动接受人大代表和政协委员对市场监管工作的监督，全年办理</w:t>
      </w:r>
      <w:r>
        <w:rPr>
          <w:rFonts w:hint="eastAsia" w:ascii="仿宋_GB2312" w:hAnsi="仿宋_GB2312" w:eastAsia="仿宋_GB2312" w:cs="仿宋_GB2312"/>
          <w:color w:val="000000"/>
          <w:sz w:val="32"/>
          <w:szCs w:val="32"/>
          <w:lang w:eastAsia="zh-CN"/>
        </w:rPr>
        <w:t>人大建议</w:t>
      </w:r>
      <w:r>
        <w:rPr>
          <w:rFonts w:hint="eastAsia" w:ascii="仿宋_GB2312" w:hAnsi="仿宋_GB2312" w:eastAsia="仿宋_GB2312" w:cs="仿宋_GB2312"/>
          <w:color w:val="000000"/>
          <w:sz w:val="32"/>
          <w:szCs w:val="32"/>
          <w:lang w:val="en-US" w:eastAsia="zh-CN"/>
        </w:rPr>
        <w:t>34</w:t>
      </w:r>
      <w:r>
        <w:rPr>
          <w:rFonts w:hint="default" w:ascii="仿宋_GB2312" w:hAnsi="仿宋_GB2312" w:eastAsia="仿宋_GB2312" w:cs="仿宋_GB2312"/>
          <w:color w:val="000000"/>
          <w:sz w:val="32"/>
          <w:szCs w:val="32"/>
          <w:lang w:eastAsia="zh-CN"/>
        </w:rPr>
        <w:t>件，</w:t>
      </w:r>
      <w:r>
        <w:rPr>
          <w:rFonts w:hint="eastAsia" w:ascii="仿宋_GB2312" w:hAnsi="仿宋_GB2312" w:eastAsia="仿宋_GB2312" w:cs="仿宋_GB2312"/>
          <w:color w:val="000000"/>
          <w:sz w:val="32"/>
          <w:szCs w:val="32"/>
          <w:lang w:eastAsia="zh-CN"/>
        </w:rPr>
        <w:t>其中主办件</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eastAsia="zh-CN"/>
        </w:rPr>
        <w:t>件；政协提案</w:t>
      </w:r>
      <w:r>
        <w:rPr>
          <w:rFonts w:hint="eastAsia" w:ascii="仿宋_GB2312" w:hAnsi="仿宋_GB2312" w:eastAsia="仿宋_GB2312" w:cs="仿宋_GB2312"/>
          <w:color w:val="000000"/>
          <w:sz w:val="32"/>
          <w:szCs w:val="32"/>
          <w:lang w:val="en-US" w:eastAsia="zh-CN"/>
        </w:rPr>
        <w:t>47件，其中主办件21件.</w:t>
      </w:r>
    </w:p>
    <w:p>
      <w:pPr>
        <w:widowControl w:val="0"/>
        <w:spacing w:line="560" w:lineRule="exact"/>
        <w:ind w:firstLine="640"/>
        <w:rPr>
          <w:rFonts w:ascii="仿宋_GB2312" w:hAnsi="Arial" w:eastAsia="仿宋_GB2312" w:cs="Arial"/>
          <w:sz w:val="32"/>
          <w:szCs w:val="32"/>
        </w:rPr>
      </w:pPr>
      <w:r>
        <w:rPr>
          <w:rFonts w:hint="eastAsia" w:ascii="楷体_GB2312" w:hAnsi="ˎ̥" w:eastAsia="楷体_GB2312" w:cs="宋体"/>
          <w:bCs/>
          <w:kern w:val="0"/>
          <w:sz w:val="32"/>
          <w:szCs w:val="20"/>
        </w:rPr>
        <w:t>（二）依申请公开方面。</w:t>
      </w:r>
      <w:r>
        <w:rPr>
          <w:rFonts w:hint="eastAsia" w:ascii="仿宋_GB2312" w:hAnsi="黑体" w:eastAsia="仿宋_GB2312"/>
          <w:sz w:val="32"/>
          <w:szCs w:val="32"/>
        </w:rPr>
        <w:t>2021年，</w:t>
      </w:r>
      <w:r>
        <w:rPr>
          <w:rFonts w:hint="eastAsia" w:ascii="仿宋_GB2312" w:eastAsia="仿宋_GB2312"/>
          <w:sz w:val="32"/>
          <w:szCs w:val="32"/>
        </w:rPr>
        <w:t>进一步修订完善《</w:t>
      </w:r>
      <w:r>
        <w:rPr>
          <w:rFonts w:hint="eastAsia" w:ascii="仿宋_GB2312" w:eastAsia="仿宋_GB2312"/>
          <w:sz w:val="32"/>
          <w:szCs w:val="32"/>
          <w:lang w:eastAsia="zh-CN"/>
        </w:rPr>
        <w:t>青岛市市场监督管理局</w:t>
      </w:r>
      <w:r>
        <w:rPr>
          <w:rFonts w:hint="eastAsia" w:ascii="仿宋_GB2312" w:eastAsia="仿宋_GB2312"/>
          <w:sz w:val="32"/>
          <w:szCs w:val="32"/>
        </w:rPr>
        <w:t>政府信息公开指南》，对依申请公开信息获取方式和途径等进一步明确，确保渠道畅通。</w:t>
      </w:r>
      <w:r>
        <w:rPr>
          <w:rFonts w:hint="eastAsia" w:ascii="Times New Roman" w:hAnsi="Times New Roman" w:eastAsia="仿宋_GB2312"/>
          <w:kern w:val="2"/>
          <w:sz w:val="32"/>
          <w:szCs w:val="22"/>
        </w:rPr>
        <w:t>全年共收到政府信息公开申请3</w:t>
      </w:r>
      <w:r>
        <w:rPr>
          <w:rFonts w:ascii="Times New Roman" w:hAnsi="Times New Roman" w:eastAsia="仿宋_GB2312"/>
          <w:kern w:val="2"/>
          <w:sz w:val="32"/>
          <w:szCs w:val="22"/>
        </w:rPr>
        <w:t>1</w:t>
      </w:r>
      <w:r>
        <w:rPr>
          <w:rFonts w:hint="eastAsia" w:ascii="Times New Roman" w:hAnsi="Times New Roman" w:eastAsia="仿宋_GB2312"/>
          <w:kern w:val="2"/>
          <w:sz w:val="32"/>
          <w:szCs w:val="22"/>
        </w:rPr>
        <w:t>件，其中，网络申请2</w:t>
      </w:r>
      <w:r>
        <w:rPr>
          <w:rFonts w:ascii="Times New Roman" w:hAnsi="Times New Roman" w:eastAsia="仿宋_GB2312"/>
          <w:kern w:val="2"/>
          <w:sz w:val="32"/>
          <w:szCs w:val="22"/>
        </w:rPr>
        <w:t>7</w:t>
      </w:r>
      <w:r>
        <w:rPr>
          <w:rFonts w:hint="eastAsia" w:ascii="Times New Roman" w:hAnsi="Times New Roman" w:eastAsia="仿宋_GB2312"/>
          <w:kern w:val="2"/>
          <w:sz w:val="32"/>
          <w:szCs w:val="22"/>
        </w:rPr>
        <w:t>件，信函申请</w:t>
      </w:r>
      <w:r>
        <w:rPr>
          <w:rFonts w:ascii="Times New Roman" w:hAnsi="Times New Roman" w:eastAsia="仿宋_GB2312"/>
          <w:kern w:val="2"/>
          <w:sz w:val="32"/>
          <w:szCs w:val="22"/>
        </w:rPr>
        <w:t>4</w:t>
      </w:r>
      <w:r>
        <w:rPr>
          <w:rFonts w:hint="eastAsia" w:ascii="Times New Roman" w:hAnsi="Times New Roman" w:eastAsia="仿宋_GB2312"/>
          <w:kern w:val="2"/>
          <w:sz w:val="32"/>
          <w:szCs w:val="22"/>
        </w:rPr>
        <w:t>件。从答复情况看，予以公开</w:t>
      </w:r>
      <w:r>
        <w:rPr>
          <w:rFonts w:ascii="Times New Roman" w:hAnsi="Times New Roman" w:eastAsia="仿宋_GB2312"/>
          <w:kern w:val="2"/>
          <w:sz w:val="32"/>
          <w:szCs w:val="22"/>
        </w:rPr>
        <w:t>4</w:t>
      </w:r>
      <w:r>
        <w:rPr>
          <w:rFonts w:hint="eastAsia" w:ascii="Times New Roman" w:hAnsi="Times New Roman" w:eastAsia="仿宋_GB2312"/>
          <w:kern w:val="2"/>
          <w:sz w:val="32"/>
          <w:szCs w:val="22"/>
        </w:rPr>
        <w:t>件，不予公开1件，无法提供</w:t>
      </w:r>
      <w:r>
        <w:rPr>
          <w:rFonts w:ascii="Times New Roman" w:hAnsi="Times New Roman" w:eastAsia="仿宋_GB2312"/>
          <w:kern w:val="2"/>
          <w:sz w:val="32"/>
          <w:szCs w:val="22"/>
        </w:rPr>
        <w:t>25</w:t>
      </w:r>
      <w:r>
        <w:rPr>
          <w:rFonts w:hint="eastAsia" w:ascii="Times New Roman" w:hAnsi="Times New Roman" w:eastAsia="仿宋_GB2312"/>
          <w:kern w:val="2"/>
          <w:sz w:val="32"/>
          <w:szCs w:val="22"/>
        </w:rPr>
        <w:t>件，不予处理1件</w:t>
      </w:r>
      <w:r>
        <w:rPr>
          <w:rFonts w:hint="eastAsia" w:eastAsia="仿宋_GB2312"/>
          <w:kern w:val="2"/>
          <w:sz w:val="32"/>
          <w:szCs w:val="22"/>
          <w:lang w:eastAsia="zh-CN"/>
        </w:rPr>
        <w:t>。</w:t>
      </w:r>
      <w:r>
        <w:rPr>
          <w:rFonts w:hint="eastAsia" w:eastAsia="仿宋_GB2312"/>
          <w:kern w:val="2"/>
          <w:sz w:val="32"/>
          <w:szCs w:val="22"/>
          <w:lang w:val="en-US" w:eastAsia="zh-CN"/>
        </w:rPr>
        <w:t>以上依申请公开</w:t>
      </w:r>
      <w:r>
        <w:rPr>
          <w:rFonts w:hint="eastAsia" w:ascii="仿宋_GB2312" w:hAnsi="仿宋" w:eastAsia="仿宋_GB2312"/>
          <w:sz w:val="32"/>
          <w:szCs w:val="32"/>
          <w:highlight w:val="none"/>
        </w:rPr>
        <w:t>均按照规定时限和流程予以答复，做到答复及时准确规范</w:t>
      </w:r>
      <w:r>
        <w:rPr>
          <w:rFonts w:hint="eastAsia" w:ascii="Times New Roman" w:hAnsi="Times New Roman" w:eastAsia="仿宋_GB2312"/>
          <w:kern w:val="2"/>
          <w:sz w:val="32"/>
          <w:szCs w:val="22"/>
          <w:highlight w:val="none"/>
        </w:rPr>
        <w:t>，</w:t>
      </w:r>
      <w:r>
        <w:rPr>
          <w:rFonts w:hint="eastAsia" w:eastAsia="仿宋_GB2312"/>
          <w:kern w:val="2"/>
          <w:sz w:val="32"/>
          <w:szCs w:val="22"/>
          <w:highlight w:val="none"/>
          <w:lang w:val="en-US" w:eastAsia="zh-CN"/>
        </w:rPr>
        <w:t>并</w:t>
      </w:r>
      <w:r>
        <w:rPr>
          <w:rFonts w:hint="eastAsia" w:ascii="Times New Roman" w:hAnsi="Times New Roman" w:eastAsia="仿宋_GB2312"/>
          <w:kern w:val="2"/>
          <w:sz w:val="32"/>
          <w:szCs w:val="22"/>
          <w:highlight w:val="none"/>
        </w:rPr>
        <w:t>未</w:t>
      </w:r>
      <w:r>
        <w:rPr>
          <w:rFonts w:hint="eastAsia" w:ascii="Times New Roman" w:hAnsi="Times New Roman" w:eastAsia="仿宋_GB2312"/>
          <w:kern w:val="2"/>
          <w:sz w:val="32"/>
          <w:szCs w:val="22"/>
        </w:rPr>
        <w:t>收取任何与政府信息公开相关的费用。</w:t>
      </w:r>
    </w:p>
    <w:p>
      <w:pPr>
        <w:spacing w:line="560" w:lineRule="exact"/>
        <w:ind w:firstLine="640" w:firstLineChars="200"/>
        <w:jc w:val="left"/>
        <w:rPr>
          <w:rFonts w:ascii="仿宋_GB2312" w:hAnsi="仿宋" w:eastAsia="仿宋_GB2312"/>
          <w:sz w:val="32"/>
          <w:szCs w:val="32"/>
          <w:highlight w:val="yellow"/>
        </w:rPr>
      </w:pPr>
      <w:r>
        <w:rPr>
          <w:rFonts w:hint="eastAsia" w:ascii="楷体_GB2312" w:hAnsi="ˎ̥" w:eastAsia="楷体_GB2312" w:cs="宋体"/>
          <w:bCs/>
          <w:kern w:val="0"/>
          <w:sz w:val="32"/>
          <w:szCs w:val="20"/>
        </w:rPr>
        <w:t>（三）政府信息管理方面。</w:t>
      </w:r>
      <w:r>
        <w:rPr>
          <w:rFonts w:hint="eastAsia" w:ascii="仿宋_GB2312" w:hAnsi="仿宋" w:eastAsia="仿宋_GB2312"/>
          <w:sz w:val="32"/>
          <w:szCs w:val="32"/>
        </w:rPr>
        <w:t>制定并实施《</w:t>
      </w:r>
      <w:r>
        <w:rPr>
          <w:rFonts w:ascii="仿宋_GB2312" w:hAnsi="仿宋" w:eastAsia="仿宋_GB2312"/>
          <w:sz w:val="32"/>
          <w:szCs w:val="32"/>
        </w:rPr>
        <w:t>2021年</w:t>
      </w:r>
      <w:r>
        <w:rPr>
          <w:rFonts w:hint="eastAsia" w:ascii="仿宋_GB2312" w:hAnsi="仿宋" w:eastAsia="仿宋_GB2312"/>
          <w:sz w:val="32"/>
          <w:szCs w:val="32"/>
          <w:lang w:eastAsia="zh-CN"/>
        </w:rPr>
        <w:t>青岛市市场监督管理局</w:t>
      </w:r>
      <w:r>
        <w:rPr>
          <w:rFonts w:ascii="仿宋_GB2312" w:hAnsi="仿宋" w:eastAsia="仿宋_GB2312"/>
          <w:sz w:val="32"/>
          <w:szCs w:val="32"/>
        </w:rPr>
        <w:t>政务公开工作实施方案》</w:t>
      </w:r>
      <w:r>
        <w:rPr>
          <w:rFonts w:hint="eastAsia" w:ascii="仿宋_GB2312" w:hAnsi="仿宋" w:eastAsia="仿宋_GB2312"/>
          <w:sz w:val="32"/>
          <w:szCs w:val="32"/>
        </w:rPr>
        <w:t>，</w:t>
      </w:r>
      <w:r>
        <w:rPr>
          <w:rFonts w:hint="eastAsia" w:ascii="Times New Roman" w:hAnsi="Times New Roman" w:eastAsia="仿宋_GB2312"/>
          <w:kern w:val="2"/>
          <w:sz w:val="32"/>
          <w:szCs w:val="22"/>
        </w:rPr>
        <w:t>对政府信息公开工作实行统一要求、统一管理，明确市局办公室专人负责，</w:t>
      </w:r>
      <w:r>
        <w:rPr>
          <w:rFonts w:hint="eastAsia" w:eastAsia="仿宋_GB2312"/>
          <w:kern w:val="2"/>
          <w:sz w:val="32"/>
          <w:szCs w:val="22"/>
          <w:lang w:val="en-US" w:eastAsia="zh-CN"/>
        </w:rPr>
        <w:t>市场监管信息化服务部</w:t>
      </w:r>
      <w:r>
        <w:rPr>
          <w:rFonts w:hint="eastAsia" w:ascii="Times New Roman" w:hAnsi="Times New Roman" w:eastAsia="仿宋_GB2312"/>
          <w:kern w:val="2"/>
          <w:sz w:val="32"/>
          <w:szCs w:val="22"/>
        </w:rPr>
        <w:t>保障支撑，各处室、直属单位确定分管负责人和工作人员，落实责任，规范管理。</w:t>
      </w:r>
      <w:r>
        <w:rPr>
          <w:rFonts w:hint="eastAsia" w:ascii="仿宋_GB2312" w:hAnsi="仿宋" w:eastAsia="仿宋_GB2312" w:cs="Times New Roman"/>
          <w:sz w:val="32"/>
          <w:szCs w:val="32"/>
          <w:lang w:eastAsia="zh-CN"/>
        </w:rPr>
        <w:t>严格落实</w:t>
      </w:r>
      <w:r>
        <w:rPr>
          <w:rFonts w:hint="eastAsia" w:ascii="仿宋_GB2312" w:hAnsi="仿宋" w:eastAsia="仿宋_GB2312" w:cs="Times New Roman"/>
          <w:sz w:val="32"/>
          <w:szCs w:val="32"/>
          <w:lang w:val="en-US" w:eastAsia="zh-CN"/>
        </w:rPr>
        <w:t>信息</w:t>
      </w:r>
      <w:r>
        <w:rPr>
          <w:rFonts w:hint="eastAsia" w:ascii="仿宋_GB2312" w:hAnsi="仿宋" w:eastAsia="仿宋_GB2312" w:cs="Times New Roman"/>
          <w:sz w:val="32"/>
          <w:szCs w:val="32"/>
          <w:lang w:eastAsia="zh-CN"/>
        </w:rPr>
        <w:t>审查机制，对拟公开的政府信息</w:t>
      </w:r>
      <w:r>
        <w:rPr>
          <w:rFonts w:hint="eastAsia" w:ascii="仿宋_GB2312" w:hAnsi="仿宋" w:eastAsia="仿宋_GB2312" w:cs="Times New Roman"/>
          <w:sz w:val="32"/>
          <w:szCs w:val="32"/>
          <w:lang w:val="en-US" w:eastAsia="zh-CN"/>
        </w:rPr>
        <w:t>施行处室负责人、信息公开</w:t>
      </w:r>
      <w:r>
        <w:rPr>
          <w:rFonts w:hint="eastAsia" w:ascii="仿宋_GB2312" w:hAnsi="仿宋" w:eastAsia="仿宋_GB2312" w:cs="Times New Roman"/>
          <w:sz w:val="32"/>
          <w:szCs w:val="32"/>
          <w:lang w:eastAsia="zh-CN"/>
        </w:rPr>
        <w:t>负责人、</w:t>
      </w:r>
      <w:r>
        <w:rPr>
          <w:rFonts w:hint="eastAsia" w:ascii="仿宋_GB2312" w:hAnsi="仿宋" w:eastAsia="仿宋_GB2312" w:cs="Times New Roman"/>
          <w:sz w:val="32"/>
          <w:szCs w:val="32"/>
          <w:lang w:val="en-US" w:eastAsia="zh-CN"/>
        </w:rPr>
        <w:t>机要保密</w:t>
      </w:r>
      <w:r>
        <w:rPr>
          <w:rFonts w:hint="eastAsia" w:ascii="仿宋_GB2312" w:hAnsi="仿宋" w:eastAsia="仿宋_GB2312" w:cs="Times New Roman"/>
          <w:sz w:val="32"/>
          <w:szCs w:val="32"/>
          <w:lang w:eastAsia="zh-CN"/>
        </w:rPr>
        <w:t>负责人、分管局领导</w:t>
      </w:r>
      <w:r>
        <w:rPr>
          <w:rFonts w:hint="eastAsia" w:ascii="仿宋_GB2312" w:hAnsi="仿宋" w:eastAsia="仿宋_GB2312" w:cs="Times New Roman"/>
          <w:sz w:val="32"/>
          <w:szCs w:val="32"/>
          <w:lang w:val="en-US" w:eastAsia="zh-CN"/>
        </w:rPr>
        <w:t>四</w:t>
      </w:r>
      <w:r>
        <w:rPr>
          <w:rFonts w:hint="eastAsia" w:ascii="仿宋_GB2312" w:hAnsi="仿宋" w:eastAsia="仿宋_GB2312" w:cs="Times New Roman"/>
          <w:sz w:val="32"/>
          <w:szCs w:val="32"/>
          <w:lang w:eastAsia="zh-CN"/>
        </w:rPr>
        <w:t>重把关</w:t>
      </w:r>
      <w:r>
        <w:rPr>
          <w:rFonts w:hint="eastAsia" w:ascii="仿宋_GB2312" w:hAnsi="仿宋" w:eastAsia="仿宋_GB2312" w:cs="Times New Roman"/>
          <w:sz w:val="32"/>
          <w:szCs w:val="32"/>
          <w:lang w:val="en-US" w:eastAsia="zh-CN"/>
        </w:rPr>
        <w:t>制度</w:t>
      </w:r>
      <w:r>
        <w:rPr>
          <w:rFonts w:hint="eastAsia" w:ascii="仿宋_GB2312" w:hAnsi="仿宋" w:eastAsia="仿宋_GB2312" w:cs="Times New Roman"/>
          <w:sz w:val="32"/>
          <w:szCs w:val="32"/>
          <w:lang w:eastAsia="zh-CN"/>
        </w:rPr>
        <w:t>，坚持“先审查后公开”原则，妥善处理好政务公开与保守国家秘密的关系。</w:t>
      </w:r>
    </w:p>
    <w:p>
      <w:pPr>
        <w:spacing w:line="560" w:lineRule="exact"/>
        <w:ind w:firstLine="640" w:firstLineChars="200"/>
        <w:jc w:val="left"/>
        <w:rPr>
          <w:rFonts w:ascii="仿宋_GB2312" w:eastAsia="仿宋_GB2312" w:cs="黑体"/>
          <w:sz w:val="32"/>
          <w:szCs w:val="32"/>
          <w:highlight w:val="yellow"/>
        </w:rPr>
      </w:pPr>
      <w:r>
        <w:rPr>
          <w:rFonts w:hint="eastAsia" w:ascii="楷体_GB2312" w:hAnsi="Arial" w:eastAsia="楷体_GB2312" w:cs="Arial"/>
          <w:sz w:val="32"/>
          <w:szCs w:val="32"/>
        </w:rPr>
        <w:t>（四）信息公开平台建设情况。</w:t>
      </w:r>
      <w:r>
        <w:rPr>
          <w:rFonts w:hint="eastAsia" w:ascii="仿宋_GB2312" w:hAnsi="仿宋" w:eastAsia="仿宋_GB2312"/>
          <w:sz w:val="32"/>
          <w:szCs w:val="32"/>
          <w:lang w:val="en-US" w:eastAsia="zh-CN"/>
        </w:rPr>
        <w:t>制定并实施</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青岛市市场监督管理局门户网站管理办法（试</w:t>
      </w:r>
      <w:r>
        <w:rPr>
          <w:rFonts w:hint="eastAsia" w:ascii="仿宋_GB2312" w:hAnsi="仿宋" w:eastAsia="仿宋_GB2312"/>
          <w:sz w:val="32"/>
          <w:szCs w:val="32"/>
          <w:highlight w:val="none"/>
          <w:lang w:val="en-US" w:eastAsia="zh-CN"/>
        </w:rPr>
        <w:t>行）</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sz w:val="32"/>
          <w:szCs w:val="32"/>
          <w:highlight w:val="none"/>
          <w:shd w:val="clear" w:color="auto" w:fill="FFFFFF"/>
        </w:rPr>
        <w:t>2021年，</w:t>
      </w:r>
      <w:r>
        <w:rPr>
          <w:rFonts w:hint="eastAsia" w:ascii="仿宋_GB2312" w:hAnsi="仿宋_GB2312" w:eastAsia="仿宋_GB2312" w:cs="仿宋_GB2312"/>
          <w:kern w:val="0"/>
          <w:sz w:val="32"/>
          <w:szCs w:val="32"/>
          <w:highlight w:val="none"/>
        </w:rPr>
        <w:t>市</w:t>
      </w:r>
      <w:r>
        <w:rPr>
          <w:rFonts w:hint="eastAsia" w:ascii="仿宋_GB2312" w:hAnsi="仿宋_GB2312" w:eastAsia="仿宋_GB2312" w:cs="仿宋_GB2312"/>
          <w:kern w:val="0"/>
          <w:sz w:val="32"/>
          <w:szCs w:val="32"/>
          <w:highlight w:val="none"/>
          <w:lang w:eastAsia="zh-CN"/>
        </w:rPr>
        <w:t>市场监督管理局</w:t>
      </w:r>
      <w:r>
        <w:rPr>
          <w:rFonts w:hint="eastAsia" w:ascii="仿宋_GB2312" w:hAnsi="仿宋_GB2312" w:eastAsia="仿宋_GB2312" w:cs="仿宋_GB2312"/>
          <w:sz w:val="32"/>
          <w:szCs w:val="32"/>
          <w:highlight w:val="none"/>
        </w:rPr>
        <w:t>按照政府网站平台管理要求，多次对本部门网站进行自查，针对发现问题及时整改。同时结合工作实际，</w:t>
      </w:r>
      <w:r>
        <w:rPr>
          <w:rFonts w:hint="eastAsia" w:ascii="Times New Roman" w:hAnsi="Times New Roman" w:eastAsia="仿宋_GB2312"/>
          <w:kern w:val="2"/>
          <w:sz w:val="32"/>
          <w:szCs w:val="22"/>
          <w:highlight w:val="none"/>
        </w:rPr>
        <w:t>积极借助传统主流媒体的社会影响力，在《青岛日报》、青岛电视台开辟《市场监管在身边》专栏，通过</w:t>
      </w:r>
      <w:r>
        <w:rPr>
          <w:rFonts w:hint="eastAsia" w:eastAsia="仿宋_GB2312"/>
          <w:kern w:val="2"/>
          <w:sz w:val="32"/>
          <w:szCs w:val="22"/>
          <w:highlight w:val="none"/>
          <w:lang w:val="en-US" w:eastAsia="zh-CN"/>
        </w:rPr>
        <w:t>青岛电视台</w:t>
      </w:r>
      <w:r>
        <w:rPr>
          <w:rFonts w:hint="eastAsia" w:ascii="Times New Roman" w:hAnsi="Times New Roman" w:eastAsia="仿宋_GB2312"/>
          <w:kern w:val="2"/>
          <w:sz w:val="32"/>
          <w:szCs w:val="22"/>
          <w:highlight w:val="none"/>
        </w:rPr>
        <w:t>《走进后厨 眼见为“食”》专栏公开食品安全问题。制作</w:t>
      </w:r>
      <w:r>
        <w:rPr>
          <w:rFonts w:hint="eastAsia" w:eastAsia="仿宋_GB2312"/>
          <w:kern w:val="2"/>
          <w:sz w:val="32"/>
          <w:szCs w:val="22"/>
          <w:highlight w:val="none"/>
          <w:lang w:eastAsia="zh-CN"/>
        </w:rPr>
        <w:t>“</w:t>
      </w:r>
      <w:r>
        <w:rPr>
          <w:rFonts w:hint="eastAsia" w:eastAsia="仿宋_GB2312"/>
          <w:kern w:val="2"/>
          <w:sz w:val="32"/>
          <w:szCs w:val="22"/>
          <w:highlight w:val="none"/>
          <w:lang w:val="en-US" w:eastAsia="zh-CN"/>
        </w:rPr>
        <w:t>守信一路畅通 失信寸步难行</w:t>
      </w:r>
      <w:r>
        <w:rPr>
          <w:rFonts w:hint="eastAsia" w:eastAsia="仿宋_GB2312"/>
          <w:kern w:val="2"/>
          <w:sz w:val="32"/>
          <w:szCs w:val="22"/>
          <w:highlight w:val="none"/>
          <w:lang w:eastAsia="zh-CN"/>
        </w:rPr>
        <w:t>”</w:t>
      </w:r>
      <w:r>
        <w:rPr>
          <w:rFonts w:hint="eastAsia" w:ascii="Times New Roman" w:hAnsi="Times New Roman" w:eastAsia="仿宋_GB2312"/>
          <w:kern w:val="2"/>
          <w:sz w:val="32"/>
          <w:szCs w:val="22"/>
          <w:highlight w:val="none"/>
        </w:rPr>
        <w:t>等宣传H5动画</w:t>
      </w:r>
      <w:r>
        <w:rPr>
          <w:rFonts w:hint="eastAsia" w:eastAsia="仿宋_GB2312"/>
          <w:kern w:val="2"/>
          <w:sz w:val="32"/>
          <w:szCs w:val="22"/>
          <w:highlight w:val="none"/>
          <w:lang w:val="en-US" w:eastAsia="zh-CN"/>
        </w:rPr>
        <w:t>5</w:t>
      </w:r>
      <w:bookmarkStart w:id="10" w:name="_GoBack"/>
      <w:bookmarkEnd w:id="10"/>
      <w:r>
        <w:rPr>
          <w:rFonts w:hint="eastAsia" w:ascii="Times New Roman" w:hAnsi="Times New Roman" w:eastAsia="仿宋_GB2312"/>
          <w:kern w:val="2"/>
          <w:sz w:val="32"/>
          <w:szCs w:val="22"/>
          <w:highlight w:val="none"/>
        </w:rPr>
        <w:t>个，</w:t>
      </w:r>
      <w:r>
        <w:rPr>
          <w:rFonts w:hint="eastAsia" w:ascii="Times New Roman" w:hAnsi="Times New Roman" w:eastAsia="仿宋_GB2312" w:cs="Times New Roman"/>
          <w:kern w:val="2"/>
          <w:sz w:val="32"/>
          <w:szCs w:val="22"/>
          <w:highlight w:val="none"/>
          <w:lang w:val="en-US" w:eastAsia="zh-CN"/>
        </w:rPr>
        <w:t>制作发布“青岛市场监管”抖音短视频52个。</w:t>
      </w:r>
      <w:r>
        <w:rPr>
          <w:rFonts w:hint="eastAsia" w:ascii="Times New Roman" w:hAnsi="Times New Roman" w:eastAsia="仿宋_GB2312"/>
          <w:kern w:val="2"/>
          <w:sz w:val="32"/>
          <w:szCs w:val="22"/>
          <w:highlight w:val="none"/>
        </w:rPr>
        <w:t>主动报道全市市场监管部门工作成效</w:t>
      </w:r>
      <w:r>
        <w:rPr>
          <w:rFonts w:hint="eastAsia" w:eastAsia="仿宋_GB2312"/>
          <w:kern w:val="2"/>
          <w:sz w:val="32"/>
          <w:szCs w:val="22"/>
          <w:highlight w:val="none"/>
          <w:lang w:eastAsia="zh-CN"/>
        </w:rPr>
        <w:t>，</w:t>
      </w:r>
      <w:r>
        <w:rPr>
          <w:rFonts w:hint="eastAsia" w:ascii="Times New Roman" w:hAnsi="Times New Roman" w:eastAsia="仿宋_GB2312" w:cs="Times New Roman"/>
          <w:kern w:val="2"/>
          <w:sz w:val="32"/>
          <w:szCs w:val="22"/>
          <w:highlight w:val="none"/>
          <w:lang w:val="en-US" w:eastAsia="zh-CN"/>
        </w:rPr>
        <w:t>在《新华社》《经济日报》《中国市场监管报》等央媒发稿200余篇</w:t>
      </w:r>
      <w:r>
        <w:rPr>
          <w:rFonts w:hint="eastAsia" w:ascii="Times New Roman" w:hAnsi="Times New Roman" w:eastAsia="仿宋_GB2312"/>
          <w:kern w:val="2"/>
          <w:sz w:val="32"/>
          <w:szCs w:val="22"/>
          <w:highlight w:val="none"/>
        </w:rPr>
        <w:t>，</w:t>
      </w:r>
      <w:r>
        <w:rPr>
          <w:rFonts w:hint="eastAsia" w:eastAsia="仿宋_GB2312"/>
          <w:kern w:val="2"/>
          <w:sz w:val="32"/>
          <w:szCs w:val="22"/>
          <w:highlight w:val="none"/>
          <w:lang w:val="en-US" w:eastAsia="zh-CN"/>
        </w:rPr>
        <w:t>头版报道41次，</w:t>
      </w:r>
      <w:r>
        <w:rPr>
          <w:rFonts w:hint="eastAsia" w:ascii="仿宋_GB2312" w:hAnsi="仿宋_GB2312" w:eastAsia="仿宋_GB2312" w:cs="仿宋_GB2312"/>
          <w:sz w:val="32"/>
          <w:szCs w:val="32"/>
          <w:highlight w:val="none"/>
        </w:rPr>
        <w:t>切实促进政务运行和平台建设相互融合、同步推进。</w:t>
      </w:r>
    </w:p>
    <w:p>
      <w:pPr>
        <w:spacing w:line="560" w:lineRule="exact"/>
        <w:ind w:firstLine="627" w:firstLineChars="196"/>
        <w:rPr>
          <w:rFonts w:hint="eastAsia" w:ascii="仿宋_GB2312" w:eastAsia="仿宋_GB2312"/>
          <w:sz w:val="32"/>
          <w:szCs w:val="32"/>
          <w:shd w:val="clear" w:color="auto" w:fill="FFFFFF"/>
        </w:rPr>
      </w:pPr>
      <w:r>
        <w:rPr>
          <w:rFonts w:hint="eastAsia" w:ascii="楷体_GB2312" w:eastAsia="楷体_GB2312" w:cs="黑体"/>
          <w:sz w:val="32"/>
          <w:szCs w:val="32"/>
        </w:rPr>
        <w:t>（五）政府信息监督保障情况。</w:t>
      </w:r>
      <w:r>
        <w:rPr>
          <w:rFonts w:hint="eastAsia" w:ascii="Times New Roman" w:hAnsi="Times New Roman" w:eastAsia="仿宋_GB2312"/>
          <w:kern w:val="2"/>
          <w:sz w:val="32"/>
          <w:szCs w:val="22"/>
          <w:lang w:val="en-US" w:eastAsia="zh-CN"/>
        </w:rPr>
        <w:t>根据</w:t>
      </w:r>
      <w:r>
        <w:rPr>
          <w:rFonts w:hint="eastAsia" w:ascii="Times New Roman" w:hAnsi="Times New Roman" w:eastAsia="仿宋_GB2312"/>
          <w:kern w:val="2"/>
          <w:sz w:val="32"/>
          <w:szCs w:val="22"/>
        </w:rPr>
        <w:t>《中华人民共和国政府信息公开条例》《202</w:t>
      </w:r>
      <w:r>
        <w:rPr>
          <w:rFonts w:hint="eastAsia" w:ascii="Times New Roman" w:hAnsi="Times New Roman" w:eastAsia="仿宋_GB2312"/>
          <w:kern w:val="2"/>
          <w:sz w:val="32"/>
          <w:szCs w:val="22"/>
          <w:lang w:val="en-US" w:eastAsia="zh-CN"/>
        </w:rPr>
        <w:t>1</w:t>
      </w:r>
      <w:r>
        <w:rPr>
          <w:rFonts w:hint="eastAsia" w:ascii="Times New Roman" w:hAnsi="Times New Roman" w:eastAsia="仿宋_GB2312"/>
          <w:kern w:val="2"/>
          <w:sz w:val="32"/>
          <w:szCs w:val="22"/>
        </w:rPr>
        <w:t>年青岛市政务公开工作要点》，建立健全政府信息公开申请受理答复各环节制度规范</w:t>
      </w:r>
      <w:r>
        <w:rPr>
          <w:rFonts w:hint="eastAsia" w:ascii="Times New Roman" w:hAnsi="Times New Roman" w:eastAsia="仿宋_GB2312"/>
          <w:kern w:val="2"/>
          <w:sz w:val="32"/>
          <w:szCs w:val="22"/>
          <w:lang w:eastAsia="zh-CN"/>
        </w:rPr>
        <w:t>。</w:t>
      </w:r>
      <w:r>
        <w:rPr>
          <w:rFonts w:hint="eastAsia" w:ascii="Times New Roman" w:hAnsi="Times New Roman" w:eastAsia="仿宋_GB2312"/>
          <w:kern w:val="2"/>
          <w:sz w:val="32"/>
          <w:szCs w:val="22"/>
          <w:lang w:val="en-US" w:eastAsia="zh-CN"/>
        </w:rPr>
        <w:t>按照</w:t>
      </w:r>
      <w:r>
        <w:rPr>
          <w:rFonts w:hint="eastAsia" w:ascii="仿宋_GB2312" w:eastAsia="仿宋_GB2312"/>
          <w:sz w:val="32"/>
          <w:szCs w:val="32"/>
          <w:lang w:val="en-US" w:eastAsia="zh-CN"/>
        </w:rPr>
        <w:t>上级工作部署，及时</w:t>
      </w:r>
      <w:r>
        <w:rPr>
          <w:rFonts w:hint="eastAsia" w:ascii="仿宋_GB2312" w:eastAsia="仿宋_GB2312"/>
          <w:sz w:val="32"/>
          <w:szCs w:val="32"/>
        </w:rPr>
        <w:t>调整规范主动公开基本信息目录，编制《</w:t>
      </w:r>
      <w:r>
        <w:rPr>
          <w:rFonts w:hint="eastAsia" w:ascii="仿宋_GB2312" w:eastAsia="仿宋_GB2312"/>
          <w:sz w:val="32"/>
          <w:szCs w:val="32"/>
          <w:lang w:eastAsia="zh-CN"/>
        </w:rPr>
        <w:t>青岛市市场监督管理局</w:t>
      </w:r>
      <w:r>
        <w:rPr>
          <w:rFonts w:hint="eastAsia" w:ascii="仿宋_GB2312" w:eastAsia="仿宋_GB2312"/>
          <w:sz w:val="32"/>
          <w:szCs w:val="32"/>
        </w:rPr>
        <w:t>政府信息主动公开基本信息目录》；</w:t>
      </w:r>
      <w:r>
        <w:rPr>
          <w:rFonts w:hint="eastAsia" w:ascii="仿宋_GB2312" w:hAnsi="文星仿宋" w:eastAsia="仿宋_GB2312" w:cs="宋体"/>
          <w:kern w:val="0"/>
          <w:sz w:val="32"/>
          <w:szCs w:val="32"/>
        </w:rPr>
        <w:t>制定《</w:t>
      </w:r>
      <w:r>
        <w:rPr>
          <w:rFonts w:hint="eastAsia" w:ascii="仿宋_GB2312" w:hAnsi="文星仿宋" w:eastAsia="仿宋_GB2312" w:cs="宋体"/>
          <w:kern w:val="0"/>
          <w:sz w:val="32"/>
          <w:szCs w:val="32"/>
          <w:lang w:eastAsia="zh-CN"/>
        </w:rPr>
        <w:t>青岛市市场监督管理局</w:t>
      </w:r>
      <w:r>
        <w:rPr>
          <w:rFonts w:hint="eastAsia" w:ascii="仿宋_GB2312" w:hAnsi="文星仿宋" w:eastAsia="仿宋_GB2312" w:cs="宋体"/>
          <w:kern w:val="0"/>
          <w:sz w:val="32"/>
          <w:szCs w:val="32"/>
        </w:rPr>
        <w:t>2021年度政务公开工作业务培训计划》，</w:t>
      </w:r>
      <w:r>
        <w:rPr>
          <w:rFonts w:hint="eastAsia" w:ascii="Times New Roman" w:hAnsi="Times New Roman" w:eastAsia="仿宋_GB2312"/>
          <w:kern w:val="2"/>
          <w:sz w:val="32"/>
          <w:szCs w:val="22"/>
        </w:rPr>
        <w:t>组织开展市区所三级市场监管部门信息发布工作培训，通过督查督办、电话调度等形式，加强对全市系统任务落实情况的调度检查，实现市场监管信息公开“一盘棋”。</w:t>
      </w:r>
    </w:p>
    <w:p>
      <w:pPr>
        <w:spacing w:line="560" w:lineRule="exact"/>
        <w:ind w:firstLine="640" w:firstLineChars="200"/>
        <w:rPr>
          <w:rFonts w:ascii="仿宋_GB2312" w:hAnsi="黑体" w:eastAsia="仿宋_GB2312"/>
          <w:color w:val="000000"/>
          <w:sz w:val="32"/>
          <w:szCs w:val="32"/>
        </w:rPr>
      </w:pPr>
      <w:r>
        <w:rPr>
          <w:rFonts w:hint="eastAsia" w:ascii="黑体" w:hAnsi="黑体" w:eastAsia="黑体"/>
          <w:color w:val="000000"/>
          <w:sz w:val="32"/>
          <w:szCs w:val="32"/>
        </w:rPr>
        <w:t>二、主动公开政府信息情况</w:t>
      </w:r>
    </w:p>
    <w:tbl>
      <w:tblPr>
        <w:tblStyle w:val="6"/>
        <w:tblW w:w="8824" w:type="dxa"/>
        <w:tblInd w:w="0" w:type="dxa"/>
        <w:tblLayout w:type="fixed"/>
        <w:tblCellMar>
          <w:top w:w="0" w:type="dxa"/>
          <w:left w:w="108" w:type="dxa"/>
          <w:bottom w:w="0" w:type="dxa"/>
          <w:right w:w="108" w:type="dxa"/>
        </w:tblCellMar>
      </w:tblPr>
      <w:tblGrid>
        <w:gridCol w:w="2206"/>
        <w:gridCol w:w="2206"/>
        <w:gridCol w:w="2206"/>
        <w:gridCol w:w="2206"/>
      </w:tblGrid>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0</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1</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000000"/>
                <w:kern w:val="0"/>
                <w:szCs w:val="21"/>
                <w:lang w:val="en-US" w:eastAsia="zh-CN"/>
              </w:rPr>
              <w:t>1</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黑体" w:eastAsia="黑体" w:cs="黑体"/>
                <w:sz w:val="22"/>
                <w:szCs w:val="22"/>
              </w:rPr>
              <w:t>2</w:t>
            </w:r>
            <w:r>
              <w:rPr>
                <w:rFonts w:ascii="黑体" w:eastAsia="黑体" w:cs="黑体"/>
                <w:sz w:val="22"/>
                <w:szCs w:val="22"/>
              </w:rPr>
              <w:t>489</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647</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59</w:t>
            </w:r>
          </w:p>
        </w:tc>
      </w:tr>
      <w:tr>
        <w:tblPrEx>
          <w:tblLayout w:type="fixed"/>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Calibri" w:eastAsia="仿宋_GB2312" w:cs="Calibri"/>
                <w:color w:val="000000"/>
                <w:kern w:val="0"/>
                <w:szCs w:val="21"/>
              </w:rPr>
            </w:pPr>
            <w:r>
              <w:rPr>
                <w:rFonts w:hint="eastAsia" w:ascii="仿宋_GB2312" w:hAnsi="Calibri" w:eastAsia="仿宋_GB2312" w:cs="Calibri"/>
                <w:color w:val="000000"/>
                <w:kern w:val="0"/>
                <w:szCs w:val="21"/>
              </w:rPr>
              <w:t>11172.49</w:t>
            </w:r>
          </w:p>
        </w:tc>
      </w:tr>
    </w:tbl>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三、收到和处理政府信息公开申请情况</w:t>
      </w:r>
    </w:p>
    <w:tbl>
      <w:tblPr>
        <w:tblStyle w:val="6"/>
        <w:tblW w:w="991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24</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1</w:t>
            </w:r>
            <w:r>
              <w:rPr>
                <w:rFonts w:ascii="Times New Roman" w:hAnsi="Times New Roman"/>
                <w:sz w:val="22"/>
                <w:szCs w:val="22"/>
              </w:rPr>
              <w:t>9</w:t>
            </w:r>
          </w:p>
        </w:tc>
        <w:tc>
          <w:tcPr>
            <w:tcW w:w="567"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1</w:t>
            </w:r>
          </w:p>
        </w:tc>
        <w:tc>
          <w:tcPr>
            <w:tcW w:w="567"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1</w:t>
            </w:r>
          </w:p>
        </w:tc>
        <w:tc>
          <w:tcPr>
            <w:tcW w:w="708"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2</w:t>
            </w:r>
            <w:r>
              <w:rPr>
                <w:rFonts w:ascii="Times New Roman" w:hAnsi="Times New Roman"/>
                <w:sz w:val="22"/>
                <w:szCs w:val="22"/>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jc w:val="center"/>
              <w:rPr>
                <w:rFonts w:ascii="仿宋_GB2312" w:eastAsia="仿宋_GB2312"/>
                <w:szCs w:val="21"/>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jc w:val="center"/>
              <w:rPr>
                <w:rFonts w:ascii="仿宋_GB2312" w:eastAsia="仿宋_GB2312"/>
                <w:szCs w:val="21"/>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jc w:val="center"/>
              <w:rPr>
                <w:rFonts w:ascii="仿宋_GB2312" w:eastAsia="仿宋_GB2312"/>
                <w:szCs w:val="21"/>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jc w:val="center"/>
              <w:rPr>
                <w:rFonts w:ascii="仿宋_GB2312" w:eastAsia="仿宋_GB2312"/>
                <w:szCs w:val="21"/>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jc w:val="center"/>
              <w:rPr>
                <w:rFonts w:ascii="仿宋_GB2312" w:eastAsia="仿宋_GB2312"/>
                <w:szCs w:val="21"/>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ascii="仿宋_GB2312" w:eastAsia="仿宋_GB2312"/>
                <w:szCs w:val="21"/>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lang w:eastAsia="zh-CN"/>
              </w:rPr>
            </w:pPr>
            <w:r>
              <w:rPr>
                <w:rFonts w:hint="eastAsia" w:ascii="Times New Roman" w:hAnsi="Times New Roman"/>
                <w:sz w:val="22"/>
                <w:szCs w:val="22"/>
                <w:lang w:val="en-US" w:eastAsia="zh-CN"/>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lang w:eastAsia="zh-CN"/>
              </w:rPr>
            </w:pPr>
            <w:r>
              <w:rPr>
                <w:rFonts w:hint="eastAsia" w:ascii="Times New Roman" w:hAnsi="Times New Roman"/>
                <w:sz w:val="22"/>
                <w:szCs w:val="22"/>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tcMar>
              <w:left w:w="108" w:type="dxa"/>
              <w:right w:w="108" w:type="dxa"/>
            </w:tcMar>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lang w:eastAsia="zh-CN"/>
              </w:rPr>
            </w:pPr>
            <w:r>
              <w:rPr>
                <w:rFonts w:hint="eastAsia" w:ascii="Times New Roman" w:hAnsi="Times New Roman"/>
                <w:sz w:val="22"/>
                <w:szCs w:val="22"/>
                <w:lang w:val="en-US" w:eastAsia="zh-CN"/>
              </w:rPr>
              <w:t>1</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lang w:val="en-US" w:eastAsia="zh-CN"/>
              </w:rPr>
            </w:pPr>
            <w:r>
              <w:rPr>
                <w:rFonts w:hint="eastAsia" w:ascii="Times New Roman" w:hAnsi="Times New Roman"/>
                <w:sz w:val="22"/>
                <w:szCs w:val="22"/>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24</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1</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3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708"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567"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c>
          <w:tcPr>
            <w:tcW w:w="851" w:type="dxa"/>
            <w:shd w:val="clear" w:color="auto" w:fill="auto"/>
            <w:tcMar>
              <w:left w:w="108" w:type="dxa"/>
              <w:right w:w="108" w:type="dxa"/>
            </w:tcMar>
            <w:vAlign w:val="center"/>
          </w:tcPr>
          <w:p>
            <w:pPr>
              <w:pStyle w:val="5"/>
              <w:jc w:val="center"/>
              <w:rPr>
                <w:rFonts w:hint="eastAsia" w:ascii="Times New Roman" w:hAnsi="Times New Roman"/>
                <w:sz w:val="22"/>
                <w:szCs w:val="22"/>
              </w:rPr>
            </w:pPr>
            <w:r>
              <w:rPr>
                <w:rFonts w:hint="eastAsia" w:ascii="Times New Roman" w:hAnsi="Times New Roman"/>
                <w:sz w:val="22"/>
                <w:szCs w:val="22"/>
              </w:rPr>
              <w:t>0</w:t>
            </w:r>
          </w:p>
        </w:tc>
      </w:tr>
    </w:tbl>
    <w:p>
      <w:pPr>
        <w:spacing w:line="560" w:lineRule="exact"/>
        <w:ind w:firstLine="627" w:firstLineChars="196"/>
        <w:rPr>
          <w:rFonts w:ascii="黑体" w:hAnsi="黑体" w:eastAsia="黑体"/>
          <w:color w:val="000000"/>
          <w:sz w:val="32"/>
          <w:szCs w:val="32"/>
        </w:rPr>
      </w:pPr>
      <w:r>
        <w:rPr>
          <w:rFonts w:hint="eastAsia" w:ascii="黑体" w:hAnsi="黑体" w:eastAsia="黑体"/>
          <w:color w:val="000000"/>
          <w:sz w:val="32"/>
          <w:szCs w:val="32"/>
        </w:rPr>
        <w:t>四、政府信息公开行政复议和行政诉讼情况</w:t>
      </w: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1" w:leftChars="-39" w:right="-96"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7" w:leftChars="-56" w:right="-117"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7" w:leftChars="-56" w:right="-117"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3"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3"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8" w:leftChars="-47" w:right="-77"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3"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3"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bl>
    <w:p>
      <w:pPr>
        <w:pStyle w:val="5"/>
        <w:widowControl/>
        <w:shd w:val="clear" w:color="auto" w:fill="FFFFFF"/>
        <w:spacing w:beforeAutospacing="0" w:afterAutospacing="0" w:line="560" w:lineRule="exact"/>
        <w:ind w:firstLine="640" w:firstLineChars="200"/>
        <w:jc w:val="both"/>
        <w:rPr>
          <w:rFonts w:ascii="宋体" w:hAnsi="宋体" w:cs="宋体"/>
          <w:b/>
          <w:color w:val="333333"/>
          <w:shd w:val="clear" w:color="auto" w:fill="FFFFFF"/>
        </w:rPr>
      </w:pPr>
      <w:r>
        <w:rPr>
          <w:rFonts w:hint="eastAsia" w:ascii="黑体" w:hAnsi="黑体" w:eastAsia="黑体"/>
          <w:color w:val="000000"/>
          <w:sz w:val="32"/>
          <w:szCs w:val="32"/>
        </w:rPr>
        <w:t>五、存在的主要问题和改进情况</w:t>
      </w:r>
    </w:p>
    <w:p>
      <w:pPr>
        <w:widowControl w:val="0"/>
        <w:spacing w:line="560" w:lineRule="exact"/>
        <w:ind w:firstLine="640"/>
        <w:rPr>
          <w:rFonts w:hint="eastAsia" w:ascii="Times New Roman" w:hAnsi="Times New Roman" w:eastAsia="仿宋_GB2312"/>
          <w:kern w:val="2"/>
          <w:sz w:val="32"/>
          <w:szCs w:val="22"/>
        </w:rPr>
      </w:pPr>
      <w:r>
        <w:rPr>
          <w:rFonts w:hint="eastAsia" w:ascii="Times New Roman" w:hAnsi="Times New Roman" w:eastAsia="仿宋_GB2312"/>
          <w:kern w:val="2"/>
          <w:sz w:val="32"/>
          <w:szCs w:val="22"/>
        </w:rPr>
        <w:t>202</w:t>
      </w:r>
      <w:r>
        <w:rPr>
          <w:rFonts w:hint="eastAsia" w:eastAsia="仿宋_GB2312"/>
          <w:kern w:val="2"/>
          <w:sz w:val="32"/>
          <w:szCs w:val="22"/>
          <w:lang w:val="en-US" w:eastAsia="zh-CN"/>
        </w:rPr>
        <w:t>1</w:t>
      </w:r>
      <w:r>
        <w:rPr>
          <w:rFonts w:hint="eastAsia" w:ascii="Times New Roman" w:hAnsi="Times New Roman" w:eastAsia="仿宋_GB2312"/>
          <w:kern w:val="2"/>
          <w:sz w:val="32"/>
          <w:szCs w:val="22"/>
        </w:rPr>
        <w:t>年，青岛市市场监督管理局政府信息公开工作虽然取得了明显成效，但与</w:t>
      </w:r>
      <w:r>
        <w:rPr>
          <w:rFonts w:hint="eastAsia" w:eastAsia="仿宋_GB2312"/>
          <w:kern w:val="2"/>
          <w:sz w:val="32"/>
          <w:szCs w:val="22"/>
          <w:lang w:val="en-US" w:eastAsia="zh-CN"/>
        </w:rPr>
        <w:t>上级</w:t>
      </w:r>
      <w:r>
        <w:rPr>
          <w:rFonts w:hint="eastAsia" w:ascii="Times New Roman" w:hAnsi="Times New Roman" w:eastAsia="仿宋_GB2312"/>
          <w:kern w:val="2"/>
          <w:sz w:val="32"/>
          <w:szCs w:val="22"/>
        </w:rPr>
        <w:t>要求和</w:t>
      </w:r>
      <w:r>
        <w:rPr>
          <w:rFonts w:hint="eastAsia" w:eastAsia="仿宋_GB2312"/>
          <w:kern w:val="2"/>
          <w:sz w:val="32"/>
          <w:szCs w:val="22"/>
          <w:lang w:val="en-US" w:eastAsia="zh-CN"/>
        </w:rPr>
        <w:t>群众期盼相比</w:t>
      </w:r>
      <w:r>
        <w:rPr>
          <w:rFonts w:hint="eastAsia" w:ascii="Times New Roman" w:hAnsi="Times New Roman" w:eastAsia="仿宋_GB2312"/>
          <w:kern w:val="2"/>
          <w:sz w:val="32"/>
          <w:szCs w:val="22"/>
        </w:rPr>
        <w:t>仍存在</w:t>
      </w:r>
      <w:r>
        <w:rPr>
          <w:rFonts w:hint="eastAsia" w:eastAsia="仿宋_GB2312"/>
          <w:kern w:val="2"/>
          <w:sz w:val="32"/>
          <w:szCs w:val="22"/>
          <w:lang w:val="en-US" w:eastAsia="zh-CN"/>
        </w:rPr>
        <w:t>一定</w:t>
      </w:r>
      <w:r>
        <w:rPr>
          <w:rFonts w:hint="eastAsia" w:ascii="Times New Roman" w:hAnsi="Times New Roman" w:eastAsia="仿宋_GB2312"/>
          <w:kern w:val="2"/>
          <w:sz w:val="32"/>
          <w:szCs w:val="22"/>
        </w:rPr>
        <w:t>差距，</w:t>
      </w:r>
      <w:r>
        <w:rPr>
          <w:rFonts w:hint="eastAsia" w:eastAsia="仿宋_GB2312"/>
          <w:kern w:val="2"/>
          <w:sz w:val="32"/>
          <w:szCs w:val="22"/>
          <w:lang w:val="en-US" w:eastAsia="zh-CN"/>
        </w:rPr>
        <w:t>主要表现在：一是政府信息公开形式创新有待进一步提升；二是</w:t>
      </w:r>
      <w:r>
        <w:rPr>
          <w:rFonts w:hint="eastAsia" w:ascii="Times New Roman" w:hAnsi="Times New Roman" w:eastAsia="仿宋_GB2312"/>
          <w:kern w:val="2"/>
          <w:sz w:val="32"/>
          <w:szCs w:val="22"/>
        </w:rPr>
        <w:t>公开的深度和广度仍</w:t>
      </w:r>
      <w:r>
        <w:rPr>
          <w:rFonts w:hint="eastAsia" w:eastAsia="仿宋_GB2312"/>
          <w:kern w:val="2"/>
          <w:sz w:val="32"/>
          <w:szCs w:val="22"/>
          <w:lang w:val="en-US" w:eastAsia="zh-CN"/>
        </w:rPr>
        <w:t>需进一步加强</w:t>
      </w:r>
      <w:r>
        <w:rPr>
          <w:rFonts w:hint="eastAsia" w:eastAsia="仿宋_GB2312"/>
          <w:kern w:val="2"/>
          <w:sz w:val="32"/>
          <w:szCs w:val="22"/>
          <w:lang w:eastAsia="zh-CN"/>
        </w:rPr>
        <w:t>；</w:t>
      </w:r>
      <w:r>
        <w:rPr>
          <w:rFonts w:hint="eastAsia" w:eastAsia="仿宋_GB2312"/>
          <w:kern w:val="2"/>
          <w:sz w:val="32"/>
          <w:szCs w:val="22"/>
          <w:lang w:val="en-US" w:eastAsia="zh-CN"/>
        </w:rPr>
        <w:t>三是对群众关注的问题解读还需进一步深入。</w:t>
      </w:r>
      <w:r>
        <w:rPr>
          <w:rFonts w:hint="eastAsia" w:ascii="Times New Roman" w:hAnsi="Times New Roman" w:eastAsia="仿宋_GB2312"/>
          <w:kern w:val="2"/>
          <w:sz w:val="32"/>
          <w:szCs w:val="22"/>
        </w:rPr>
        <w:t>对此，我局将在202</w:t>
      </w:r>
      <w:r>
        <w:rPr>
          <w:rFonts w:hint="eastAsia" w:eastAsia="仿宋_GB2312"/>
          <w:kern w:val="2"/>
          <w:sz w:val="32"/>
          <w:szCs w:val="22"/>
          <w:lang w:val="en-US" w:eastAsia="zh-CN"/>
        </w:rPr>
        <w:t>2</w:t>
      </w:r>
      <w:r>
        <w:rPr>
          <w:rFonts w:hint="eastAsia" w:ascii="Times New Roman" w:hAnsi="Times New Roman" w:eastAsia="仿宋_GB2312"/>
          <w:kern w:val="2"/>
          <w:sz w:val="32"/>
          <w:szCs w:val="22"/>
        </w:rPr>
        <w:t>年重点做好以下几个方面的工作：</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一是</w:t>
      </w:r>
      <w:r>
        <w:rPr>
          <w:rFonts w:hint="eastAsia" w:ascii="仿宋_GB2312" w:eastAsia="仿宋_GB2312"/>
          <w:sz w:val="32"/>
          <w:szCs w:val="32"/>
          <w:lang w:val="en-US" w:eastAsia="zh-CN"/>
        </w:rPr>
        <w:t>深入</w:t>
      </w:r>
      <w:r>
        <w:rPr>
          <w:rFonts w:hint="eastAsia" w:ascii="仿宋_GB2312" w:eastAsia="仿宋_GB2312"/>
          <w:sz w:val="32"/>
          <w:szCs w:val="32"/>
        </w:rPr>
        <w:t>贯彻落实《</w:t>
      </w:r>
      <w:r>
        <w:rPr>
          <w:rFonts w:hint="eastAsia" w:ascii="仿宋_GB2312" w:hAnsi="Arial" w:eastAsia="仿宋_GB2312" w:cs="Arial"/>
          <w:kern w:val="0"/>
          <w:sz w:val="32"/>
          <w:szCs w:val="32"/>
        </w:rPr>
        <w:t>中华人民共和国政府信息公开条例</w:t>
      </w:r>
      <w:r>
        <w:rPr>
          <w:rFonts w:hint="eastAsia" w:ascii="仿宋_GB2312" w:eastAsia="仿宋_GB2312"/>
          <w:sz w:val="32"/>
          <w:szCs w:val="32"/>
        </w:rPr>
        <w:t>》，加大政府信息公开力度</w:t>
      </w:r>
      <w:r>
        <w:rPr>
          <w:rFonts w:hint="eastAsia" w:ascii="仿宋_GB2312" w:eastAsia="仿宋_GB2312"/>
          <w:sz w:val="32"/>
          <w:szCs w:val="32"/>
          <w:lang w:eastAsia="zh-CN"/>
        </w:rPr>
        <w:t>、</w:t>
      </w:r>
      <w:r>
        <w:rPr>
          <w:rFonts w:hint="eastAsia" w:ascii="仿宋_GB2312" w:eastAsia="仿宋_GB2312"/>
          <w:sz w:val="32"/>
          <w:szCs w:val="32"/>
          <w:lang w:val="en-US" w:eastAsia="zh-CN"/>
        </w:rPr>
        <w:t>提升创新能力，依托</w:t>
      </w:r>
      <w:r>
        <w:rPr>
          <w:rFonts w:hint="eastAsia" w:eastAsia="仿宋_GB2312"/>
          <w:kern w:val="2"/>
          <w:sz w:val="32"/>
          <w:szCs w:val="22"/>
          <w:lang w:val="en-US" w:eastAsia="zh-CN"/>
        </w:rPr>
        <w:t>网络</w:t>
      </w:r>
      <w:r>
        <w:rPr>
          <w:rFonts w:hint="eastAsia" w:ascii="Times New Roman" w:hAnsi="Times New Roman" w:eastAsia="仿宋_GB2312"/>
          <w:kern w:val="2"/>
          <w:sz w:val="32"/>
          <w:szCs w:val="22"/>
        </w:rPr>
        <w:t>媒体平台</w:t>
      </w:r>
      <w:r>
        <w:rPr>
          <w:rFonts w:hint="eastAsia" w:eastAsia="仿宋_GB2312"/>
          <w:kern w:val="2"/>
          <w:sz w:val="32"/>
          <w:szCs w:val="22"/>
          <w:lang w:eastAsia="zh-CN"/>
        </w:rPr>
        <w:t>，</w:t>
      </w:r>
      <w:r>
        <w:rPr>
          <w:rFonts w:hint="eastAsia" w:ascii="Times New Roman" w:hAnsi="Times New Roman" w:eastAsia="仿宋_GB2312"/>
          <w:kern w:val="2"/>
          <w:sz w:val="32"/>
          <w:szCs w:val="22"/>
        </w:rPr>
        <w:t>加大政策解读力度，广泛听取公众意见，回应公众诉求，</w:t>
      </w:r>
      <w:r>
        <w:rPr>
          <w:rFonts w:hint="eastAsia" w:ascii="仿宋_GB2312" w:eastAsia="仿宋_GB2312"/>
          <w:sz w:val="32"/>
          <w:szCs w:val="32"/>
        </w:rPr>
        <w:t>确保政府信息公开</w:t>
      </w:r>
      <w:r>
        <w:rPr>
          <w:rFonts w:hint="eastAsia" w:ascii="仿宋_GB2312" w:eastAsia="仿宋_GB2312"/>
          <w:sz w:val="32"/>
          <w:szCs w:val="32"/>
          <w:lang w:val="en-US" w:eastAsia="zh-CN"/>
        </w:rPr>
        <w:t>工作做到精准、高效</w:t>
      </w:r>
      <w:r>
        <w:rPr>
          <w:rFonts w:hint="eastAsia" w:ascii="仿宋_GB2312" w:eastAsia="仿宋_GB2312"/>
          <w:sz w:val="32"/>
          <w:szCs w:val="32"/>
          <w:lang w:eastAsia="zh-CN"/>
        </w:rPr>
        <w:t>。</w:t>
      </w:r>
    </w:p>
    <w:p>
      <w:pPr>
        <w:widowControl w:val="0"/>
        <w:spacing w:line="560" w:lineRule="exact"/>
        <w:ind w:firstLine="640"/>
        <w:rPr>
          <w:rFonts w:hint="eastAsia" w:ascii="Times New Roman" w:hAnsi="Times New Roman" w:eastAsia="仿宋_GB2312"/>
          <w:kern w:val="2"/>
          <w:sz w:val="32"/>
          <w:szCs w:val="22"/>
        </w:rPr>
      </w:pPr>
      <w:r>
        <w:rPr>
          <w:rFonts w:hint="eastAsia" w:ascii="仿宋_GB2312" w:eastAsia="仿宋_GB2312"/>
          <w:sz w:val="32"/>
          <w:szCs w:val="32"/>
        </w:rPr>
        <w:t>二是</w:t>
      </w:r>
      <w:r>
        <w:rPr>
          <w:rFonts w:hint="eastAsia" w:ascii="仿宋_GB2312" w:eastAsia="仿宋_GB2312"/>
          <w:sz w:val="32"/>
          <w:szCs w:val="32"/>
          <w:lang w:val="en-US" w:eastAsia="zh-CN"/>
        </w:rPr>
        <w:t>推进政府信息公开工作向纵深发展</w:t>
      </w:r>
      <w:r>
        <w:rPr>
          <w:rFonts w:hint="eastAsia" w:ascii="仿宋_GB2312" w:eastAsia="仿宋_GB2312"/>
          <w:sz w:val="32"/>
          <w:szCs w:val="32"/>
        </w:rPr>
        <w:t>，</w:t>
      </w:r>
      <w:r>
        <w:rPr>
          <w:rFonts w:hint="eastAsia" w:ascii="Times New Roman" w:hAnsi="Times New Roman" w:eastAsia="仿宋_GB2312"/>
          <w:kern w:val="2"/>
          <w:sz w:val="32"/>
          <w:szCs w:val="22"/>
        </w:rPr>
        <w:t>在</w:t>
      </w:r>
      <w:r>
        <w:rPr>
          <w:rFonts w:hint="eastAsia" w:eastAsia="仿宋_GB2312"/>
          <w:kern w:val="2"/>
          <w:sz w:val="32"/>
          <w:szCs w:val="22"/>
          <w:lang w:val="en-US" w:eastAsia="zh-CN"/>
        </w:rPr>
        <w:t>做好日常</w:t>
      </w:r>
      <w:r>
        <w:rPr>
          <w:rFonts w:hint="eastAsia" w:ascii="Times New Roman" w:hAnsi="Times New Roman" w:eastAsia="仿宋_GB2312"/>
          <w:kern w:val="2"/>
          <w:sz w:val="32"/>
          <w:szCs w:val="22"/>
        </w:rPr>
        <w:t>结果公开的同时，</w:t>
      </w:r>
      <w:r>
        <w:rPr>
          <w:rFonts w:hint="eastAsia" w:eastAsia="仿宋_GB2312"/>
          <w:kern w:val="2"/>
          <w:sz w:val="32"/>
          <w:szCs w:val="22"/>
          <w:lang w:val="en-US" w:eastAsia="zh-CN"/>
        </w:rPr>
        <w:t>加强过程公开水平，</w:t>
      </w:r>
      <w:r>
        <w:rPr>
          <w:rFonts w:hint="eastAsia" w:ascii="Times New Roman" w:hAnsi="Times New Roman" w:eastAsia="仿宋_GB2312"/>
          <w:kern w:val="2"/>
          <w:sz w:val="32"/>
          <w:szCs w:val="22"/>
        </w:rPr>
        <w:t>持续推进决策公开、执行公开、管理公开和服务公开</w:t>
      </w:r>
      <w:r>
        <w:rPr>
          <w:rFonts w:hint="eastAsia" w:ascii="Times New Roman" w:hAnsi="Times New Roman" w:eastAsia="仿宋_GB2312" w:cs="Times New Roman"/>
          <w:kern w:val="2"/>
          <w:sz w:val="32"/>
          <w:szCs w:val="22"/>
          <w:lang w:eastAsia="zh-CN"/>
        </w:rPr>
        <w:t>，</w:t>
      </w:r>
      <w:r>
        <w:rPr>
          <w:rFonts w:hint="eastAsia" w:ascii="Times New Roman" w:hAnsi="Times New Roman" w:eastAsia="仿宋_GB2312" w:cs="Times New Roman"/>
          <w:kern w:val="2"/>
          <w:sz w:val="32"/>
          <w:szCs w:val="22"/>
          <w:lang w:val="en-US" w:eastAsia="zh-CN"/>
        </w:rPr>
        <w:t>以“青岛市全生命周期智慧市场监管一体化平台”</w:t>
      </w:r>
      <w:r>
        <w:rPr>
          <w:rFonts w:hint="eastAsia" w:ascii="Times New Roman" w:hAnsi="Times New Roman" w:eastAsia="仿宋_GB2312" w:cs="Times New Roman"/>
          <w:kern w:val="2"/>
          <w:sz w:val="32"/>
          <w:szCs w:val="22"/>
        </w:rPr>
        <w:t>、山东“双随</w:t>
      </w:r>
      <w:r>
        <w:rPr>
          <w:rFonts w:hint="eastAsia" w:ascii="Times New Roman" w:hAnsi="Times New Roman" w:eastAsia="仿宋_GB2312"/>
          <w:kern w:val="2"/>
          <w:sz w:val="32"/>
          <w:szCs w:val="22"/>
        </w:rPr>
        <w:t>机、一公开”平台、国家企业信用信息公示系统</w:t>
      </w:r>
      <w:r>
        <w:rPr>
          <w:rFonts w:hint="eastAsia" w:eastAsia="仿宋_GB2312"/>
          <w:kern w:val="2"/>
          <w:sz w:val="32"/>
          <w:szCs w:val="22"/>
          <w:lang w:val="en-US" w:eastAsia="zh-CN"/>
        </w:rPr>
        <w:t>为支撑，切实做到精准回应</w:t>
      </w:r>
      <w:r>
        <w:rPr>
          <w:rFonts w:hint="eastAsia" w:ascii="Times New Roman" w:hAnsi="Times New Roman" w:eastAsia="仿宋_GB2312"/>
          <w:kern w:val="2"/>
          <w:sz w:val="32"/>
          <w:szCs w:val="22"/>
        </w:rPr>
        <w:t>群众关切。</w:t>
      </w:r>
    </w:p>
    <w:p>
      <w:pPr>
        <w:pStyle w:val="5"/>
        <w:widowControl/>
        <w:shd w:val="clear" w:color="auto" w:fill="FFFFFF"/>
        <w:spacing w:beforeAutospacing="0" w:afterAutospacing="0" w:line="560" w:lineRule="exact"/>
        <w:ind w:firstLine="640" w:firstLineChars="200"/>
        <w:jc w:val="both"/>
        <w:rPr>
          <w:rFonts w:ascii="仿宋_GB2312" w:hAnsi="黑体" w:eastAsia="仿宋_GB2312"/>
          <w:color w:val="000000"/>
          <w:kern w:val="2"/>
          <w:sz w:val="32"/>
          <w:szCs w:val="32"/>
        </w:rPr>
      </w:pPr>
      <w:r>
        <w:rPr>
          <w:rFonts w:hint="eastAsia" w:ascii="黑体" w:hAnsi="黑体" w:eastAsia="黑体"/>
          <w:color w:val="000000"/>
          <w:sz w:val="32"/>
          <w:szCs w:val="32"/>
        </w:rPr>
        <w:t>六、其他需要报告的事项</w:t>
      </w:r>
    </w:p>
    <w:p>
      <w:pPr>
        <w:widowControl w:val="0"/>
        <w:spacing w:line="560" w:lineRule="exact"/>
        <w:ind w:firstLine="640"/>
        <w:jc w:val="both"/>
        <w:rPr>
          <w:rFonts w:ascii="仿宋_GB2312" w:eastAsia="仿宋_GB2312"/>
          <w:sz w:val="32"/>
          <w:szCs w:val="32"/>
        </w:rPr>
      </w:pPr>
      <w:r>
        <w:rPr>
          <w:rFonts w:hint="eastAsia" w:ascii="Times New Roman" w:hAnsi="Times New Roman" w:eastAsia="仿宋_GB2312"/>
          <w:kern w:val="2"/>
          <w:sz w:val="32"/>
          <w:szCs w:val="22"/>
        </w:rPr>
        <w:t>青岛市市场监督管理局官方网站网址http://amr.qingdao.gov.cn/，如需了解更多政府信息，请登录查询。</w:t>
      </w:r>
    </w:p>
    <w:sectPr>
      <w:footerReference r:id="rId7" w:type="first"/>
      <w:headerReference r:id="rId3" w:type="default"/>
      <w:footerReference r:id="rId5" w:type="default"/>
      <w:headerReference r:id="rId4" w:type="even"/>
      <w:footerReference r:id="rId6" w:type="even"/>
      <w:pgSz w:w="11906" w:h="16838"/>
      <w:pgMar w:top="2098" w:right="1474" w:bottom="1985" w:left="1588" w:header="851" w:footer="1191" w:gutter="0"/>
      <w:pgNumType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文星仿宋">
    <w:altName w:val="仿宋"/>
    <w:panose1 w:val="02010604000101010101"/>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40" w:firstLineChars="5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9C"/>
    <w:rsid w:val="0000038E"/>
    <w:rsid w:val="000013B4"/>
    <w:rsid w:val="00001797"/>
    <w:rsid w:val="00001C41"/>
    <w:rsid w:val="00002395"/>
    <w:rsid w:val="0000523C"/>
    <w:rsid w:val="000063FC"/>
    <w:rsid w:val="00006597"/>
    <w:rsid w:val="00020F6A"/>
    <w:rsid w:val="000213BA"/>
    <w:rsid w:val="00030570"/>
    <w:rsid w:val="00031F18"/>
    <w:rsid w:val="00034D1D"/>
    <w:rsid w:val="00036FD2"/>
    <w:rsid w:val="00050E5F"/>
    <w:rsid w:val="0005123B"/>
    <w:rsid w:val="000514D7"/>
    <w:rsid w:val="000524A2"/>
    <w:rsid w:val="000529CC"/>
    <w:rsid w:val="000546F1"/>
    <w:rsid w:val="000568F6"/>
    <w:rsid w:val="00060228"/>
    <w:rsid w:val="00061EA2"/>
    <w:rsid w:val="00064FE4"/>
    <w:rsid w:val="00084077"/>
    <w:rsid w:val="00093DDF"/>
    <w:rsid w:val="00096342"/>
    <w:rsid w:val="000A0271"/>
    <w:rsid w:val="000A462D"/>
    <w:rsid w:val="000A46E4"/>
    <w:rsid w:val="000A497F"/>
    <w:rsid w:val="000A5E48"/>
    <w:rsid w:val="000B0DF6"/>
    <w:rsid w:val="000B16B5"/>
    <w:rsid w:val="000B1B71"/>
    <w:rsid w:val="000B1EA9"/>
    <w:rsid w:val="000C3B6B"/>
    <w:rsid w:val="000C69C1"/>
    <w:rsid w:val="000C6B74"/>
    <w:rsid w:val="000D7D27"/>
    <w:rsid w:val="000E1B6A"/>
    <w:rsid w:val="000E360D"/>
    <w:rsid w:val="000E524D"/>
    <w:rsid w:val="000E572B"/>
    <w:rsid w:val="000F0FA4"/>
    <w:rsid w:val="000F4117"/>
    <w:rsid w:val="000F526B"/>
    <w:rsid w:val="000F55F5"/>
    <w:rsid w:val="000F63F4"/>
    <w:rsid w:val="000F70FA"/>
    <w:rsid w:val="00100648"/>
    <w:rsid w:val="0010317E"/>
    <w:rsid w:val="001048F3"/>
    <w:rsid w:val="00104D06"/>
    <w:rsid w:val="001060BB"/>
    <w:rsid w:val="00111097"/>
    <w:rsid w:val="00111EA2"/>
    <w:rsid w:val="00116D4A"/>
    <w:rsid w:val="00131A20"/>
    <w:rsid w:val="00131CAE"/>
    <w:rsid w:val="00133133"/>
    <w:rsid w:val="00136B7C"/>
    <w:rsid w:val="00137324"/>
    <w:rsid w:val="00137DD7"/>
    <w:rsid w:val="00141966"/>
    <w:rsid w:val="001423C8"/>
    <w:rsid w:val="001424E8"/>
    <w:rsid w:val="00143A78"/>
    <w:rsid w:val="00147025"/>
    <w:rsid w:val="001536B6"/>
    <w:rsid w:val="001548EB"/>
    <w:rsid w:val="00154C71"/>
    <w:rsid w:val="0016023C"/>
    <w:rsid w:val="00160A92"/>
    <w:rsid w:val="00164845"/>
    <w:rsid w:val="00175A6C"/>
    <w:rsid w:val="00181725"/>
    <w:rsid w:val="00183C61"/>
    <w:rsid w:val="00184390"/>
    <w:rsid w:val="00186C15"/>
    <w:rsid w:val="0019326D"/>
    <w:rsid w:val="00197E78"/>
    <w:rsid w:val="001A23FB"/>
    <w:rsid w:val="001A2776"/>
    <w:rsid w:val="001A4CCE"/>
    <w:rsid w:val="001B597C"/>
    <w:rsid w:val="001B79F2"/>
    <w:rsid w:val="001C209A"/>
    <w:rsid w:val="001D2461"/>
    <w:rsid w:val="001D4A62"/>
    <w:rsid w:val="001F2704"/>
    <w:rsid w:val="001F448B"/>
    <w:rsid w:val="001F6429"/>
    <w:rsid w:val="001F6790"/>
    <w:rsid w:val="00205A52"/>
    <w:rsid w:val="002113F7"/>
    <w:rsid w:val="0021562C"/>
    <w:rsid w:val="002173DF"/>
    <w:rsid w:val="002206F3"/>
    <w:rsid w:val="00220963"/>
    <w:rsid w:val="0022279A"/>
    <w:rsid w:val="00222B3F"/>
    <w:rsid w:val="00222D0C"/>
    <w:rsid w:val="0023773C"/>
    <w:rsid w:val="00240ADB"/>
    <w:rsid w:val="002445C0"/>
    <w:rsid w:val="00244E85"/>
    <w:rsid w:val="00246504"/>
    <w:rsid w:val="00246F40"/>
    <w:rsid w:val="002560A7"/>
    <w:rsid w:val="0026472B"/>
    <w:rsid w:val="002652C7"/>
    <w:rsid w:val="0026787E"/>
    <w:rsid w:val="00276DF8"/>
    <w:rsid w:val="002800FD"/>
    <w:rsid w:val="00294C4D"/>
    <w:rsid w:val="00295B0E"/>
    <w:rsid w:val="00296633"/>
    <w:rsid w:val="002A3258"/>
    <w:rsid w:val="002B273B"/>
    <w:rsid w:val="002B48E7"/>
    <w:rsid w:val="002D02BE"/>
    <w:rsid w:val="002D0533"/>
    <w:rsid w:val="002D0C8F"/>
    <w:rsid w:val="002D64BB"/>
    <w:rsid w:val="002D75DB"/>
    <w:rsid w:val="002F7C5E"/>
    <w:rsid w:val="0030071E"/>
    <w:rsid w:val="00300808"/>
    <w:rsid w:val="00317CA9"/>
    <w:rsid w:val="00327370"/>
    <w:rsid w:val="0032792C"/>
    <w:rsid w:val="003306FC"/>
    <w:rsid w:val="00333162"/>
    <w:rsid w:val="00336F17"/>
    <w:rsid w:val="00337C04"/>
    <w:rsid w:val="00340DA0"/>
    <w:rsid w:val="003438EA"/>
    <w:rsid w:val="00352D14"/>
    <w:rsid w:val="0036376B"/>
    <w:rsid w:val="00363C46"/>
    <w:rsid w:val="003738FA"/>
    <w:rsid w:val="00373F3A"/>
    <w:rsid w:val="00376A76"/>
    <w:rsid w:val="00380B69"/>
    <w:rsid w:val="00380D2B"/>
    <w:rsid w:val="00385D89"/>
    <w:rsid w:val="00386134"/>
    <w:rsid w:val="0038686D"/>
    <w:rsid w:val="003907BA"/>
    <w:rsid w:val="003915E1"/>
    <w:rsid w:val="003942FA"/>
    <w:rsid w:val="0039668E"/>
    <w:rsid w:val="003A3B87"/>
    <w:rsid w:val="003A3ED8"/>
    <w:rsid w:val="003A4035"/>
    <w:rsid w:val="003A6831"/>
    <w:rsid w:val="003A6E17"/>
    <w:rsid w:val="003A6E4D"/>
    <w:rsid w:val="003A7FC6"/>
    <w:rsid w:val="003B0651"/>
    <w:rsid w:val="003B329C"/>
    <w:rsid w:val="003B73C7"/>
    <w:rsid w:val="003C0CEF"/>
    <w:rsid w:val="003D3872"/>
    <w:rsid w:val="003D6EE9"/>
    <w:rsid w:val="003D70F5"/>
    <w:rsid w:val="003E2303"/>
    <w:rsid w:val="003E52EE"/>
    <w:rsid w:val="003E5F51"/>
    <w:rsid w:val="003F0164"/>
    <w:rsid w:val="003F536E"/>
    <w:rsid w:val="003F73D6"/>
    <w:rsid w:val="004006E1"/>
    <w:rsid w:val="00407A39"/>
    <w:rsid w:val="00411A99"/>
    <w:rsid w:val="00413D51"/>
    <w:rsid w:val="00414959"/>
    <w:rsid w:val="00417DCA"/>
    <w:rsid w:val="00421C45"/>
    <w:rsid w:val="00422BCC"/>
    <w:rsid w:val="00424D01"/>
    <w:rsid w:val="00424F3D"/>
    <w:rsid w:val="00425726"/>
    <w:rsid w:val="00426FC7"/>
    <w:rsid w:val="00427232"/>
    <w:rsid w:val="00432AD8"/>
    <w:rsid w:val="0043698B"/>
    <w:rsid w:val="004405A3"/>
    <w:rsid w:val="00440C51"/>
    <w:rsid w:val="00445384"/>
    <w:rsid w:val="00445B49"/>
    <w:rsid w:val="004460F9"/>
    <w:rsid w:val="00455F38"/>
    <w:rsid w:val="0046052D"/>
    <w:rsid w:val="00460AAC"/>
    <w:rsid w:val="00466206"/>
    <w:rsid w:val="00470E16"/>
    <w:rsid w:val="0047365B"/>
    <w:rsid w:val="0047525E"/>
    <w:rsid w:val="00480556"/>
    <w:rsid w:val="0048611A"/>
    <w:rsid w:val="00487142"/>
    <w:rsid w:val="004876C5"/>
    <w:rsid w:val="00487F18"/>
    <w:rsid w:val="00492E4F"/>
    <w:rsid w:val="004960F4"/>
    <w:rsid w:val="00496143"/>
    <w:rsid w:val="0049683C"/>
    <w:rsid w:val="004A0B6E"/>
    <w:rsid w:val="004A1ADD"/>
    <w:rsid w:val="004A3DCA"/>
    <w:rsid w:val="004A5D2C"/>
    <w:rsid w:val="004A6579"/>
    <w:rsid w:val="004C0282"/>
    <w:rsid w:val="004C2E7F"/>
    <w:rsid w:val="004C48EF"/>
    <w:rsid w:val="004C4D5E"/>
    <w:rsid w:val="004C50C4"/>
    <w:rsid w:val="004C6E11"/>
    <w:rsid w:val="004D16FF"/>
    <w:rsid w:val="004D2AE8"/>
    <w:rsid w:val="004E04A1"/>
    <w:rsid w:val="004E1E67"/>
    <w:rsid w:val="004E222D"/>
    <w:rsid w:val="004E3D31"/>
    <w:rsid w:val="004F1603"/>
    <w:rsid w:val="004F2E15"/>
    <w:rsid w:val="004F4A61"/>
    <w:rsid w:val="004F58FD"/>
    <w:rsid w:val="004F6A7C"/>
    <w:rsid w:val="00500195"/>
    <w:rsid w:val="0050348F"/>
    <w:rsid w:val="00503DCC"/>
    <w:rsid w:val="005066C8"/>
    <w:rsid w:val="00510020"/>
    <w:rsid w:val="00512407"/>
    <w:rsid w:val="00512998"/>
    <w:rsid w:val="00516C5E"/>
    <w:rsid w:val="00517178"/>
    <w:rsid w:val="0052315A"/>
    <w:rsid w:val="0052451D"/>
    <w:rsid w:val="00524F0C"/>
    <w:rsid w:val="00535037"/>
    <w:rsid w:val="00540604"/>
    <w:rsid w:val="00540689"/>
    <w:rsid w:val="00543A98"/>
    <w:rsid w:val="0055121C"/>
    <w:rsid w:val="00553818"/>
    <w:rsid w:val="00553929"/>
    <w:rsid w:val="00556F82"/>
    <w:rsid w:val="00560567"/>
    <w:rsid w:val="0056079A"/>
    <w:rsid w:val="005649F2"/>
    <w:rsid w:val="00567B11"/>
    <w:rsid w:val="005702C0"/>
    <w:rsid w:val="0057139A"/>
    <w:rsid w:val="0057410E"/>
    <w:rsid w:val="00574ADE"/>
    <w:rsid w:val="00576448"/>
    <w:rsid w:val="005769A5"/>
    <w:rsid w:val="00580505"/>
    <w:rsid w:val="0058119D"/>
    <w:rsid w:val="00581C23"/>
    <w:rsid w:val="005822B3"/>
    <w:rsid w:val="00582990"/>
    <w:rsid w:val="00587B70"/>
    <w:rsid w:val="0059217D"/>
    <w:rsid w:val="005A426F"/>
    <w:rsid w:val="005A63BD"/>
    <w:rsid w:val="005B0B58"/>
    <w:rsid w:val="005B264B"/>
    <w:rsid w:val="005B3D6C"/>
    <w:rsid w:val="005B4DE3"/>
    <w:rsid w:val="005B6574"/>
    <w:rsid w:val="005C1BF3"/>
    <w:rsid w:val="005C20E3"/>
    <w:rsid w:val="005C30DC"/>
    <w:rsid w:val="005D13A7"/>
    <w:rsid w:val="005E6EFF"/>
    <w:rsid w:val="005F0B21"/>
    <w:rsid w:val="005F325B"/>
    <w:rsid w:val="005F4250"/>
    <w:rsid w:val="005F485E"/>
    <w:rsid w:val="005F5270"/>
    <w:rsid w:val="00601A13"/>
    <w:rsid w:val="00601B04"/>
    <w:rsid w:val="0060339F"/>
    <w:rsid w:val="00604D01"/>
    <w:rsid w:val="006071AD"/>
    <w:rsid w:val="00607B0D"/>
    <w:rsid w:val="00610ECC"/>
    <w:rsid w:val="00612379"/>
    <w:rsid w:val="00613655"/>
    <w:rsid w:val="006158E2"/>
    <w:rsid w:val="00621215"/>
    <w:rsid w:val="00627144"/>
    <w:rsid w:val="00633992"/>
    <w:rsid w:val="00634939"/>
    <w:rsid w:val="00640891"/>
    <w:rsid w:val="00655127"/>
    <w:rsid w:val="00660892"/>
    <w:rsid w:val="00664035"/>
    <w:rsid w:val="00665B4E"/>
    <w:rsid w:val="00670F11"/>
    <w:rsid w:val="006719C2"/>
    <w:rsid w:val="00677FCB"/>
    <w:rsid w:val="0068173F"/>
    <w:rsid w:val="00682607"/>
    <w:rsid w:val="00682E5E"/>
    <w:rsid w:val="00686363"/>
    <w:rsid w:val="00687548"/>
    <w:rsid w:val="00695187"/>
    <w:rsid w:val="006A296E"/>
    <w:rsid w:val="006A2AE5"/>
    <w:rsid w:val="006A458A"/>
    <w:rsid w:val="006A5618"/>
    <w:rsid w:val="006A6E2E"/>
    <w:rsid w:val="006B357A"/>
    <w:rsid w:val="006C07EC"/>
    <w:rsid w:val="006C4FF4"/>
    <w:rsid w:val="006D3CC3"/>
    <w:rsid w:val="006D7D74"/>
    <w:rsid w:val="006E3A89"/>
    <w:rsid w:val="006E4B06"/>
    <w:rsid w:val="006E4DCA"/>
    <w:rsid w:val="006F3FF4"/>
    <w:rsid w:val="00702F8B"/>
    <w:rsid w:val="00703062"/>
    <w:rsid w:val="0070557B"/>
    <w:rsid w:val="00706134"/>
    <w:rsid w:val="00712095"/>
    <w:rsid w:val="0071387D"/>
    <w:rsid w:val="00715755"/>
    <w:rsid w:val="007157FA"/>
    <w:rsid w:val="00716FCE"/>
    <w:rsid w:val="0072495D"/>
    <w:rsid w:val="0072735B"/>
    <w:rsid w:val="00732E09"/>
    <w:rsid w:val="0073434D"/>
    <w:rsid w:val="00740391"/>
    <w:rsid w:val="0075362D"/>
    <w:rsid w:val="00770F25"/>
    <w:rsid w:val="007775B1"/>
    <w:rsid w:val="00777EC8"/>
    <w:rsid w:val="00780EB5"/>
    <w:rsid w:val="00780F32"/>
    <w:rsid w:val="0079098A"/>
    <w:rsid w:val="00790A4B"/>
    <w:rsid w:val="007A0FE5"/>
    <w:rsid w:val="007A203D"/>
    <w:rsid w:val="007A299B"/>
    <w:rsid w:val="007A5295"/>
    <w:rsid w:val="007A6C93"/>
    <w:rsid w:val="007B06B0"/>
    <w:rsid w:val="007B06F4"/>
    <w:rsid w:val="007B278C"/>
    <w:rsid w:val="007B3B0B"/>
    <w:rsid w:val="007B3E79"/>
    <w:rsid w:val="007C1C13"/>
    <w:rsid w:val="007C34F4"/>
    <w:rsid w:val="007C496A"/>
    <w:rsid w:val="007C4A29"/>
    <w:rsid w:val="007C7950"/>
    <w:rsid w:val="007E31F3"/>
    <w:rsid w:val="007F34D9"/>
    <w:rsid w:val="007F569F"/>
    <w:rsid w:val="00800BE3"/>
    <w:rsid w:val="00805468"/>
    <w:rsid w:val="00805481"/>
    <w:rsid w:val="00806FC7"/>
    <w:rsid w:val="00811BF6"/>
    <w:rsid w:val="00812E0A"/>
    <w:rsid w:val="008247BD"/>
    <w:rsid w:val="00826534"/>
    <w:rsid w:val="0083079C"/>
    <w:rsid w:val="00830F53"/>
    <w:rsid w:val="0083152A"/>
    <w:rsid w:val="00832D6D"/>
    <w:rsid w:val="0083679A"/>
    <w:rsid w:val="00836F27"/>
    <w:rsid w:val="008408C4"/>
    <w:rsid w:val="008421EE"/>
    <w:rsid w:val="008428C1"/>
    <w:rsid w:val="00845581"/>
    <w:rsid w:val="00850550"/>
    <w:rsid w:val="00850CE7"/>
    <w:rsid w:val="00850F33"/>
    <w:rsid w:val="00853386"/>
    <w:rsid w:val="00855B5A"/>
    <w:rsid w:val="00855C4C"/>
    <w:rsid w:val="00856B33"/>
    <w:rsid w:val="00862F01"/>
    <w:rsid w:val="008635B0"/>
    <w:rsid w:val="008640F9"/>
    <w:rsid w:val="0086546F"/>
    <w:rsid w:val="00871966"/>
    <w:rsid w:val="00872035"/>
    <w:rsid w:val="00873EC7"/>
    <w:rsid w:val="008821FD"/>
    <w:rsid w:val="00882D6B"/>
    <w:rsid w:val="00883A72"/>
    <w:rsid w:val="00886448"/>
    <w:rsid w:val="00892727"/>
    <w:rsid w:val="00896727"/>
    <w:rsid w:val="008A0DE7"/>
    <w:rsid w:val="008A121E"/>
    <w:rsid w:val="008A2E78"/>
    <w:rsid w:val="008A34D9"/>
    <w:rsid w:val="008A38DE"/>
    <w:rsid w:val="008A4225"/>
    <w:rsid w:val="008A657F"/>
    <w:rsid w:val="008A680D"/>
    <w:rsid w:val="008B3B40"/>
    <w:rsid w:val="008B59D6"/>
    <w:rsid w:val="008C0FAF"/>
    <w:rsid w:val="008D1323"/>
    <w:rsid w:val="008E06F4"/>
    <w:rsid w:val="008E2E9D"/>
    <w:rsid w:val="008E43BB"/>
    <w:rsid w:val="008E7A68"/>
    <w:rsid w:val="008F04D3"/>
    <w:rsid w:val="008F0776"/>
    <w:rsid w:val="009012C5"/>
    <w:rsid w:val="0090233B"/>
    <w:rsid w:val="00903458"/>
    <w:rsid w:val="00905666"/>
    <w:rsid w:val="0091564B"/>
    <w:rsid w:val="00917A45"/>
    <w:rsid w:val="00924BE8"/>
    <w:rsid w:val="00926C19"/>
    <w:rsid w:val="00927244"/>
    <w:rsid w:val="00927DFA"/>
    <w:rsid w:val="00934543"/>
    <w:rsid w:val="009360FA"/>
    <w:rsid w:val="0093637D"/>
    <w:rsid w:val="0093656A"/>
    <w:rsid w:val="00941188"/>
    <w:rsid w:val="00944C85"/>
    <w:rsid w:val="009456C4"/>
    <w:rsid w:val="00950641"/>
    <w:rsid w:val="00953A0A"/>
    <w:rsid w:val="009544E3"/>
    <w:rsid w:val="0095640B"/>
    <w:rsid w:val="00956F2B"/>
    <w:rsid w:val="009645EF"/>
    <w:rsid w:val="00967495"/>
    <w:rsid w:val="009704BF"/>
    <w:rsid w:val="00972D7C"/>
    <w:rsid w:val="00972F46"/>
    <w:rsid w:val="0097344F"/>
    <w:rsid w:val="00975572"/>
    <w:rsid w:val="009758F1"/>
    <w:rsid w:val="00981AD0"/>
    <w:rsid w:val="009909FB"/>
    <w:rsid w:val="009914E5"/>
    <w:rsid w:val="009965F3"/>
    <w:rsid w:val="00996C25"/>
    <w:rsid w:val="009A546B"/>
    <w:rsid w:val="009A6114"/>
    <w:rsid w:val="009B2C80"/>
    <w:rsid w:val="009C091A"/>
    <w:rsid w:val="009C1676"/>
    <w:rsid w:val="009C2026"/>
    <w:rsid w:val="009C5F46"/>
    <w:rsid w:val="009C6A2F"/>
    <w:rsid w:val="009C6DBB"/>
    <w:rsid w:val="009D72FB"/>
    <w:rsid w:val="009E1F47"/>
    <w:rsid w:val="009E5C65"/>
    <w:rsid w:val="009E630C"/>
    <w:rsid w:val="009E6589"/>
    <w:rsid w:val="009E7130"/>
    <w:rsid w:val="009F3248"/>
    <w:rsid w:val="009F5F60"/>
    <w:rsid w:val="009F6C7A"/>
    <w:rsid w:val="009F6CCC"/>
    <w:rsid w:val="00A0432C"/>
    <w:rsid w:val="00A147FC"/>
    <w:rsid w:val="00A155E3"/>
    <w:rsid w:val="00A261D6"/>
    <w:rsid w:val="00A306C6"/>
    <w:rsid w:val="00A306E6"/>
    <w:rsid w:val="00A311E4"/>
    <w:rsid w:val="00A33FED"/>
    <w:rsid w:val="00A36B30"/>
    <w:rsid w:val="00A4037C"/>
    <w:rsid w:val="00A44BE6"/>
    <w:rsid w:val="00A5371B"/>
    <w:rsid w:val="00A53A97"/>
    <w:rsid w:val="00A5751A"/>
    <w:rsid w:val="00A57D78"/>
    <w:rsid w:val="00A60B4D"/>
    <w:rsid w:val="00A610CF"/>
    <w:rsid w:val="00A65C4D"/>
    <w:rsid w:val="00A70FE2"/>
    <w:rsid w:val="00A77C90"/>
    <w:rsid w:val="00A800F8"/>
    <w:rsid w:val="00A81EDE"/>
    <w:rsid w:val="00A82AC8"/>
    <w:rsid w:val="00A93F1B"/>
    <w:rsid w:val="00A96B0C"/>
    <w:rsid w:val="00AA62E4"/>
    <w:rsid w:val="00AB3469"/>
    <w:rsid w:val="00AB35D3"/>
    <w:rsid w:val="00AB5A5F"/>
    <w:rsid w:val="00AC1716"/>
    <w:rsid w:val="00AC326E"/>
    <w:rsid w:val="00AC35CE"/>
    <w:rsid w:val="00AD019D"/>
    <w:rsid w:val="00AD2561"/>
    <w:rsid w:val="00AE12A1"/>
    <w:rsid w:val="00AE29AA"/>
    <w:rsid w:val="00AF05A5"/>
    <w:rsid w:val="00AF0ED2"/>
    <w:rsid w:val="00AF2246"/>
    <w:rsid w:val="00AF2C90"/>
    <w:rsid w:val="00AF3093"/>
    <w:rsid w:val="00AF3475"/>
    <w:rsid w:val="00AF3792"/>
    <w:rsid w:val="00AF5093"/>
    <w:rsid w:val="00B058EA"/>
    <w:rsid w:val="00B07F20"/>
    <w:rsid w:val="00B10206"/>
    <w:rsid w:val="00B114EF"/>
    <w:rsid w:val="00B119C0"/>
    <w:rsid w:val="00B17B26"/>
    <w:rsid w:val="00B2114A"/>
    <w:rsid w:val="00B23006"/>
    <w:rsid w:val="00B24804"/>
    <w:rsid w:val="00B249B6"/>
    <w:rsid w:val="00B302F3"/>
    <w:rsid w:val="00B30AD5"/>
    <w:rsid w:val="00B31629"/>
    <w:rsid w:val="00B3300B"/>
    <w:rsid w:val="00B343FC"/>
    <w:rsid w:val="00B4161A"/>
    <w:rsid w:val="00B417A4"/>
    <w:rsid w:val="00B45DD4"/>
    <w:rsid w:val="00B46365"/>
    <w:rsid w:val="00B46809"/>
    <w:rsid w:val="00B47360"/>
    <w:rsid w:val="00B5325F"/>
    <w:rsid w:val="00B54E4C"/>
    <w:rsid w:val="00B600B2"/>
    <w:rsid w:val="00B648A8"/>
    <w:rsid w:val="00B64A63"/>
    <w:rsid w:val="00B6743B"/>
    <w:rsid w:val="00B74AA0"/>
    <w:rsid w:val="00B77A7F"/>
    <w:rsid w:val="00B83D4F"/>
    <w:rsid w:val="00B83E18"/>
    <w:rsid w:val="00B84471"/>
    <w:rsid w:val="00B901BA"/>
    <w:rsid w:val="00B934B0"/>
    <w:rsid w:val="00B93D19"/>
    <w:rsid w:val="00B96D74"/>
    <w:rsid w:val="00B97009"/>
    <w:rsid w:val="00BA19FB"/>
    <w:rsid w:val="00BA4B34"/>
    <w:rsid w:val="00BA6FDA"/>
    <w:rsid w:val="00BB130D"/>
    <w:rsid w:val="00BB211D"/>
    <w:rsid w:val="00BB6C39"/>
    <w:rsid w:val="00BC30BD"/>
    <w:rsid w:val="00BC391E"/>
    <w:rsid w:val="00BC40D6"/>
    <w:rsid w:val="00BC6464"/>
    <w:rsid w:val="00BD30CD"/>
    <w:rsid w:val="00BD32D8"/>
    <w:rsid w:val="00BD3675"/>
    <w:rsid w:val="00BE4417"/>
    <w:rsid w:val="00BF5224"/>
    <w:rsid w:val="00C01191"/>
    <w:rsid w:val="00C1213F"/>
    <w:rsid w:val="00C150AC"/>
    <w:rsid w:val="00C15823"/>
    <w:rsid w:val="00C16A28"/>
    <w:rsid w:val="00C2493B"/>
    <w:rsid w:val="00C250AB"/>
    <w:rsid w:val="00C250D9"/>
    <w:rsid w:val="00C277F4"/>
    <w:rsid w:val="00C2791F"/>
    <w:rsid w:val="00C31146"/>
    <w:rsid w:val="00C312DE"/>
    <w:rsid w:val="00C32397"/>
    <w:rsid w:val="00C331FA"/>
    <w:rsid w:val="00C36415"/>
    <w:rsid w:val="00C51291"/>
    <w:rsid w:val="00C52A5D"/>
    <w:rsid w:val="00C53A5A"/>
    <w:rsid w:val="00C63871"/>
    <w:rsid w:val="00C73E63"/>
    <w:rsid w:val="00C7656F"/>
    <w:rsid w:val="00C773B7"/>
    <w:rsid w:val="00C81B1E"/>
    <w:rsid w:val="00C836AF"/>
    <w:rsid w:val="00C85059"/>
    <w:rsid w:val="00C91B27"/>
    <w:rsid w:val="00C92A7E"/>
    <w:rsid w:val="00CA0175"/>
    <w:rsid w:val="00CA0248"/>
    <w:rsid w:val="00CA1B6A"/>
    <w:rsid w:val="00CA5C8C"/>
    <w:rsid w:val="00CB006D"/>
    <w:rsid w:val="00CB2831"/>
    <w:rsid w:val="00CB338B"/>
    <w:rsid w:val="00CB4C75"/>
    <w:rsid w:val="00CB5BC4"/>
    <w:rsid w:val="00CB7FC4"/>
    <w:rsid w:val="00CC17F4"/>
    <w:rsid w:val="00CC4ADD"/>
    <w:rsid w:val="00CC4E26"/>
    <w:rsid w:val="00CC50BA"/>
    <w:rsid w:val="00CC59FB"/>
    <w:rsid w:val="00CC5D1F"/>
    <w:rsid w:val="00CC6CCF"/>
    <w:rsid w:val="00CC7185"/>
    <w:rsid w:val="00CD412F"/>
    <w:rsid w:val="00CE4285"/>
    <w:rsid w:val="00CE51CE"/>
    <w:rsid w:val="00CF25B1"/>
    <w:rsid w:val="00CF609F"/>
    <w:rsid w:val="00CF772E"/>
    <w:rsid w:val="00D00679"/>
    <w:rsid w:val="00D00863"/>
    <w:rsid w:val="00D041FF"/>
    <w:rsid w:val="00D11A74"/>
    <w:rsid w:val="00D15A71"/>
    <w:rsid w:val="00D20EA0"/>
    <w:rsid w:val="00D2522E"/>
    <w:rsid w:val="00D320B1"/>
    <w:rsid w:val="00D404BB"/>
    <w:rsid w:val="00D413F4"/>
    <w:rsid w:val="00D4602D"/>
    <w:rsid w:val="00D516EF"/>
    <w:rsid w:val="00D52A55"/>
    <w:rsid w:val="00D52D84"/>
    <w:rsid w:val="00D53728"/>
    <w:rsid w:val="00D53ED3"/>
    <w:rsid w:val="00D60773"/>
    <w:rsid w:val="00D607F0"/>
    <w:rsid w:val="00D642F1"/>
    <w:rsid w:val="00D643CD"/>
    <w:rsid w:val="00D6496A"/>
    <w:rsid w:val="00D65B62"/>
    <w:rsid w:val="00D662EB"/>
    <w:rsid w:val="00D729E0"/>
    <w:rsid w:val="00D74595"/>
    <w:rsid w:val="00D76C0A"/>
    <w:rsid w:val="00D80649"/>
    <w:rsid w:val="00D81092"/>
    <w:rsid w:val="00D81DD1"/>
    <w:rsid w:val="00D96AE1"/>
    <w:rsid w:val="00D97CE4"/>
    <w:rsid w:val="00DA18FF"/>
    <w:rsid w:val="00DA4ED9"/>
    <w:rsid w:val="00DA71FF"/>
    <w:rsid w:val="00DB3977"/>
    <w:rsid w:val="00DB768D"/>
    <w:rsid w:val="00DC0004"/>
    <w:rsid w:val="00DC0347"/>
    <w:rsid w:val="00DC069D"/>
    <w:rsid w:val="00DC2E91"/>
    <w:rsid w:val="00DD11E4"/>
    <w:rsid w:val="00DD52AF"/>
    <w:rsid w:val="00DE4DF0"/>
    <w:rsid w:val="00DE6503"/>
    <w:rsid w:val="00DF0602"/>
    <w:rsid w:val="00DF4167"/>
    <w:rsid w:val="00DF5C92"/>
    <w:rsid w:val="00DF7DF4"/>
    <w:rsid w:val="00E06467"/>
    <w:rsid w:val="00E06C29"/>
    <w:rsid w:val="00E122CF"/>
    <w:rsid w:val="00E1483F"/>
    <w:rsid w:val="00E15B3F"/>
    <w:rsid w:val="00E172E8"/>
    <w:rsid w:val="00E22A2C"/>
    <w:rsid w:val="00E259B7"/>
    <w:rsid w:val="00E25D36"/>
    <w:rsid w:val="00E27524"/>
    <w:rsid w:val="00E3177A"/>
    <w:rsid w:val="00E33521"/>
    <w:rsid w:val="00E33F25"/>
    <w:rsid w:val="00E37998"/>
    <w:rsid w:val="00E40E4B"/>
    <w:rsid w:val="00E42980"/>
    <w:rsid w:val="00E4419E"/>
    <w:rsid w:val="00E44BA0"/>
    <w:rsid w:val="00E51D8C"/>
    <w:rsid w:val="00E61153"/>
    <w:rsid w:val="00E81EBA"/>
    <w:rsid w:val="00E85C90"/>
    <w:rsid w:val="00E91763"/>
    <w:rsid w:val="00E93A77"/>
    <w:rsid w:val="00EA0587"/>
    <w:rsid w:val="00EA25E1"/>
    <w:rsid w:val="00EA336A"/>
    <w:rsid w:val="00EA49A4"/>
    <w:rsid w:val="00EA6BB6"/>
    <w:rsid w:val="00EA767E"/>
    <w:rsid w:val="00EB1929"/>
    <w:rsid w:val="00EB3C91"/>
    <w:rsid w:val="00EB72C6"/>
    <w:rsid w:val="00EC0876"/>
    <w:rsid w:val="00EC5B30"/>
    <w:rsid w:val="00EC6EC6"/>
    <w:rsid w:val="00ED42E3"/>
    <w:rsid w:val="00ED5A98"/>
    <w:rsid w:val="00EE20B6"/>
    <w:rsid w:val="00EE3E32"/>
    <w:rsid w:val="00EE663D"/>
    <w:rsid w:val="00EF059D"/>
    <w:rsid w:val="00EF3714"/>
    <w:rsid w:val="00EF3D89"/>
    <w:rsid w:val="00EF5B8C"/>
    <w:rsid w:val="00EF5CF0"/>
    <w:rsid w:val="00EF7CAA"/>
    <w:rsid w:val="00F00BDE"/>
    <w:rsid w:val="00F038E2"/>
    <w:rsid w:val="00F0587F"/>
    <w:rsid w:val="00F06E3E"/>
    <w:rsid w:val="00F07E92"/>
    <w:rsid w:val="00F13867"/>
    <w:rsid w:val="00F13E31"/>
    <w:rsid w:val="00F20758"/>
    <w:rsid w:val="00F243D0"/>
    <w:rsid w:val="00F25A61"/>
    <w:rsid w:val="00F275D5"/>
    <w:rsid w:val="00F32CBA"/>
    <w:rsid w:val="00F343DB"/>
    <w:rsid w:val="00F34C7C"/>
    <w:rsid w:val="00F34D9B"/>
    <w:rsid w:val="00F35BB1"/>
    <w:rsid w:val="00F42F82"/>
    <w:rsid w:val="00F46352"/>
    <w:rsid w:val="00F467D2"/>
    <w:rsid w:val="00F46C07"/>
    <w:rsid w:val="00F473A6"/>
    <w:rsid w:val="00F56B5E"/>
    <w:rsid w:val="00F638DC"/>
    <w:rsid w:val="00F64420"/>
    <w:rsid w:val="00F6484E"/>
    <w:rsid w:val="00F66E0D"/>
    <w:rsid w:val="00F715A2"/>
    <w:rsid w:val="00F718ED"/>
    <w:rsid w:val="00F740CB"/>
    <w:rsid w:val="00F82083"/>
    <w:rsid w:val="00F87587"/>
    <w:rsid w:val="00F877BE"/>
    <w:rsid w:val="00F87C4E"/>
    <w:rsid w:val="00F94009"/>
    <w:rsid w:val="00F96252"/>
    <w:rsid w:val="00F968C5"/>
    <w:rsid w:val="00FA1762"/>
    <w:rsid w:val="00FA1E88"/>
    <w:rsid w:val="00FA30F5"/>
    <w:rsid w:val="00FA4C8B"/>
    <w:rsid w:val="00FB2627"/>
    <w:rsid w:val="00FB381C"/>
    <w:rsid w:val="00FB4149"/>
    <w:rsid w:val="00FB4B63"/>
    <w:rsid w:val="00FB5DD2"/>
    <w:rsid w:val="00FB7BB4"/>
    <w:rsid w:val="00FC148A"/>
    <w:rsid w:val="00FC1A2B"/>
    <w:rsid w:val="00FC487E"/>
    <w:rsid w:val="00FC4C32"/>
    <w:rsid w:val="00FC65F7"/>
    <w:rsid w:val="00FC6854"/>
    <w:rsid w:val="00FC77D2"/>
    <w:rsid w:val="00FD0CDE"/>
    <w:rsid w:val="00FD33D6"/>
    <w:rsid w:val="00FD3408"/>
    <w:rsid w:val="00FD3A4D"/>
    <w:rsid w:val="00FD41C2"/>
    <w:rsid w:val="00FD4793"/>
    <w:rsid w:val="00FE1A02"/>
    <w:rsid w:val="00FE5DC2"/>
    <w:rsid w:val="00FF0EAF"/>
    <w:rsid w:val="00FF2606"/>
    <w:rsid w:val="00FF4085"/>
    <w:rsid w:val="01987015"/>
    <w:rsid w:val="06EF268F"/>
    <w:rsid w:val="07BF06E9"/>
    <w:rsid w:val="09AD7C4C"/>
    <w:rsid w:val="0ACC0BE4"/>
    <w:rsid w:val="0B9C17B0"/>
    <w:rsid w:val="1469002F"/>
    <w:rsid w:val="14F1050F"/>
    <w:rsid w:val="181113BB"/>
    <w:rsid w:val="1E3C2E1B"/>
    <w:rsid w:val="1E683AC0"/>
    <w:rsid w:val="281A4F16"/>
    <w:rsid w:val="2A600181"/>
    <w:rsid w:val="30563377"/>
    <w:rsid w:val="35D81B46"/>
    <w:rsid w:val="365E4573"/>
    <w:rsid w:val="408E673E"/>
    <w:rsid w:val="40AB1E1C"/>
    <w:rsid w:val="40AC6326"/>
    <w:rsid w:val="4F776025"/>
    <w:rsid w:val="53816C0E"/>
    <w:rsid w:val="546633A6"/>
    <w:rsid w:val="60CC3981"/>
    <w:rsid w:val="64A03ABD"/>
    <w:rsid w:val="7201261F"/>
    <w:rsid w:val="75022303"/>
    <w:rsid w:val="7F872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Autospacing="1" w:afterAutospacing="1"/>
      <w:jc w:val="left"/>
    </w:pPr>
    <w:rPr>
      <w:rFonts w:ascii="Calibri" w:hAnsi="Calibri"/>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470</Words>
  <Characters>2681</Characters>
  <Lines>22</Lines>
  <Paragraphs>6</Paragraphs>
  <TotalTime>10</TotalTime>
  <ScaleCrop>false</ScaleCrop>
  <LinksUpToDate>false</LinksUpToDate>
  <CharactersWithSpaces>3145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2022-01-17T06:13:00Z</dcterms:created>
  <dc:creator>吴昊</dc:creator>
  <cp:lastModifiedBy>ASUS</cp:lastModifiedBy>
  <cp:lastPrinted>2022-01-17T08:39:00Z</cp:lastPrinted>
  <dcterms:modified xsi:type="dcterms:W3CDTF">2022-01-30T03:13:44Z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