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Toc52367308"/>
      <w:bookmarkStart w:id="1" w:name="_Toc52057397"/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质量与标准化专项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资金指标体系</w:t>
      </w:r>
      <w:bookmarkEnd w:id="0"/>
      <w:bookmarkEnd w:id="1"/>
    </w:p>
    <w:tbl>
      <w:tblPr>
        <w:tblStyle w:val="3"/>
        <w:tblW w:w="9436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2250"/>
        <w:gridCol w:w="2618"/>
        <w:gridCol w:w="955"/>
        <w:gridCol w:w="2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</w:rPr>
              <w:t>权重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决策</w:t>
            </w: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（20分）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项目立项（6分）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立项依据充分性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立项程序规范性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绩效目标（6分）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绩效目标合理性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绩效指标明确性</w:t>
            </w:r>
            <w:bookmarkStart w:id="2" w:name="_GoBack"/>
            <w:bookmarkEnd w:id="2"/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资金投入（8分）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预算编制科学性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资金分配合理性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过程</w:t>
            </w: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（20分）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资金管理（8分）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资金到位率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预算执行率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资金使用合规性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组织实施（12分）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 xml:space="preserve"> 管理制度健全性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制度执行有效性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产出</w:t>
            </w: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(25分)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产出数量（10分）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实际完成率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数量变动率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产出质量（5分）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质量达标率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产出时效（5分）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完成及时率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产出成本（5分）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成本节约率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效益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项目效益（25分）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社会效益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可持续影响（2分）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政策可持续性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项目发展机制可持续性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满意度（8分）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服务对象满意度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Tahoma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  <w:t>93.34</w:t>
            </w:r>
          </w:p>
        </w:tc>
      </w:tr>
    </w:tbl>
    <w:p>
      <w:pPr>
        <w:spacing w:line="60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A5C27"/>
    <w:rsid w:val="1F58228F"/>
    <w:rsid w:val="2E2125F2"/>
    <w:rsid w:val="3E9016D3"/>
    <w:rsid w:val="54705284"/>
    <w:rsid w:val="65891E75"/>
    <w:rsid w:val="7AC63E19"/>
    <w:rsid w:val="7DD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2021-06-02T02:36:00Z</dcterms:created>
  <dc:creator>小黑</dc:creator>
  <cp:lastModifiedBy>小黑</cp:lastModifiedBy>
  <dcterms:modified xsi:type="dcterms:W3CDTF">2021-06-03T02:48:27Z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