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p>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p>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p>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p>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p>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p>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val="en-US"/>
          <w14:textFill>
            <w14:solidFill>
              <w14:schemeClr w14:val="tx1"/>
            </w14:solidFill>
          </w14:textFill>
        </w:rPr>
        <w:t>2020年度质量与标准化发展专项资金</w:t>
      </w:r>
    </w:p>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val="en-US"/>
          <w14:textFill>
            <w14:solidFill>
              <w14:schemeClr w14:val="tx1"/>
            </w14:solidFill>
          </w14:textFill>
        </w:rPr>
        <w:t>绩效评价报告</w:t>
      </w:r>
    </w:p>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p>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p>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p>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p>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p>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p>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p>
    <w:p>
      <w:pPr>
        <w:pStyle w:val="132"/>
        <w:spacing w:line="580" w:lineRule="exact"/>
        <w:ind w:firstLine="865" w:firstLineChars="0"/>
        <w:jc w:val="center"/>
        <w:rPr>
          <w:rFonts w:hint="eastAsia" w:ascii="黑体" w:hAnsi="黑体" w:eastAsia="黑体" w:cs="黑体"/>
          <w:bCs/>
          <w:color w:val="000000" w:themeColor="text1"/>
          <w:sz w:val="32"/>
          <w:szCs w:val="32"/>
          <w:lang w:val="en-US"/>
          <w14:textFill>
            <w14:solidFill>
              <w14:schemeClr w14:val="tx1"/>
            </w14:solidFill>
          </w14:textFill>
        </w:rPr>
      </w:pPr>
      <w:r>
        <w:rPr>
          <w:rFonts w:hint="eastAsia" w:ascii="黑体" w:hAnsi="黑体" w:eastAsia="黑体" w:cs="黑体"/>
          <w:bCs/>
          <w:color w:val="000000" w:themeColor="text1"/>
          <w:sz w:val="32"/>
          <w:szCs w:val="32"/>
          <w:lang w:val="en-US"/>
          <w14:textFill>
            <w14:solidFill>
              <w14:schemeClr w14:val="tx1"/>
            </w14:solidFill>
          </w14:textFill>
        </w:rPr>
        <w:t>评价单位</w:t>
      </w:r>
      <w:r>
        <w:rPr>
          <w:rFonts w:hint="eastAsia" w:ascii="黑体" w:hAnsi="黑体" w:eastAsia="黑体" w:cs="黑体"/>
          <w:bCs/>
          <w:color w:val="000000" w:themeColor="text1"/>
          <w:sz w:val="32"/>
          <w:szCs w:val="32"/>
          <w:lang w:val="en-US" w:eastAsia="zh-CN"/>
          <w14:textFill>
            <w14:solidFill>
              <w14:schemeClr w14:val="tx1"/>
            </w14:solidFill>
          </w14:textFill>
        </w:rPr>
        <w:t>（盖章）</w:t>
      </w:r>
      <w:r>
        <w:rPr>
          <w:rFonts w:hint="eastAsia" w:ascii="黑体" w:hAnsi="黑体" w:eastAsia="黑体" w:cs="黑体"/>
          <w:bCs/>
          <w:color w:val="000000" w:themeColor="text1"/>
          <w:sz w:val="32"/>
          <w:szCs w:val="32"/>
          <w:lang w:val="en-US"/>
          <w14:textFill>
            <w14:solidFill>
              <w14:schemeClr w14:val="tx1"/>
            </w14:solidFill>
          </w14:textFill>
        </w:rPr>
        <w:t>：青岛市市场监督管理局</w:t>
      </w:r>
    </w:p>
    <w:p>
      <w:pPr>
        <w:pStyle w:val="132"/>
        <w:spacing w:line="580" w:lineRule="exact"/>
        <w:ind w:firstLine="865" w:firstLineChars="0"/>
        <w:jc w:val="center"/>
        <w:rPr>
          <w:rFonts w:hint="eastAsia" w:ascii="黑体" w:hAnsi="黑体" w:eastAsia="黑体" w:cs="黑体"/>
          <w:bCs/>
          <w:color w:val="000000" w:themeColor="text1"/>
          <w:sz w:val="32"/>
          <w:szCs w:val="32"/>
          <w:lang w:val="en-US"/>
          <w14:textFill>
            <w14:solidFill>
              <w14:schemeClr w14:val="tx1"/>
            </w14:solidFill>
          </w14:textFill>
        </w:rPr>
      </w:pPr>
    </w:p>
    <w:p>
      <w:pPr>
        <w:pStyle w:val="132"/>
        <w:spacing w:line="580" w:lineRule="exact"/>
        <w:ind w:firstLine="865" w:firstLineChars="0"/>
        <w:jc w:val="center"/>
        <w:rPr>
          <w:rFonts w:hint="eastAsia" w:ascii="黑体" w:hAnsi="黑体" w:eastAsia="黑体" w:cs="黑体"/>
          <w:bCs/>
          <w:color w:val="000000" w:themeColor="text1"/>
          <w:sz w:val="32"/>
          <w:szCs w:val="32"/>
          <w:lang w:val="en-US"/>
          <w14:textFill>
            <w14:solidFill>
              <w14:schemeClr w14:val="tx1"/>
            </w14:solidFill>
          </w14:textFill>
        </w:rPr>
      </w:pPr>
    </w:p>
    <w:p>
      <w:pPr>
        <w:pStyle w:val="132"/>
        <w:spacing w:line="580" w:lineRule="exact"/>
        <w:ind w:firstLine="865" w:firstLineChars="0"/>
        <w:jc w:val="center"/>
        <w:rPr>
          <w:rFonts w:hint="eastAsia" w:ascii="黑体" w:hAnsi="黑体" w:eastAsia="黑体" w:cs="黑体"/>
          <w:bCs/>
          <w:color w:val="000000" w:themeColor="text1"/>
          <w:sz w:val="32"/>
          <w:szCs w:val="32"/>
          <w:lang w:val="en-US"/>
          <w14:textFill>
            <w14:solidFill>
              <w14:schemeClr w14:val="tx1"/>
            </w14:solidFill>
          </w14:textFill>
        </w:rPr>
      </w:pPr>
    </w:p>
    <w:p>
      <w:pPr>
        <w:pStyle w:val="132"/>
        <w:spacing w:line="580" w:lineRule="exact"/>
        <w:ind w:firstLine="865" w:firstLineChars="0"/>
        <w:jc w:val="center"/>
        <w:rPr>
          <w:rFonts w:hint="eastAsia" w:ascii="黑体" w:hAnsi="黑体" w:eastAsia="黑体" w:cs="黑体"/>
          <w:bCs/>
          <w:color w:val="000000" w:themeColor="text1"/>
          <w:sz w:val="32"/>
          <w:szCs w:val="32"/>
          <w:lang w:val="en-US"/>
          <w14:textFill>
            <w14:solidFill>
              <w14:schemeClr w14:val="tx1"/>
            </w14:solidFill>
          </w14:textFill>
        </w:rPr>
      </w:pPr>
      <w:r>
        <w:rPr>
          <w:rFonts w:hint="eastAsia" w:ascii="黑体" w:hAnsi="黑体" w:eastAsia="黑体" w:cs="黑体"/>
          <w:bCs/>
          <w:color w:val="000000" w:themeColor="text1"/>
          <w:sz w:val="32"/>
          <w:szCs w:val="32"/>
          <w:lang w:val="en-US"/>
          <w14:textFill>
            <w14:solidFill>
              <w14:schemeClr w14:val="tx1"/>
            </w14:solidFill>
          </w14:textFill>
        </w:rPr>
        <w:t>2021年</w:t>
      </w:r>
      <w:r>
        <w:rPr>
          <w:rFonts w:hint="eastAsia" w:ascii="黑体" w:hAnsi="黑体" w:eastAsia="黑体" w:cs="黑体"/>
          <w:bCs/>
          <w:color w:val="000000" w:themeColor="text1"/>
          <w:sz w:val="32"/>
          <w:szCs w:val="32"/>
          <w:lang w:val="en-US" w:eastAsia="zh-CN"/>
          <w14:textFill>
            <w14:solidFill>
              <w14:schemeClr w14:val="tx1"/>
            </w14:solidFill>
          </w14:textFill>
        </w:rPr>
        <w:t>05</w:t>
      </w:r>
      <w:r>
        <w:rPr>
          <w:rFonts w:hint="eastAsia" w:ascii="黑体" w:hAnsi="黑体" w:eastAsia="黑体" w:cs="黑体"/>
          <w:bCs/>
          <w:color w:val="000000" w:themeColor="text1"/>
          <w:sz w:val="32"/>
          <w:szCs w:val="32"/>
          <w:lang w:val="en-US"/>
          <w14:textFill>
            <w14:solidFill>
              <w14:schemeClr w14:val="tx1"/>
            </w14:solidFill>
          </w14:textFill>
        </w:rPr>
        <w:t>月</w:t>
      </w:r>
    </w:p>
    <w:p>
      <w:pPr>
        <w:pStyle w:val="132"/>
        <w:spacing w:line="580" w:lineRule="exact"/>
        <w:ind w:firstLine="0" w:firstLineChars="0"/>
        <w:jc w:val="both"/>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p>
    <w:p>
      <w:pPr>
        <w:pStyle w:val="132"/>
        <w:spacing w:line="580" w:lineRule="exact"/>
        <w:ind w:firstLine="0" w:firstLineChars="0"/>
        <w:jc w:val="center"/>
        <w:rPr>
          <w:rFonts w:hint="eastAsia" w:ascii="方正小标宋简体" w:hAnsi="方正小标宋简体" w:eastAsia="方正小标宋简体" w:cs="方正小标宋简体"/>
          <w:bCs/>
          <w:color w:val="000000" w:themeColor="text1"/>
          <w:sz w:val="44"/>
          <w:szCs w:val="44"/>
          <w:lang w:val="en-US"/>
          <w14:textFill>
            <w14:solidFill>
              <w14:schemeClr w14:val="tx1"/>
            </w14:solidFill>
          </w14:textFill>
        </w:rPr>
      </w:pPr>
    </w:p>
    <w:p>
      <w:pPr>
        <w:pStyle w:val="132"/>
        <w:spacing w:line="580" w:lineRule="exact"/>
        <w:ind w:firstLine="0" w:firstLineChars="0"/>
        <w:jc w:val="center"/>
        <w:rPr>
          <w:rFonts w:ascii="方正小标宋简体" w:hAnsi="方正小标宋简体" w:eastAsia="方正小标宋简体" w:cs="方正小标宋简体"/>
          <w:bCs/>
          <w:color w:val="000000" w:themeColor="text1"/>
          <w:sz w:val="44"/>
          <w:szCs w:val="44"/>
          <w:lang w:val="en-US"/>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val="en-US"/>
          <w14:textFill>
            <w14:solidFill>
              <w14:schemeClr w14:val="tx1"/>
            </w14:solidFill>
          </w14:textFill>
        </w:rPr>
        <w:t>2020年度质量与标准化发展专项资金</w:t>
      </w:r>
    </w:p>
    <w:p>
      <w:pPr>
        <w:pStyle w:val="132"/>
        <w:spacing w:line="580" w:lineRule="exact"/>
        <w:ind w:firstLine="0" w:firstLineChars="0"/>
        <w:jc w:val="center"/>
        <w:rPr>
          <w:rFonts w:ascii="方正小标宋简体" w:hAnsi="方正小标宋简体" w:eastAsia="方正小标宋简体" w:cs="方正小标宋简体"/>
          <w:b/>
          <w:color w:val="000000" w:themeColor="text1"/>
          <w:sz w:val="44"/>
          <w:szCs w:val="44"/>
          <w:lang w:val="en-US"/>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val="en-US"/>
          <w14:textFill>
            <w14:solidFill>
              <w14:schemeClr w14:val="tx1"/>
            </w14:solidFill>
          </w14:textFill>
        </w:rPr>
        <w:t>绩效评价报告</w:t>
      </w:r>
    </w:p>
    <w:p>
      <w:pPr>
        <w:pStyle w:val="132"/>
        <w:spacing w:line="580" w:lineRule="exact"/>
        <w:ind w:firstLine="0" w:firstLineChars="0"/>
        <w:jc w:val="center"/>
        <w:rPr>
          <w:rFonts w:ascii="方正小标宋简体" w:hAnsi="方正小标宋简体" w:eastAsia="方正小标宋简体" w:cs="方正小标宋简体"/>
          <w:color w:val="000000" w:themeColor="text1"/>
          <w:sz w:val="44"/>
          <w:szCs w:val="44"/>
          <w:lang w:val="en-US"/>
          <w14:textFill>
            <w14:solidFill>
              <w14:schemeClr w14:val="tx1"/>
            </w14:solidFill>
          </w14:textFill>
        </w:rPr>
      </w:pPr>
    </w:p>
    <w:p>
      <w:pPr>
        <w:pStyle w:val="138"/>
        <w:ind w:firstLine="625"/>
        <w:rPr>
          <w:color w:val="000000" w:themeColor="text1"/>
          <w14:textFill>
            <w14:solidFill>
              <w14:schemeClr w14:val="tx1"/>
            </w14:solidFill>
          </w14:textFill>
        </w:rPr>
      </w:pPr>
      <w:bookmarkStart w:id="0" w:name="_Toc52367292"/>
      <w:bookmarkStart w:id="1" w:name="_Toc52057381"/>
      <w:r>
        <w:rPr>
          <w:rFonts w:hint="eastAsia"/>
          <w:color w:val="000000" w:themeColor="text1"/>
          <w14:textFill>
            <w14:solidFill>
              <w14:schemeClr w14:val="tx1"/>
            </w14:solidFill>
          </w14:textFill>
        </w:rPr>
        <w:t>一、</w:t>
      </w:r>
      <w:bookmarkEnd w:id="0"/>
      <w:bookmarkEnd w:id="1"/>
      <w:r>
        <w:rPr>
          <w:rFonts w:hint="eastAsia"/>
          <w:color w:val="000000" w:themeColor="text1"/>
          <w14:textFill>
            <w14:solidFill>
              <w14:schemeClr w14:val="tx1"/>
            </w14:solidFill>
          </w14:textFill>
        </w:rPr>
        <w:t>基本情况</w:t>
      </w:r>
    </w:p>
    <w:p>
      <w:pPr>
        <w:pStyle w:val="139"/>
        <w:ind w:firstLine="625"/>
        <w:outlineLvl w:val="1"/>
        <w:rPr>
          <w:color w:val="000000" w:themeColor="text1"/>
          <w14:textFill>
            <w14:solidFill>
              <w14:schemeClr w14:val="tx1"/>
            </w14:solidFill>
          </w14:textFill>
        </w:rPr>
      </w:pPr>
      <w:bookmarkStart w:id="2" w:name="_Toc52367293"/>
      <w:bookmarkStart w:id="3" w:name="_Toc52057382"/>
      <w:r>
        <w:rPr>
          <w:rFonts w:hint="eastAsia"/>
          <w:color w:val="000000" w:themeColor="text1"/>
          <w14:textFill>
            <w14:solidFill>
              <w14:schemeClr w14:val="tx1"/>
            </w14:solidFill>
          </w14:textFill>
        </w:rPr>
        <w:t>（一）项目</w:t>
      </w:r>
      <w:bookmarkEnd w:id="2"/>
      <w:bookmarkEnd w:id="3"/>
      <w:r>
        <w:rPr>
          <w:rFonts w:hint="eastAsia"/>
          <w:color w:val="000000" w:themeColor="text1"/>
          <w14:textFill>
            <w14:solidFill>
              <w14:schemeClr w14:val="tx1"/>
            </w14:solidFill>
          </w14:textFill>
        </w:rPr>
        <w:t>概况</w:t>
      </w:r>
    </w:p>
    <w:p>
      <w:pPr>
        <w:spacing w:line="580" w:lineRule="exact"/>
        <w:ind w:firstLine="626" w:firstLineChars="200"/>
        <w:rPr>
          <w:rFonts w:ascii="仿宋_GB2312" w:hAnsi="Times New Roman" w:eastAsia="仿宋_GB2312" w:cs="Times New Roman"/>
          <w:bCs/>
          <w:color w:val="000000" w:themeColor="text1"/>
          <w:sz w:val="32"/>
          <w:szCs w:val="32"/>
          <w14:textFill>
            <w14:solidFill>
              <w14:schemeClr w14:val="tx1"/>
            </w14:solidFill>
          </w14:textFill>
        </w:rPr>
      </w:pPr>
      <w:r>
        <w:rPr>
          <w:rFonts w:hint="eastAsia" w:ascii="仿宋_GB2312" w:hAnsi="Times New Roman" w:eastAsia="仿宋_GB2312" w:cs="Times New Roman"/>
          <w:bCs/>
          <w:color w:val="000000" w:themeColor="text1"/>
          <w:sz w:val="32"/>
          <w:szCs w:val="32"/>
          <w14:textFill>
            <w14:solidFill>
              <w14:schemeClr w14:val="tx1"/>
            </w14:solidFill>
          </w14:textFill>
        </w:rPr>
        <w:t>质量与标准化发展专项是2017年整合标准化资助奖励专项资金、质量发展专项资金、产品质量计量监督抽查专项资金而成的专项资金。该专项资金旨在加强建设质量强国，持续深化青岛市质量强市示范城市建设，推动质量创新、质量发展，加快完善标准化体系发挥标准化在经济社会发展中的突出作用。</w:t>
      </w:r>
    </w:p>
    <w:p>
      <w:pPr>
        <w:spacing w:line="580" w:lineRule="exact"/>
        <w:ind w:firstLine="626" w:firstLineChars="200"/>
        <w:rPr>
          <w:rFonts w:ascii="仿宋_GB2312" w:hAnsi="Times New Roman" w:eastAsia="仿宋_GB2312" w:cs="Times New Roman"/>
          <w:bCs/>
          <w:color w:val="000000" w:themeColor="text1"/>
          <w:sz w:val="32"/>
          <w:szCs w:val="32"/>
          <w14:textFill>
            <w14:solidFill>
              <w14:schemeClr w14:val="tx1"/>
            </w14:solidFill>
          </w14:textFill>
        </w:rPr>
      </w:pPr>
      <w:r>
        <w:rPr>
          <w:rFonts w:hint="eastAsia" w:ascii="仿宋_GB2312" w:hAnsi="Times New Roman" w:eastAsia="仿宋_GB2312" w:cs="Times New Roman"/>
          <w:bCs/>
          <w:color w:val="000000" w:themeColor="text1"/>
          <w:sz w:val="32"/>
          <w:szCs w:val="32"/>
          <w14:textFill>
            <w14:solidFill>
              <w14:schemeClr w14:val="tx1"/>
            </w14:solidFill>
          </w14:textFill>
        </w:rPr>
        <w:t>标准化资助奖励资金是依据青岛市政府</w:t>
      </w:r>
      <w:r>
        <w:rPr>
          <w:rFonts w:ascii="仿宋_GB2312" w:hAnsi="Times New Roman" w:eastAsia="仿宋_GB2312" w:cs="Times New Roman"/>
          <w:bCs/>
          <w:color w:val="000000" w:themeColor="text1"/>
          <w:sz w:val="32"/>
          <w:szCs w:val="32"/>
          <w14:textFill>
            <w14:solidFill>
              <w14:schemeClr w14:val="tx1"/>
            </w14:solidFill>
          </w14:textFill>
        </w:rPr>
        <w:t>2007</w:t>
      </w:r>
      <w:r>
        <w:rPr>
          <w:rFonts w:hint="eastAsia" w:ascii="仿宋_GB2312" w:hAnsi="Times New Roman" w:eastAsia="仿宋_GB2312" w:cs="Times New Roman"/>
          <w:bCs/>
          <w:color w:val="000000" w:themeColor="text1"/>
          <w:sz w:val="32"/>
          <w:szCs w:val="32"/>
          <w14:textFill>
            <w14:solidFill>
              <w14:schemeClr w14:val="tx1"/>
            </w14:solidFill>
          </w14:textFill>
        </w:rPr>
        <w:t>年</w:t>
      </w:r>
      <w:r>
        <w:rPr>
          <w:rFonts w:ascii="仿宋_GB2312" w:hAnsi="Times New Roman" w:eastAsia="仿宋_GB2312" w:cs="Times New Roman"/>
          <w:bCs/>
          <w:color w:val="000000" w:themeColor="text1"/>
          <w:sz w:val="32"/>
          <w:szCs w:val="32"/>
          <w14:textFill>
            <w14:solidFill>
              <w14:schemeClr w14:val="tx1"/>
            </w14:solidFill>
          </w14:textFill>
        </w:rPr>
        <w:t>8</w:t>
      </w:r>
      <w:r>
        <w:rPr>
          <w:rFonts w:hint="eastAsia" w:ascii="仿宋_GB2312" w:hAnsi="Times New Roman" w:eastAsia="仿宋_GB2312" w:cs="Times New Roman"/>
          <w:bCs/>
          <w:color w:val="000000" w:themeColor="text1"/>
          <w:sz w:val="32"/>
          <w:szCs w:val="32"/>
          <w14:textFill>
            <w14:solidFill>
              <w14:schemeClr w14:val="tx1"/>
            </w14:solidFill>
          </w14:textFill>
        </w:rPr>
        <w:t>月印发《青岛市标准化资助奖励办法》（青政办发〔</w:t>
      </w:r>
      <w:r>
        <w:rPr>
          <w:rFonts w:ascii="仿宋_GB2312" w:hAnsi="Times New Roman" w:eastAsia="仿宋_GB2312" w:cs="Times New Roman"/>
          <w:bCs/>
          <w:color w:val="000000" w:themeColor="text1"/>
          <w:sz w:val="32"/>
          <w:szCs w:val="32"/>
          <w14:textFill>
            <w14:solidFill>
              <w14:schemeClr w14:val="tx1"/>
            </w14:solidFill>
          </w14:textFill>
        </w:rPr>
        <w:t>2007</w:t>
      </w:r>
      <w:r>
        <w:rPr>
          <w:rFonts w:hint="eastAsia" w:ascii="仿宋_GB2312" w:hAnsi="Times New Roman" w:eastAsia="仿宋_GB2312" w:cs="Times New Roman"/>
          <w:bCs/>
          <w:color w:val="000000" w:themeColor="text1"/>
          <w:sz w:val="32"/>
          <w:szCs w:val="32"/>
          <w14:textFill>
            <w14:solidFill>
              <w14:schemeClr w14:val="tx1"/>
            </w14:solidFill>
          </w14:textFill>
        </w:rPr>
        <w:t>〕</w:t>
      </w:r>
      <w:r>
        <w:rPr>
          <w:rFonts w:ascii="仿宋_GB2312" w:hAnsi="Times New Roman" w:eastAsia="仿宋_GB2312" w:cs="Times New Roman"/>
          <w:bCs/>
          <w:color w:val="000000" w:themeColor="text1"/>
          <w:sz w:val="32"/>
          <w:szCs w:val="32"/>
          <w14:textFill>
            <w14:solidFill>
              <w14:schemeClr w14:val="tx1"/>
            </w14:solidFill>
          </w14:textFill>
        </w:rPr>
        <w:t>31</w:t>
      </w:r>
      <w:r>
        <w:rPr>
          <w:rFonts w:hint="eastAsia" w:ascii="仿宋_GB2312" w:hAnsi="Times New Roman" w:eastAsia="仿宋_GB2312" w:cs="Times New Roman"/>
          <w:bCs/>
          <w:color w:val="000000" w:themeColor="text1"/>
          <w:sz w:val="32"/>
          <w:szCs w:val="32"/>
          <w14:textFill>
            <w14:solidFill>
              <w14:schemeClr w14:val="tx1"/>
            </w14:solidFill>
          </w14:textFill>
        </w:rPr>
        <w:t>号）正式设立。该</w:t>
      </w:r>
      <w:r>
        <w:rPr>
          <w:rFonts w:hint="eastAsia" w:ascii="仿宋_GB2312" w:hAnsi="Times New Roman" w:eastAsia="仿宋_GB2312" w:cs="Times New Roman"/>
          <w:bCs/>
          <w:color w:val="000000" w:themeColor="text1"/>
          <w:sz w:val="32"/>
          <w:szCs w:val="32"/>
          <w:lang w:eastAsia="zh-CN"/>
          <w14:textFill>
            <w14:solidFill>
              <w14:schemeClr w14:val="tx1"/>
            </w14:solidFill>
          </w14:textFill>
        </w:rPr>
        <w:t>资金</w:t>
      </w:r>
      <w:r>
        <w:rPr>
          <w:rFonts w:hint="eastAsia" w:ascii="仿宋_GB2312" w:hAnsi="Times New Roman" w:eastAsia="仿宋_GB2312" w:cs="Times New Roman"/>
          <w:bCs/>
          <w:color w:val="000000" w:themeColor="text1"/>
          <w:sz w:val="32"/>
          <w:szCs w:val="32"/>
          <w14:textFill>
            <w14:solidFill>
              <w14:schemeClr w14:val="tx1"/>
            </w14:solidFill>
          </w14:textFill>
        </w:rPr>
        <w:t>由主要用于向本市主导、参与各类标准制定、修订或承担标准化相关工作的单位发放资助奖励。</w:t>
      </w:r>
    </w:p>
    <w:p>
      <w:pPr>
        <w:spacing w:line="580" w:lineRule="exact"/>
        <w:ind w:firstLine="626" w:firstLineChars="200"/>
        <w:rPr>
          <w:rFonts w:hint="default" w:ascii="仿宋_GB2312" w:hAnsi="Times New Roman" w:eastAsia="仿宋_GB2312" w:cs="Times New Roman"/>
          <w:bCs/>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bCs/>
          <w:color w:val="000000" w:themeColor="text1"/>
          <w:sz w:val="32"/>
          <w:szCs w:val="32"/>
          <w14:textFill>
            <w14:solidFill>
              <w14:schemeClr w14:val="tx1"/>
            </w14:solidFill>
          </w14:textFill>
        </w:rPr>
        <w:t>质量发展专项资金</w:t>
      </w:r>
      <w:r>
        <w:rPr>
          <w:rFonts w:hint="eastAsia" w:ascii="仿宋_GB2312" w:hAnsi="Times New Roman" w:eastAsia="仿宋_GB2312" w:cs="Times New Roman"/>
          <w:bCs/>
          <w:color w:val="000000" w:themeColor="text1"/>
          <w:sz w:val="32"/>
          <w:szCs w:val="32"/>
          <w:lang w:eastAsia="zh-CN"/>
          <w14:textFill>
            <w14:solidFill>
              <w14:schemeClr w14:val="tx1"/>
            </w14:solidFill>
          </w14:textFill>
        </w:rPr>
        <w:t>主要用质量奖励及检验检测认证监督检查。</w:t>
      </w:r>
      <w:bookmarkStart w:id="4" w:name="_Toc52057383"/>
      <w:r>
        <w:rPr>
          <w:rFonts w:hint="eastAsia" w:ascii="仿宋_GB2312" w:hAnsi="Times New Roman" w:eastAsia="仿宋_GB2312" w:cs="Times New Roman"/>
          <w:bCs/>
          <w:color w:val="000000" w:themeColor="text1"/>
          <w:sz w:val="32"/>
          <w:szCs w:val="32"/>
          <w:lang w:eastAsia="zh-CN"/>
          <w14:textFill>
            <w14:solidFill>
              <w14:schemeClr w14:val="tx1"/>
            </w14:solidFill>
          </w14:textFill>
        </w:rPr>
        <w:t>设立依据是</w:t>
      </w:r>
      <w:r>
        <w:rPr>
          <w:rFonts w:ascii="仿宋_GB2312" w:hAnsi="Times New Roman" w:eastAsia="仿宋_GB2312" w:cs="Times New Roman"/>
          <w:bCs/>
          <w:color w:val="000000" w:themeColor="text1"/>
          <w:sz w:val="32"/>
          <w:szCs w:val="32"/>
          <w14:textFill>
            <w14:solidFill>
              <w14:schemeClr w14:val="tx1"/>
            </w14:solidFill>
          </w14:textFill>
        </w:rPr>
        <w:t>2015</w:t>
      </w:r>
      <w:r>
        <w:rPr>
          <w:rFonts w:hint="eastAsia" w:ascii="仿宋_GB2312" w:hAnsi="Times New Roman" w:eastAsia="仿宋_GB2312" w:cs="Times New Roman"/>
          <w:bCs/>
          <w:color w:val="000000" w:themeColor="text1"/>
          <w:sz w:val="32"/>
          <w:szCs w:val="32"/>
          <w14:textFill>
            <w14:solidFill>
              <w14:schemeClr w14:val="tx1"/>
            </w14:solidFill>
          </w14:textFill>
        </w:rPr>
        <w:t>年市政府《关于印发〈青岛市质量发展专项资金管理暂行办法〉的通知》</w:t>
      </w:r>
      <w:r>
        <w:rPr>
          <w:rFonts w:ascii="仿宋_GB2312" w:hAnsi="Times New Roman" w:eastAsia="仿宋_GB2312" w:cs="Times New Roman"/>
          <w:bCs/>
          <w:color w:val="000000" w:themeColor="text1"/>
          <w:sz w:val="32"/>
          <w:szCs w:val="32"/>
          <w14:textFill>
            <w14:solidFill>
              <w14:schemeClr w14:val="tx1"/>
            </w14:solidFill>
          </w14:textFill>
        </w:rPr>
        <w:t>(</w:t>
      </w:r>
      <w:r>
        <w:rPr>
          <w:rFonts w:hint="eastAsia" w:ascii="仿宋_GB2312" w:hAnsi="Times New Roman" w:eastAsia="仿宋_GB2312" w:cs="Times New Roman"/>
          <w:bCs/>
          <w:color w:val="000000" w:themeColor="text1"/>
          <w:sz w:val="32"/>
          <w:szCs w:val="32"/>
          <w14:textFill>
            <w14:solidFill>
              <w14:schemeClr w14:val="tx1"/>
            </w14:solidFill>
          </w14:textFill>
        </w:rPr>
        <w:t>青政办发〔</w:t>
      </w:r>
      <w:r>
        <w:rPr>
          <w:rFonts w:ascii="仿宋_GB2312" w:hAnsi="Times New Roman" w:eastAsia="仿宋_GB2312" w:cs="Times New Roman"/>
          <w:bCs/>
          <w:color w:val="000000" w:themeColor="text1"/>
          <w:sz w:val="32"/>
          <w:szCs w:val="32"/>
          <w14:textFill>
            <w14:solidFill>
              <w14:schemeClr w14:val="tx1"/>
            </w14:solidFill>
          </w14:textFill>
        </w:rPr>
        <w:t>2015</w:t>
      </w:r>
      <w:r>
        <w:rPr>
          <w:rFonts w:hint="eastAsia" w:ascii="仿宋_GB2312" w:hAnsi="Times New Roman" w:eastAsia="仿宋_GB2312" w:cs="Times New Roman"/>
          <w:bCs/>
          <w:color w:val="000000" w:themeColor="text1"/>
          <w:sz w:val="32"/>
          <w:szCs w:val="32"/>
          <w14:textFill>
            <w14:solidFill>
              <w14:schemeClr w14:val="tx1"/>
            </w14:solidFill>
          </w14:textFill>
        </w:rPr>
        <w:t>〕</w:t>
      </w:r>
      <w:r>
        <w:rPr>
          <w:rFonts w:ascii="仿宋_GB2312" w:hAnsi="Times New Roman" w:eastAsia="仿宋_GB2312" w:cs="Times New Roman"/>
          <w:bCs/>
          <w:color w:val="000000" w:themeColor="text1"/>
          <w:sz w:val="32"/>
          <w:szCs w:val="32"/>
          <w14:textFill>
            <w14:solidFill>
              <w14:schemeClr w14:val="tx1"/>
            </w14:solidFill>
          </w14:textFill>
        </w:rPr>
        <w:t>31</w:t>
      </w:r>
      <w:r>
        <w:rPr>
          <w:rFonts w:hint="eastAsia" w:ascii="仿宋_GB2312" w:hAnsi="Times New Roman" w:eastAsia="仿宋_GB2312" w:cs="Times New Roman"/>
          <w:bCs/>
          <w:color w:val="000000" w:themeColor="text1"/>
          <w:sz w:val="32"/>
          <w:szCs w:val="32"/>
          <w14:textFill>
            <w14:solidFill>
              <w14:schemeClr w14:val="tx1"/>
            </w14:solidFill>
          </w14:textFill>
        </w:rPr>
        <w:t>号）</w:t>
      </w:r>
      <w:r>
        <w:rPr>
          <w:rFonts w:hint="eastAsia" w:ascii="仿宋_GB2312" w:hAnsi="Times New Roman" w:eastAsia="仿宋_GB2312" w:cs="Times New Roman"/>
          <w:bCs/>
          <w:color w:val="000000" w:themeColor="text1"/>
          <w:sz w:val="32"/>
          <w:szCs w:val="32"/>
          <w:lang w:eastAsia="zh-CN"/>
          <w14:textFill>
            <w14:solidFill>
              <w14:schemeClr w14:val="tx1"/>
            </w14:solidFill>
          </w14:textFill>
        </w:rPr>
        <w:t>、《中华人民共和国认证认可条例》《检验检测机构资质认定管理办法》等有关法律法规，主要用于对检验检测认证机构和相关活动监管。</w:t>
      </w:r>
    </w:p>
    <w:p>
      <w:pPr>
        <w:spacing w:line="240" w:lineRule="auto"/>
        <w:ind w:firstLine="626" w:firstLineChars="200"/>
        <w:rPr>
          <w:rFonts w:hint="eastAsia" w:ascii="仿宋_GB2312" w:hAnsi="仿宋_GB2312" w:eastAsia="仿宋_GB2312" w:cs="仿宋_GB2312"/>
          <w:bCs w:val="0"/>
          <w:color w:val="000000" w:themeColor="text1"/>
          <w:sz w:val="32"/>
          <w:szCs w:val="32"/>
          <w:u w:val="none"/>
          <w14:textFill>
            <w14:solidFill>
              <w14:schemeClr w14:val="tx1"/>
            </w14:solidFill>
          </w14:textFill>
        </w:rPr>
      </w:pPr>
      <w:r>
        <w:rPr>
          <w:rFonts w:hint="eastAsia" w:ascii="仿宋_GB2312" w:hAnsi="Times New Roman" w:eastAsia="仿宋_GB2312" w:cs="Times New Roman"/>
          <w:bCs/>
          <w:color w:val="000000" w:themeColor="text1"/>
          <w:sz w:val="32"/>
          <w:szCs w:val="32"/>
          <w14:textFill>
            <w14:solidFill>
              <w14:schemeClr w14:val="tx1"/>
            </w14:solidFill>
          </w14:textFill>
        </w:rPr>
        <w:t>产品质量计量监督抽查资金是依据《中华人民共和国计量法》、《中华人民共和国计量法实施细则》、《定量包装商品计量监督管理办法》、《法定计量检定机构监督管理办法》、《产品质量监督抽查管理暂行办法》</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val="0"/>
          <w:color w:val="000000" w:themeColor="text1"/>
          <w:sz w:val="32"/>
          <w:szCs w:val="32"/>
          <w:highlight w:val="none"/>
          <w:u w:val="none"/>
          <w14:textFill>
            <w14:solidFill>
              <w14:schemeClr w14:val="tx1"/>
            </w14:solidFill>
          </w14:textFill>
        </w:rPr>
        <w:t>《特种设备</w:t>
      </w:r>
      <w:r>
        <w:rPr>
          <w:rFonts w:hint="eastAsia" w:ascii="仿宋_GB2312" w:hAnsi="仿宋_GB2312" w:eastAsia="仿宋_GB2312" w:cs="仿宋_GB2312"/>
          <w:bCs w:val="0"/>
          <w:color w:val="000000" w:themeColor="text1"/>
          <w:sz w:val="32"/>
          <w:szCs w:val="32"/>
          <w:highlight w:val="none"/>
          <w:u w:val="none"/>
          <w:lang w:eastAsia="zh-CN"/>
          <w14:textFill>
            <w14:solidFill>
              <w14:schemeClr w14:val="tx1"/>
            </w14:solidFill>
          </w14:textFill>
        </w:rPr>
        <w:t>安全法</w:t>
      </w:r>
      <w:r>
        <w:rPr>
          <w:rFonts w:hint="eastAsia" w:ascii="仿宋_GB2312" w:hAnsi="仿宋_GB2312" w:eastAsia="仿宋_GB2312" w:cs="仿宋_GB2312"/>
          <w:bCs w:val="0"/>
          <w:color w:val="000000" w:themeColor="text1"/>
          <w:sz w:val="32"/>
          <w:szCs w:val="32"/>
          <w:highlight w:val="none"/>
          <w:u w:val="none"/>
          <w14:textFill>
            <w14:solidFill>
              <w14:schemeClr w14:val="tx1"/>
            </w14:solidFill>
          </w14:textFill>
        </w:rPr>
        <w:t>》</w:t>
      </w:r>
      <w:r>
        <w:rPr>
          <w:rFonts w:hint="eastAsia" w:ascii="仿宋_GB2312" w:hAnsi="Times New Roman" w:eastAsia="仿宋_GB2312" w:cs="Times New Roman"/>
          <w:bCs/>
          <w:color w:val="000000" w:themeColor="text1"/>
          <w:sz w:val="32"/>
          <w:szCs w:val="32"/>
          <w14:textFill>
            <w14:solidFill>
              <w14:schemeClr w14:val="tx1"/>
            </w14:solidFill>
          </w14:textFill>
        </w:rPr>
        <w:t>等有关法律法规</w:t>
      </w:r>
      <w:r>
        <w:rPr>
          <w:rFonts w:hint="eastAsia" w:ascii="仿宋_GB2312" w:hAnsi="仿宋_GB2312" w:eastAsia="仿宋_GB2312" w:cs="仿宋_GB2312"/>
          <w:bCs w:val="0"/>
          <w:color w:val="000000" w:themeColor="text1"/>
          <w:sz w:val="32"/>
          <w:szCs w:val="32"/>
          <w:u w:val="none"/>
          <w14:textFill>
            <w14:solidFill>
              <w14:schemeClr w14:val="tx1"/>
            </w14:solidFill>
          </w14:textFill>
        </w:rPr>
        <w:t>设立。</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重点组织对生产许可证管理产品、</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2017年以来取消许可证管理产品、涉及安全生产、环境保护的产品、近三年来存在监督抽查不合格的产品、3C管理产品、与学生、儿童、婴幼儿、老年人等特殊人群相关的产品、涉及群众身心健康、社会比较关注的消费品及食品相关产品进行监督抽查,</w:t>
      </w:r>
      <w:r>
        <w:rPr>
          <w:rFonts w:hint="eastAsia" w:ascii="仿宋_GB2312" w:hAnsi="仿宋_GB2312" w:eastAsia="仿宋_GB2312" w:cs="仿宋_GB2312"/>
          <w:bCs w:val="0"/>
          <w:color w:val="000000" w:themeColor="text1"/>
          <w:sz w:val="32"/>
          <w:szCs w:val="32"/>
          <w:u w:val="none"/>
          <w14:textFill>
            <w14:solidFill>
              <w14:schemeClr w14:val="tx1"/>
            </w14:solidFill>
          </w14:textFill>
        </w:rPr>
        <w:t>对与人体健康安全密切相关的消费品开展产品质量风险监测。</w:t>
      </w:r>
    </w:p>
    <w:bookmarkEnd w:id="4"/>
    <w:p>
      <w:pPr>
        <w:spacing w:line="580" w:lineRule="exact"/>
        <w:ind w:firstLine="626" w:firstLineChars="200"/>
        <w:rPr>
          <w:rFonts w:ascii="仿宋_GB2312" w:hAnsi="Times New Roman" w:eastAsia="仿宋_GB2312" w:cs="Times New Roman"/>
          <w:bCs/>
          <w:color w:val="000000" w:themeColor="text1"/>
          <w:sz w:val="32"/>
          <w:szCs w:val="32"/>
          <w14:textFill>
            <w14:solidFill>
              <w14:schemeClr w14:val="tx1"/>
            </w14:solidFill>
          </w14:textFill>
        </w:rPr>
      </w:pPr>
      <w:r>
        <w:rPr>
          <w:rFonts w:ascii="仿宋_GB2312" w:hAnsi="Times New Roman" w:eastAsia="仿宋_GB2312" w:cs="Times New Roman"/>
          <w:bCs/>
          <w:color w:val="000000" w:themeColor="text1"/>
          <w:sz w:val="32"/>
          <w:szCs w:val="32"/>
          <w14:textFill>
            <w14:solidFill>
              <w14:schemeClr w14:val="tx1"/>
            </w14:solidFill>
          </w14:textFill>
        </w:rPr>
        <w:t>2</w:t>
      </w:r>
      <w:r>
        <w:rPr>
          <w:rFonts w:hint="eastAsia" w:ascii="仿宋_GB2312" w:hAnsi="Times New Roman" w:eastAsia="仿宋_GB2312" w:cs="Times New Roman"/>
          <w:bCs/>
          <w:color w:val="000000" w:themeColor="text1"/>
          <w:sz w:val="32"/>
          <w:szCs w:val="32"/>
          <w14:textFill>
            <w14:solidFill>
              <w14:schemeClr w14:val="tx1"/>
            </w14:solidFill>
          </w14:textFill>
        </w:rPr>
        <w:t>020年质量与标准化发展专项资金预算批复2800万元，其中，标准化资助奖励1800万元、质量发展160万元、产品质量计量监督抽查</w:t>
      </w:r>
      <w:r>
        <w:rPr>
          <w:rFonts w:ascii="仿宋_GB2312" w:hAnsi="Times New Roman" w:eastAsia="仿宋_GB2312" w:cs="Times New Roman"/>
          <w:bCs/>
          <w:color w:val="000000" w:themeColor="text1"/>
          <w:sz w:val="32"/>
          <w:szCs w:val="32"/>
          <w14:textFill>
            <w14:solidFill>
              <w14:schemeClr w14:val="tx1"/>
            </w14:solidFill>
          </w14:textFill>
        </w:rPr>
        <w:t>840</w:t>
      </w:r>
      <w:r>
        <w:rPr>
          <w:rFonts w:hint="eastAsia" w:ascii="仿宋_GB2312" w:hAnsi="Times New Roman" w:eastAsia="仿宋_GB2312" w:cs="Times New Roman"/>
          <w:bCs/>
          <w:color w:val="000000" w:themeColor="text1"/>
          <w:sz w:val="32"/>
          <w:szCs w:val="32"/>
          <w14:textFill>
            <w14:solidFill>
              <w14:schemeClr w14:val="tx1"/>
            </w14:solidFill>
          </w14:textFill>
        </w:rPr>
        <w:t>万元。实际使用资金2800 万元，其中标准化资助奖励1800万元、质量发展160万元、监督抽查</w:t>
      </w:r>
      <w:r>
        <w:rPr>
          <w:rFonts w:ascii="仿宋_GB2312" w:hAnsi="Times New Roman" w:eastAsia="仿宋_GB2312" w:cs="Times New Roman"/>
          <w:bCs/>
          <w:color w:val="000000" w:themeColor="text1"/>
          <w:sz w:val="32"/>
          <w:szCs w:val="32"/>
          <w14:textFill>
            <w14:solidFill>
              <w14:schemeClr w14:val="tx1"/>
            </w14:solidFill>
          </w14:textFill>
        </w:rPr>
        <w:t>840</w:t>
      </w:r>
      <w:r>
        <w:rPr>
          <w:rFonts w:hint="eastAsia" w:ascii="仿宋_GB2312" w:hAnsi="Times New Roman" w:eastAsia="仿宋_GB2312" w:cs="Times New Roman"/>
          <w:bCs/>
          <w:color w:val="000000" w:themeColor="text1"/>
          <w:sz w:val="32"/>
          <w:szCs w:val="32"/>
          <w14:textFill>
            <w14:solidFill>
              <w14:schemeClr w14:val="tx1"/>
            </w14:solidFill>
          </w14:textFill>
        </w:rPr>
        <w:t>万元，预算执行率为100</w:t>
      </w:r>
      <w:r>
        <w:rPr>
          <w:rFonts w:ascii="仿宋_GB2312" w:hAnsi="Times New Roman" w:eastAsia="仿宋_GB2312" w:cs="Times New Roman"/>
          <w:bCs/>
          <w:color w:val="000000" w:themeColor="text1"/>
          <w:sz w:val="32"/>
          <w:szCs w:val="32"/>
          <w14:textFill>
            <w14:solidFill>
              <w14:schemeClr w14:val="tx1"/>
            </w14:solidFill>
          </w14:textFill>
        </w:rPr>
        <w:t>%</w:t>
      </w:r>
      <w:r>
        <w:rPr>
          <w:rFonts w:hint="eastAsia" w:ascii="仿宋_GB2312" w:hAnsi="Times New Roman" w:eastAsia="仿宋_GB2312" w:cs="Times New Roman"/>
          <w:bCs/>
          <w:color w:val="000000" w:themeColor="text1"/>
          <w:sz w:val="32"/>
          <w:szCs w:val="32"/>
          <w14:textFill>
            <w14:solidFill>
              <w14:schemeClr w14:val="tx1"/>
            </w14:solidFill>
          </w14:textFill>
        </w:rPr>
        <w:t>。</w:t>
      </w:r>
    </w:p>
    <w:p>
      <w:pPr>
        <w:spacing w:line="580" w:lineRule="exact"/>
        <w:ind w:firstLine="626"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hint="eastAsia" w:ascii="Times New Roman" w:hAnsi="Times New Roman" w:eastAsia="楷体_GB2312" w:cs="Times New Roman"/>
          <w:bCs/>
          <w:color w:val="000000" w:themeColor="text1"/>
          <w:sz w:val="32"/>
          <w:szCs w:val="32"/>
          <w14:textFill>
            <w14:solidFill>
              <w14:schemeClr w14:val="tx1"/>
            </w14:solidFill>
          </w14:textFill>
        </w:rPr>
        <w:t>（二）项目绩效目标</w:t>
      </w:r>
    </w:p>
    <w:p>
      <w:pPr>
        <w:spacing w:line="580" w:lineRule="exact"/>
        <w:ind w:firstLine="626"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项目中期目标是通过对重大产品质量攻关项目扶持与培育，树立青岛市产品质量品质形象；对青岛市产品质量进行监督检查，提升青岛市产品质量，规范市场行为，同时完成青岛市产品质量标准的建设。</w:t>
      </w:r>
    </w:p>
    <w:p>
      <w:pPr>
        <w:spacing w:line="580" w:lineRule="exact"/>
        <w:ind w:firstLine="626"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年度绩效目标是：修正制约企业发展的质量项目问题，完成高质量创新产品培育项目，全面促进青岛市质量标准发展。实施产品质量计量监督抽查，抽查企业及工业产品，维护公众身体健康和生命安全及生产企业合法权益，挽回企业经济损失，扩大合法企业产品市场占有率，提升全市经济社会发展水平。</w:t>
      </w:r>
    </w:p>
    <w:p>
      <w:pPr>
        <w:spacing w:line="560" w:lineRule="exact"/>
        <w:ind w:firstLine="626" w:firstLineChars="200"/>
        <w:outlineLvl w:val="2"/>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年度目标已全部完成。</w:t>
      </w:r>
    </w:p>
    <w:p>
      <w:pPr>
        <w:spacing w:line="580" w:lineRule="exact"/>
        <w:ind w:firstLine="640"/>
        <w:jc w:val="both"/>
        <w:textAlignment w:val="baseline"/>
        <w:rPr>
          <w:rStyle w:val="227"/>
          <w:rFonts w:ascii="黑体" w:hAnsi="黑体" w:eastAsia="黑体" w:cs="黑体"/>
          <w:bCs/>
          <w:color w:val="000000" w:themeColor="text1"/>
          <w:sz w:val="32"/>
          <w:szCs w:val="32"/>
          <w14:textFill>
            <w14:solidFill>
              <w14:schemeClr w14:val="tx1"/>
            </w14:solidFill>
          </w14:textFill>
        </w:rPr>
      </w:pPr>
      <w:r>
        <w:rPr>
          <w:rStyle w:val="227"/>
          <w:rFonts w:hint="eastAsia" w:ascii="黑体" w:hAnsi="黑体" w:eastAsia="黑体" w:cs="黑体"/>
          <w:bCs/>
          <w:color w:val="000000" w:themeColor="text1"/>
          <w:sz w:val="32"/>
          <w:szCs w:val="32"/>
          <w14:textFill>
            <w14:solidFill>
              <w14:schemeClr w14:val="tx1"/>
            </w14:solidFill>
          </w14:textFill>
        </w:rPr>
        <w:t>二、绩效评价工作开展情况</w:t>
      </w:r>
    </w:p>
    <w:p>
      <w:pPr>
        <w:pStyle w:val="139"/>
        <w:ind w:firstLine="625"/>
        <w:rPr>
          <w:rStyle w:val="227"/>
          <w:color w:val="000000" w:themeColor="text1"/>
          <w14:textFill>
            <w14:solidFill>
              <w14:schemeClr w14:val="tx1"/>
            </w14:solidFill>
          </w14:textFill>
        </w:rPr>
      </w:pPr>
      <w:bookmarkStart w:id="5" w:name="_Toc52359428"/>
      <w:r>
        <w:rPr>
          <w:rStyle w:val="227"/>
          <w:rFonts w:hint="eastAsia"/>
          <w:color w:val="000000" w:themeColor="text1"/>
          <w14:textFill>
            <w14:solidFill>
              <w14:schemeClr w14:val="tx1"/>
            </w14:solidFill>
          </w14:textFill>
        </w:rPr>
        <w:t>（一）绩效评价的目的、对象和范围</w:t>
      </w:r>
      <w:bookmarkEnd w:id="5"/>
    </w:p>
    <w:p>
      <w:pPr>
        <w:pStyle w:val="142"/>
        <w:ind w:firstLine="588"/>
        <w:rPr>
          <w:rFonts w:ascii="仿宋_GB2312" w:hAnsi="仿宋" w:eastAsia="仿宋_GB2312" w:cs="Times New Roman"/>
          <w:color w:val="000000" w:themeColor="text1"/>
          <w:sz w:val="32"/>
          <w:szCs w:val="32"/>
          <w14:textFill>
            <w14:solidFill>
              <w14:schemeClr w14:val="tx1"/>
            </w14:solidFill>
          </w14:textFill>
        </w:rPr>
      </w:pPr>
      <w:bookmarkStart w:id="6" w:name="_Toc52359429"/>
      <w:r>
        <w:rPr>
          <w:rStyle w:val="227"/>
          <w:rFonts w:hint="eastAsia" w:ascii="仿宋_GB2312" w:hAnsi="仿宋_GB2312" w:eastAsia="仿宋_GB2312" w:cs="仿宋_GB2312"/>
          <w:b/>
          <w:bCs/>
          <w:color w:val="000000" w:themeColor="text1"/>
          <w14:textFill>
            <w14:solidFill>
              <w14:schemeClr w14:val="tx1"/>
            </w14:solidFill>
          </w14:textFill>
        </w:rPr>
        <w:t>1.评价目的</w:t>
      </w:r>
      <w:bookmarkEnd w:id="6"/>
      <w:r>
        <w:rPr>
          <w:rStyle w:val="227"/>
          <w:rFonts w:hint="eastAsia"/>
          <w:color w:val="000000" w:themeColor="text1"/>
          <w14:textFill>
            <w14:solidFill>
              <w14:schemeClr w14:val="tx1"/>
            </w14:solidFill>
          </w14:textFill>
        </w:rPr>
        <w:t>。</w:t>
      </w:r>
      <w:r>
        <w:rPr>
          <w:rFonts w:hint="eastAsia" w:ascii="仿宋_GB2312" w:hAnsi="仿宋" w:eastAsia="仿宋_GB2312" w:cs="Times New Roman"/>
          <w:color w:val="000000" w:themeColor="text1"/>
          <w:sz w:val="32"/>
          <w:szCs w:val="32"/>
          <w14:textFill>
            <w14:solidFill>
              <w14:schemeClr w14:val="tx1"/>
            </w14:solidFill>
          </w14:textFill>
        </w:rPr>
        <w:t>围绕年初确定的工作目标，以预算资金为主线，从预算管理、职责履行、履职效能等方面，对预算资金的投入、使用过程、产出与效果进行系统和客观的评价，评价结果作为改进管理和编制以后年度预算依据。</w:t>
      </w:r>
    </w:p>
    <w:p>
      <w:pPr>
        <w:pStyle w:val="142"/>
        <w:ind w:firstLine="628"/>
        <w:rPr>
          <w:rFonts w:ascii="仿宋_GB2312" w:hAnsi="仿宋" w:eastAsia="仿宋_GB2312" w:cs="Times New Roman"/>
          <w:color w:val="000000" w:themeColor="text1"/>
          <w:sz w:val="32"/>
          <w:szCs w:val="32"/>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2.评价对象和范围</w:t>
      </w:r>
      <w:r>
        <w:rPr>
          <w:rFonts w:hint="eastAsia" w:ascii="仿宋_GB2312" w:hAnsi="仿宋" w:eastAsia="仿宋_GB2312" w:cs="Times New Roman"/>
          <w:color w:val="000000" w:themeColor="text1"/>
          <w:sz w:val="32"/>
          <w:szCs w:val="32"/>
          <w14:textFill>
            <w14:solidFill>
              <w14:schemeClr w14:val="tx1"/>
            </w14:solidFill>
          </w14:textFill>
        </w:rPr>
        <w:t>。质量与标准化发展项目2020年度执行情况及实施效果。</w:t>
      </w:r>
    </w:p>
    <w:p>
      <w:pPr>
        <w:spacing w:line="600" w:lineRule="exact"/>
        <w:ind w:firstLine="626" w:firstLineChars="200"/>
        <w:rPr>
          <w:rStyle w:val="227"/>
          <w:rFonts w:ascii="楷体_GB2312" w:hAnsi="楷体_GB2312" w:eastAsia="楷体_GB2312" w:cs="楷体_GB2312"/>
          <w:bCs/>
          <w:color w:val="000000" w:themeColor="text1"/>
          <w:sz w:val="32"/>
          <w:szCs w:val="32"/>
          <w14:textFill>
            <w14:solidFill>
              <w14:schemeClr w14:val="tx1"/>
            </w14:solidFill>
          </w14:textFill>
        </w:rPr>
      </w:pPr>
      <w:r>
        <w:rPr>
          <w:rStyle w:val="227"/>
          <w:rFonts w:hint="eastAsia" w:ascii="楷体_GB2312" w:hAnsi="楷体_GB2312" w:eastAsia="楷体_GB2312" w:cs="楷体_GB2312"/>
          <w:bCs/>
          <w:color w:val="000000" w:themeColor="text1"/>
          <w:sz w:val="32"/>
          <w:szCs w:val="32"/>
          <w14:textFill>
            <w14:solidFill>
              <w14:schemeClr w14:val="tx1"/>
            </w14:solidFill>
          </w14:textFill>
        </w:rPr>
        <w:t>（二）绩效评价原则</w:t>
      </w:r>
    </w:p>
    <w:p>
      <w:pPr>
        <w:spacing w:line="600" w:lineRule="exact"/>
        <w:ind w:firstLine="626" w:firstLineChars="200"/>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1.客观公正</w:t>
      </w:r>
      <w:r>
        <w:rPr>
          <w:rFonts w:hint="eastAsia" w:ascii="仿宋_GB2312" w:hAnsi="仿宋" w:eastAsia="仿宋_GB2312" w:cs="Times New Roman"/>
          <w:color w:val="000000" w:themeColor="text1"/>
          <w:sz w:val="32"/>
          <w:szCs w:val="32"/>
          <w14:textFill>
            <w14:solidFill>
              <w14:schemeClr w14:val="tx1"/>
            </w14:solidFill>
          </w14:textFill>
        </w:rPr>
        <w:t>。评价内容客观、公正，标准统一、资料可靠，评价过程与结果依法公开并接受监督。</w:t>
      </w:r>
    </w:p>
    <w:p>
      <w:pPr>
        <w:spacing w:line="600" w:lineRule="exact"/>
        <w:ind w:firstLine="626" w:firstLineChars="200"/>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2.科学规范。</w:t>
      </w:r>
      <w:r>
        <w:rPr>
          <w:rFonts w:hint="eastAsia" w:ascii="仿宋_GB2312" w:hAnsi="仿宋" w:eastAsia="仿宋_GB2312" w:cs="Times New Roman"/>
          <w:color w:val="000000" w:themeColor="text1"/>
          <w:sz w:val="32"/>
          <w:szCs w:val="32"/>
          <w14:textFill>
            <w14:solidFill>
              <w14:schemeClr w14:val="tx1"/>
            </w14:solidFill>
          </w14:textFill>
        </w:rPr>
        <w:t>严格执行规定的评价程序，采用定量为主定性为辅的综合分析方法，科学合理地对专项资金项目的必要性、合规性和效益进行评价。</w:t>
      </w:r>
    </w:p>
    <w:p>
      <w:pPr>
        <w:spacing w:line="600" w:lineRule="exact"/>
        <w:ind w:firstLine="626" w:firstLineChars="200"/>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b/>
          <w:bCs/>
          <w:color w:val="000000" w:themeColor="text1"/>
          <w:sz w:val="32"/>
          <w:szCs w:val="32"/>
          <w14:textFill>
            <w14:solidFill>
              <w14:schemeClr w14:val="tx1"/>
            </w14:solidFill>
          </w14:textFill>
        </w:rPr>
        <w:t>3.绩效相关。</w:t>
      </w:r>
      <w:r>
        <w:rPr>
          <w:rFonts w:hint="eastAsia" w:ascii="仿宋_GB2312" w:hAnsi="仿宋" w:eastAsia="仿宋_GB2312" w:cs="Times New Roman"/>
          <w:color w:val="000000" w:themeColor="text1"/>
          <w:sz w:val="32"/>
          <w:szCs w:val="32"/>
          <w14:textFill>
            <w14:solidFill>
              <w14:schemeClr w14:val="tx1"/>
            </w14:solidFill>
          </w14:textFill>
        </w:rPr>
        <w:t>针对专项资金及其产出绩效进行评价，评价结果清晰反映项目实施和产出绩效之间的紧密对应关系。</w:t>
      </w:r>
    </w:p>
    <w:p>
      <w:pPr>
        <w:spacing w:line="580" w:lineRule="exact"/>
        <w:ind w:firstLine="626" w:firstLineChars="200"/>
        <w:rPr>
          <w:rStyle w:val="227"/>
          <w:rFonts w:ascii="楷体_GB2312" w:hAnsi="楷体_GB2312" w:eastAsia="楷体_GB2312" w:cs="楷体_GB2312"/>
          <w:bCs/>
          <w:color w:val="000000" w:themeColor="text1"/>
          <w:sz w:val="32"/>
          <w:szCs w:val="32"/>
          <w14:textFill>
            <w14:solidFill>
              <w14:schemeClr w14:val="tx1"/>
            </w14:solidFill>
          </w14:textFill>
        </w:rPr>
      </w:pPr>
      <w:r>
        <w:rPr>
          <w:rStyle w:val="227"/>
          <w:rFonts w:hint="eastAsia" w:ascii="楷体_GB2312" w:hAnsi="楷体_GB2312" w:eastAsia="楷体_GB2312" w:cs="楷体_GB2312"/>
          <w:bCs/>
          <w:color w:val="000000" w:themeColor="text1"/>
          <w:sz w:val="32"/>
          <w:szCs w:val="32"/>
          <w14:textFill>
            <w14:solidFill>
              <w14:schemeClr w14:val="tx1"/>
            </w14:solidFill>
          </w14:textFill>
        </w:rPr>
        <w:t>（三）绩效评价指标体系</w:t>
      </w:r>
    </w:p>
    <w:p>
      <w:pPr>
        <w:spacing w:line="600" w:lineRule="exact"/>
        <w:ind w:firstLine="626" w:firstLineChars="200"/>
        <w:rPr>
          <w:rStyle w:val="227"/>
          <w:rFonts w:ascii="仿宋_GB2312" w:hAnsi="仿宋_GB2312" w:eastAsia="仿宋_GB2312" w:cs="仿宋_GB2312"/>
          <w:color w:val="000000" w:themeColor="text1"/>
          <w:sz w:val="32"/>
          <w:szCs w:val="32"/>
          <w14:textFill>
            <w14:solidFill>
              <w14:schemeClr w14:val="tx1"/>
            </w14:solidFill>
          </w14:textFill>
        </w:rPr>
      </w:pPr>
      <w:r>
        <w:rPr>
          <w:rStyle w:val="227"/>
          <w:rFonts w:hint="eastAsia" w:ascii="仿宋_GB2312" w:hAnsi="仿宋_GB2312" w:eastAsia="仿宋_GB2312" w:cs="仿宋_GB2312"/>
          <w:color w:val="000000" w:themeColor="text1"/>
          <w:sz w:val="32"/>
          <w:szCs w:val="32"/>
          <w14:textFill>
            <w14:solidFill>
              <w14:schemeClr w14:val="tx1"/>
            </w14:solidFill>
          </w14:textFill>
        </w:rPr>
        <w:t>本次评价依据《关于印发&lt;市级项目支出部门绩效评价操作规程&gt;的通知》(青财绩〔2020〕8号)的要求，从决策、过程、产出、效益四个方面，对专项资金的实施情况开展评价。</w:t>
      </w:r>
    </w:p>
    <w:p>
      <w:pPr>
        <w:spacing w:line="600" w:lineRule="exact"/>
        <w:ind w:firstLine="626" w:firstLineChars="200"/>
        <w:rPr>
          <w:rStyle w:val="227"/>
          <w:rFonts w:ascii="仿宋_GB2312" w:hAnsi="仿宋_GB2312" w:eastAsia="仿宋_GB2312" w:cs="仿宋_GB2312"/>
          <w:color w:val="000000" w:themeColor="text1"/>
          <w:sz w:val="32"/>
          <w:szCs w:val="32"/>
          <w14:textFill>
            <w14:solidFill>
              <w14:schemeClr w14:val="tx1"/>
            </w14:solidFill>
          </w14:textFill>
        </w:rPr>
      </w:pPr>
      <w:r>
        <w:rPr>
          <w:rStyle w:val="227"/>
          <w:rFonts w:hint="eastAsia" w:ascii="仿宋_GB2312" w:hAnsi="仿宋_GB2312" w:eastAsia="仿宋_GB2312" w:cs="仿宋_GB2312"/>
          <w:color w:val="000000" w:themeColor="text1"/>
          <w:sz w:val="32"/>
          <w:szCs w:val="32"/>
          <w14:textFill>
            <w14:solidFill>
              <w14:schemeClr w14:val="tx1"/>
            </w14:solidFill>
          </w14:textFill>
        </w:rPr>
        <w:t>决策方面包括项目立项、绩效目标和资金投入3个二级指标。项目立项方面下设2个三级指标，其中“立项依据充分性”考察项目立项是否符合法律法规、相关政策、发展规划以及部门职责，用以反映和考核项目立项依据情况；“立项程序规范性”考察项目的申请、设立过程是否符合相关要求，用以反映和考核项目立项的规范情况。绩效目标方面下设2个三级指标，其中“绩效目标合理性”考察项目所设定的绩效目标是否依据充分，是否符合客观实际，用以反映和考核项目绩效目标与项目实施的相符情况；“绩效指标明确性”考察依据绩效目标设定的绩效指标是否清晰、细化、可衡量等，用以反映和考核项目绩效目标的明细化情况。资金投入方面下设2个三级指标，其中“预算编制科学性”考察项目预算编制是否经过科学论证、有明确标准，资金额度与年度目标是否相适应，用以反映和考核项目预算编制的科学性、合理性情况；“资金分配合理性”考察项目资金分配是否有测算依据，预算安排内容与专项资金的设立目的及年度工作重点是否一致，用以反映和考核项目预算资金分配的科学性、合理性。</w:t>
      </w:r>
    </w:p>
    <w:p>
      <w:pPr>
        <w:spacing w:line="600" w:lineRule="exact"/>
        <w:ind w:firstLine="626" w:firstLineChars="200"/>
        <w:rPr>
          <w:rStyle w:val="227"/>
          <w:rFonts w:ascii="仿宋_GB2312" w:hAnsi="仿宋_GB2312" w:eastAsia="仿宋_GB2312" w:cs="仿宋_GB2312"/>
          <w:color w:val="000000" w:themeColor="text1"/>
          <w:sz w:val="32"/>
          <w:szCs w:val="32"/>
          <w14:textFill>
            <w14:solidFill>
              <w14:schemeClr w14:val="tx1"/>
            </w14:solidFill>
          </w14:textFill>
        </w:rPr>
      </w:pPr>
      <w:r>
        <w:rPr>
          <w:rStyle w:val="227"/>
          <w:rFonts w:hint="eastAsia" w:ascii="仿宋_GB2312" w:hAnsi="仿宋_GB2312" w:eastAsia="仿宋_GB2312" w:cs="仿宋_GB2312"/>
          <w:color w:val="000000" w:themeColor="text1"/>
          <w:sz w:val="32"/>
          <w:szCs w:val="32"/>
          <w14:textFill>
            <w14:solidFill>
              <w14:schemeClr w14:val="tx1"/>
            </w14:solidFill>
          </w14:textFill>
        </w:rPr>
        <w:t>过程方面包括资金管理和组织实施2个二级指标。资金管理方面包括3个三级指标，其中“资金到位率”考察实际到位资金与预算资金的比率，用以反映和考核资金落实情况对项目实施的总体保障程度；“预算执行率”考察项目预算资金是否按照计划执行，用以反映或考核项目预算执行情况；“资金使用合规性”考察项目资金使用是否符合相关的财务管理制度规定，用以反映和考核项目资金的规范运行情况。组织实施方面包括2个三级指标，其中“管理制度健全性”考察项目实施单位的管理制度是否健全，是否已制定或具有相应的财务和业务管理制度，财务和业务管理制度是否合法、合规、完整，用以反映和考核财务和业务管理制度对项目顺利实施的保障情况；“制度执行有效性”考察项目实施是否符合相关管理规定，用以反映和考核相关管理制度的有效执行情况。</w:t>
      </w:r>
    </w:p>
    <w:p>
      <w:pPr>
        <w:spacing w:line="600" w:lineRule="exact"/>
        <w:ind w:firstLine="626" w:firstLineChars="200"/>
        <w:rPr>
          <w:rStyle w:val="227"/>
          <w:rFonts w:ascii="仿宋_GB2312" w:hAnsi="仿宋_GB2312" w:eastAsia="仿宋_GB2312" w:cs="仿宋_GB2312"/>
          <w:color w:val="000000" w:themeColor="text1"/>
          <w:sz w:val="32"/>
          <w:szCs w:val="32"/>
          <w14:textFill>
            <w14:solidFill>
              <w14:schemeClr w14:val="tx1"/>
            </w14:solidFill>
          </w14:textFill>
        </w:rPr>
      </w:pPr>
      <w:r>
        <w:rPr>
          <w:rStyle w:val="227"/>
          <w:rFonts w:hint="eastAsia" w:ascii="仿宋_GB2312" w:hAnsi="仿宋_GB2312" w:eastAsia="仿宋_GB2312" w:cs="仿宋_GB2312"/>
          <w:color w:val="000000" w:themeColor="text1"/>
          <w:sz w:val="32"/>
          <w:szCs w:val="32"/>
          <w14:textFill>
            <w14:solidFill>
              <w14:schemeClr w14:val="tx1"/>
            </w14:solidFill>
          </w14:textFill>
        </w:rPr>
        <w:t>产出方面包括产出数量、产出质量、产出时效和产出成本4个二级指标。产出数量方面包括2个三级指标，其中“实际完成率”考察项目实施的实际产出数与计划产出数的比率，用以反映和考核项目产出数量目标的实现程度；“数量变动率”考察项目实际增减变动完成情况。产出质量方面二级指标为“质量达标率”，考察项目完成的质量达标产出数与实际产出数的比率，用以反映和考核项目产出质量目标的实现程度。产出时效方面二级指标为“完成及时率”，考察各项目是否均按照计划、文件批复等相关规定及时完成，用以反映和考核项目产出时效目标的实现程度。产出成本方面二级指标为“成本节约率”，考察完成项目计划工作目标的实际节约成本与计划成本的比率，用以反映和考核项目的成本节约程度。</w:t>
      </w:r>
    </w:p>
    <w:p>
      <w:pPr>
        <w:spacing w:line="600" w:lineRule="exact"/>
        <w:ind w:firstLine="626" w:firstLineChars="200"/>
        <w:rPr>
          <w:rStyle w:val="227"/>
          <w:rFonts w:ascii="仿宋_GB2312" w:hAnsi="仿宋_GB2312" w:eastAsia="仿宋_GB2312" w:cs="仿宋_GB2312"/>
          <w:color w:val="000000" w:themeColor="text1"/>
          <w:sz w:val="32"/>
          <w:szCs w:val="32"/>
          <w14:textFill>
            <w14:solidFill>
              <w14:schemeClr w14:val="tx1"/>
            </w14:solidFill>
          </w14:textFill>
        </w:rPr>
      </w:pPr>
      <w:r>
        <w:rPr>
          <w:rStyle w:val="227"/>
          <w:rFonts w:hint="eastAsia" w:ascii="仿宋_GB2312" w:hAnsi="仿宋_GB2312" w:eastAsia="仿宋_GB2312" w:cs="仿宋_GB2312"/>
          <w:color w:val="000000" w:themeColor="text1"/>
          <w:sz w:val="32"/>
          <w:szCs w:val="32"/>
          <w14:textFill>
            <w14:solidFill>
              <w14:schemeClr w14:val="tx1"/>
            </w14:solidFill>
          </w14:textFill>
        </w:rPr>
        <w:t>效益方面包括项目效益、可持续影响和满意度3个二级指标。项目效益方面设置2个三级指标，主要考察项目产生的社会效益和经济效益。可持续影响方面设置2个三级指标，其中“政策可持续性”考察项目后续运行及成效发挥的可持续影响情况；“项目发展机制可持续性”考察项目运转是否形成了可持续发展的机制。满意度方面设置“受益对象满意度”三级指标，考察受益对象对项目实施效果的满意程度。</w:t>
      </w:r>
    </w:p>
    <w:p>
      <w:pPr>
        <w:spacing w:line="580" w:lineRule="exact"/>
        <w:ind w:firstLine="626" w:firstLineChars="200"/>
        <w:rPr>
          <w:rStyle w:val="227"/>
          <w:rFonts w:ascii="楷体_GB2312" w:hAnsi="楷体_GB2312" w:eastAsia="楷体_GB2312" w:cs="楷体_GB2312"/>
          <w:bCs/>
          <w:color w:val="000000" w:themeColor="text1"/>
          <w:sz w:val="32"/>
          <w:szCs w:val="32"/>
          <w14:textFill>
            <w14:solidFill>
              <w14:schemeClr w14:val="tx1"/>
            </w14:solidFill>
          </w14:textFill>
        </w:rPr>
      </w:pPr>
      <w:r>
        <w:rPr>
          <w:rStyle w:val="227"/>
          <w:rFonts w:hint="eastAsia" w:ascii="楷体_GB2312" w:hAnsi="楷体_GB2312" w:eastAsia="楷体_GB2312" w:cs="楷体_GB2312"/>
          <w:bCs/>
          <w:color w:val="000000" w:themeColor="text1"/>
          <w:sz w:val="32"/>
          <w:szCs w:val="32"/>
          <w14:textFill>
            <w14:solidFill>
              <w14:schemeClr w14:val="tx1"/>
            </w14:solidFill>
          </w14:textFill>
        </w:rPr>
        <w:t>（四）绩效评价方法及评价标准</w:t>
      </w:r>
    </w:p>
    <w:p>
      <w:pPr>
        <w:spacing w:line="600" w:lineRule="exact"/>
        <w:ind w:firstLine="626" w:firstLineChars="200"/>
        <w:rPr>
          <w:rStyle w:val="227"/>
          <w:rFonts w:ascii="仿宋_GB2312" w:hAnsi="仿宋_GB2312" w:eastAsia="仿宋_GB2312" w:cs="仿宋_GB2312"/>
          <w:color w:val="000000" w:themeColor="text1"/>
          <w:sz w:val="32"/>
          <w:szCs w:val="32"/>
          <w14:textFill>
            <w14:solidFill>
              <w14:schemeClr w14:val="tx1"/>
            </w14:solidFill>
          </w14:textFill>
        </w:rPr>
      </w:pPr>
      <w:r>
        <w:rPr>
          <w:rStyle w:val="227"/>
          <w:rFonts w:hint="eastAsia" w:ascii="仿宋_GB2312" w:hAnsi="仿宋_GB2312" w:eastAsia="仿宋_GB2312" w:cs="仿宋_GB2312"/>
          <w:color w:val="000000" w:themeColor="text1"/>
          <w:sz w:val="32"/>
          <w:szCs w:val="32"/>
          <w14:textFill>
            <w14:solidFill>
              <w14:schemeClr w14:val="tx1"/>
            </w14:solidFill>
          </w14:textFill>
        </w:rPr>
        <w:t>本次绩效评价主要以资料审查、现场核查作为主要数据来源及取数方式。通过获取项目实施背景及质量与标准化发展近三年申报及评定情况等全过程管理资料，对项目立项、项目管理等重要信息要素进行分析，初步确定评价核心。通过核查存档资料、财务数据等，为资金管理、项目产出、项目效益等评价提供支撑。</w:t>
      </w:r>
    </w:p>
    <w:p>
      <w:pPr>
        <w:spacing w:line="580" w:lineRule="exact"/>
        <w:ind w:firstLine="626" w:firstLineChars="200"/>
        <w:rPr>
          <w:rStyle w:val="227"/>
          <w:rFonts w:ascii="仿宋_GB2312" w:hAnsi="Times New Roman" w:eastAsia="仿宋"/>
          <w:bCs/>
          <w:color w:val="000000" w:themeColor="text1"/>
          <w:sz w:val="28"/>
          <w:szCs w:val="28"/>
          <w14:textFill>
            <w14:solidFill>
              <w14:schemeClr w14:val="tx1"/>
            </w14:solidFill>
          </w14:textFill>
        </w:rPr>
      </w:pPr>
      <w:r>
        <w:rPr>
          <w:rStyle w:val="227"/>
          <w:rFonts w:hint="eastAsia" w:ascii="楷体_GB2312" w:hAnsi="楷体_GB2312" w:eastAsia="楷体_GB2312" w:cs="楷体_GB2312"/>
          <w:bCs/>
          <w:color w:val="000000" w:themeColor="text1"/>
          <w:sz w:val="32"/>
          <w:szCs w:val="32"/>
          <w14:textFill>
            <w14:solidFill>
              <w14:schemeClr w14:val="tx1"/>
            </w14:solidFill>
          </w14:textFill>
        </w:rPr>
        <w:t>（五）绩效评价工作过程</w:t>
      </w:r>
    </w:p>
    <w:p>
      <w:pPr>
        <w:spacing w:line="600" w:lineRule="exact"/>
        <w:ind w:firstLine="626" w:firstLineChars="200"/>
        <w:rPr>
          <w:rFonts w:ascii="仿宋_GB2312" w:hAnsi="仿宋_GB2312" w:eastAsia="仿宋_GB2312" w:cs="仿宋_GB2312"/>
          <w:color w:val="000000" w:themeColor="text1"/>
          <w:sz w:val="32"/>
          <w:szCs w:val="32"/>
          <w14:textFill>
            <w14:solidFill>
              <w14:schemeClr w14:val="tx1"/>
            </w14:solidFill>
          </w14:textFill>
        </w:rPr>
      </w:pPr>
      <w:r>
        <w:rPr>
          <w:rStyle w:val="227"/>
          <w:rFonts w:hint="eastAsia" w:ascii="仿宋_GB2312" w:hAnsi="仿宋_GB2312" w:eastAsia="仿宋_GB2312" w:cs="仿宋_GB2312"/>
          <w:color w:val="000000" w:themeColor="text1"/>
          <w:sz w:val="32"/>
          <w:szCs w:val="32"/>
          <w14:textFill>
            <w14:solidFill>
              <w14:schemeClr w14:val="tx1"/>
            </w14:solidFill>
          </w14:textFill>
        </w:rPr>
        <w:t>本次项目评价周期为2021年4月15日到2021年5月12日。按照评价要求，对整个评价周期进行阶段性划分，明确每个阶段的任务、工作内容及节点成果。绩效评价实施过程分为三个阶段。</w:t>
      </w:r>
      <w:r>
        <w:rPr>
          <w:rFonts w:hint="eastAsia" w:ascii="仿宋_GB2312" w:hAnsi="仿宋_GB2312" w:eastAsia="仿宋_GB2312" w:cs="仿宋_GB2312"/>
          <w:color w:val="000000" w:themeColor="text1"/>
          <w:sz w:val="32"/>
          <w:szCs w:val="32"/>
          <w14:textFill>
            <w14:solidFill>
              <w14:schemeClr w14:val="tx1"/>
            </w14:solidFill>
          </w14:textFill>
        </w:rPr>
        <w:t>第一阶段为基础工作准备阶段，主要内容是组建绩效评价小组，确定评价工作思路、制定评价指标体系，收集和整理与项目相关的文件资料，了解项目基本情况；第二阶段为收集资料，采集评价数据阶段，主要内容是对照指标体系和绩效目标申报表，有针对性的收集相关证明材料，开展评分评价。第三阶段为绩效评价报告编制阶段，主要内容是撰写项目绩效评价报告，在工作组内进行讨论修改，并向被评价单位征求意见。</w:t>
      </w:r>
    </w:p>
    <w:p>
      <w:pPr>
        <w:spacing w:line="600" w:lineRule="exact"/>
        <w:ind w:firstLine="626"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评价工作具体从项目立项、项目实施、项目绩效、项目效益四个方面来开展。项目制定方面主要评价包括对项目立项合理、合规情况；项目实施主要评价包括对实施过程中的管理落实情况、资金使用情况的考察，项目绩效方面主要评价包括对项目的产出、项目的效果的考察，项目影响方面主要评价包括项目实施后的满意度。在整个评价过程中，重点关注以下内容：一是通过项目实施关注项目目标是否按时保质完成；二是专项资金是否专款专用有效使用；三是在项目实施过程中的管理落实情况；四是项目实施的实际效果和社会评价如何，对</w:t>
      </w:r>
      <w:r>
        <w:rPr>
          <w:rFonts w:hint="eastAsia" w:ascii="仿宋_GB2312" w:hAnsi="仿宋_GB2312" w:eastAsia="仿宋_GB2312" w:cs="仿宋_GB2312"/>
          <w:color w:val="000000" w:themeColor="text1"/>
          <w:sz w:val="32"/>
          <w:szCs w:val="32"/>
          <w:lang w:eastAsia="zh-CN"/>
          <w14:textFill>
            <w14:solidFill>
              <w14:schemeClr w14:val="tx1"/>
            </w14:solidFill>
          </w14:textFill>
        </w:rPr>
        <w:t>质量</w:t>
      </w:r>
      <w:r>
        <w:rPr>
          <w:rFonts w:hint="eastAsia" w:ascii="仿宋_GB2312" w:hAnsi="仿宋_GB2312" w:eastAsia="仿宋_GB2312" w:cs="仿宋_GB2312"/>
          <w:color w:val="000000" w:themeColor="text1"/>
          <w:sz w:val="32"/>
          <w:szCs w:val="32"/>
          <w14:textFill>
            <w14:solidFill>
              <w14:schemeClr w14:val="tx1"/>
            </w14:solidFill>
          </w14:textFill>
        </w:rPr>
        <w:t>安全保障的社会效益是否显著。</w:t>
      </w:r>
    </w:p>
    <w:p>
      <w:pPr>
        <w:spacing w:line="580" w:lineRule="exact"/>
        <w:ind w:firstLine="626" w:firstLineChars="20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三、综合评价情况及评价结论</w:t>
      </w:r>
    </w:p>
    <w:p>
      <w:pPr>
        <w:spacing w:line="580" w:lineRule="exact"/>
        <w:ind w:firstLine="586" w:firstLineChars="200"/>
        <w:rPr>
          <w:rFonts w:ascii="Times New Roman" w:hAnsi="Times New Roman" w:eastAsia="楷体_GB2312" w:cs="Times New Roman"/>
          <w:bCs/>
          <w:color w:val="000000" w:themeColor="text1"/>
          <w:sz w:val="30"/>
          <w:szCs w:val="30"/>
          <w14:textFill>
            <w14:solidFill>
              <w14:schemeClr w14:val="tx1"/>
            </w14:solidFill>
          </w14:textFill>
        </w:rPr>
      </w:pPr>
      <w:r>
        <w:rPr>
          <w:rFonts w:hint="eastAsia" w:ascii="Times New Roman" w:hAnsi="Times New Roman" w:eastAsia="楷体_GB2312" w:cs="Times New Roman"/>
          <w:bCs/>
          <w:color w:val="000000" w:themeColor="text1"/>
          <w:sz w:val="30"/>
          <w:szCs w:val="30"/>
          <w14:textFill>
            <w14:solidFill>
              <w14:schemeClr w14:val="tx1"/>
            </w14:solidFill>
          </w14:textFill>
        </w:rPr>
        <w:t>（一）资金总体评价结论</w:t>
      </w:r>
    </w:p>
    <w:p>
      <w:pPr>
        <w:spacing w:line="600" w:lineRule="exact"/>
        <w:ind w:firstLine="626"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2020年度质量和标准化发展项目总体得分为分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93.34分</w:t>
      </w:r>
      <w:r>
        <w:rPr>
          <w:rFonts w:hint="eastAsia" w:ascii="仿宋_GB2312" w:hAnsi="仿宋_GB2312" w:eastAsia="仿宋_GB2312" w:cs="仿宋_GB2312"/>
          <w:color w:val="000000" w:themeColor="text1"/>
          <w:sz w:val="32"/>
          <w:szCs w:val="32"/>
          <w14:textFill>
            <w14:solidFill>
              <w14:schemeClr w14:val="tx1"/>
            </w14:solidFill>
          </w14:textFill>
        </w:rPr>
        <w:t>，绩效评价等级为：优。</w:t>
      </w:r>
      <w:r>
        <w:rPr>
          <w:rFonts w:hint="eastAsia" w:ascii="仿宋_GB2312" w:hAnsi="仿宋_GB2312" w:eastAsia="仿宋_GB2312" w:cs="仿宋_GB2312"/>
          <w:color w:val="000000" w:themeColor="text1"/>
          <w:sz w:val="32"/>
          <w:szCs w:val="32"/>
          <w:u w:val="none"/>
          <w14:textFill>
            <w14:solidFill>
              <w14:schemeClr w14:val="tx1"/>
            </w14:solidFill>
          </w14:textFill>
        </w:rPr>
        <w:t>其中“决策”权重20分，得分</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16.23分</w:t>
      </w:r>
      <w:r>
        <w:rPr>
          <w:rFonts w:hint="eastAsia" w:ascii="仿宋_GB2312" w:hAnsi="仿宋_GB2312" w:eastAsia="仿宋_GB2312" w:cs="仿宋_GB2312"/>
          <w:color w:val="000000" w:themeColor="text1"/>
          <w:sz w:val="32"/>
          <w:szCs w:val="32"/>
          <w:u w:val="none"/>
          <w14:textFill>
            <w14:solidFill>
              <w14:schemeClr w14:val="tx1"/>
            </w14:solidFill>
          </w14:textFill>
        </w:rPr>
        <w:t>，得分率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81.15</w:t>
      </w:r>
      <w:r>
        <w:rPr>
          <w:rFonts w:hint="eastAsia" w:ascii="仿宋_GB2312" w:hAnsi="仿宋_GB2312" w:eastAsia="仿宋_GB2312" w:cs="仿宋_GB2312"/>
          <w:color w:val="000000" w:themeColor="text1"/>
          <w:sz w:val="32"/>
          <w:szCs w:val="32"/>
          <w:u w:val="none"/>
          <w14:textFill>
            <w14:solidFill>
              <w14:schemeClr w14:val="tx1"/>
            </w14:solidFill>
          </w14:textFill>
        </w:rPr>
        <w:t>%；“过程”权重20分，得分</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17.11分</w:t>
      </w:r>
      <w:r>
        <w:rPr>
          <w:rFonts w:hint="eastAsia" w:ascii="仿宋_GB2312" w:hAnsi="仿宋_GB2312" w:eastAsia="仿宋_GB2312" w:cs="仿宋_GB2312"/>
          <w:color w:val="000000" w:themeColor="text1"/>
          <w:sz w:val="32"/>
          <w:szCs w:val="32"/>
          <w:u w:val="none"/>
          <w14:textFill>
            <w14:solidFill>
              <w14:schemeClr w14:val="tx1"/>
            </w14:solidFill>
          </w14:textFill>
        </w:rPr>
        <w:t>，得分率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85.55</w:t>
      </w:r>
      <w:r>
        <w:rPr>
          <w:rFonts w:hint="eastAsia" w:ascii="仿宋_GB2312" w:hAnsi="仿宋_GB2312" w:eastAsia="仿宋_GB2312" w:cs="仿宋_GB2312"/>
          <w:color w:val="000000" w:themeColor="text1"/>
          <w:sz w:val="32"/>
          <w:szCs w:val="32"/>
          <w:u w:val="none"/>
          <w14:textFill>
            <w14:solidFill>
              <w14:schemeClr w14:val="tx1"/>
            </w14:solidFill>
          </w14:textFill>
        </w:rPr>
        <w:t>%；“产出”权重25分，得分</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25分</w:t>
      </w:r>
      <w:r>
        <w:rPr>
          <w:rFonts w:hint="eastAsia" w:ascii="仿宋_GB2312" w:hAnsi="仿宋_GB2312" w:eastAsia="仿宋_GB2312" w:cs="仿宋_GB2312"/>
          <w:color w:val="000000" w:themeColor="text1"/>
          <w:sz w:val="32"/>
          <w:szCs w:val="32"/>
          <w:u w:val="none"/>
          <w14:textFill>
            <w14:solidFill>
              <w14:schemeClr w14:val="tx1"/>
            </w14:solidFill>
          </w14:textFill>
        </w:rPr>
        <w:t>，得分率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u w:val="none"/>
          <w14:textFill>
            <w14:solidFill>
              <w14:schemeClr w14:val="tx1"/>
            </w14:solidFill>
          </w14:textFill>
        </w:rPr>
        <w:t>%；“效益”权重35分，得分</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25分</w:t>
      </w:r>
      <w:r>
        <w:rPr>
          <w:rFonts w:hint="eastAsia" w:ascii="仿宋_GB2312" w:hAnsi="仿宋_GB2312" w:eastAsia="仿宋_GB2312" w:cs="仿宋_GB2312"/>
          <w:color w:val="000000" w:themeColor="text1"/>
          <w:sz w:val="32"/>
          <w:szCs w:val="32"/>
          <w:u w:val="none"/>
          <w14:textFill>
            <w14:solidFill>
              <w14:schemeClr w14:val="tx1"/>
            </w14:solidFill>
          </w14:textFill>
        </w:rPr>
        <w:t>，得分率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建议继续保留该项目。</w:t>
      </w:r>
    </w:p>
    <w:p>
      <w:pPr>
        <w:spacing w:line="600" w:lineRule="exact"/>
        <w:ind w:firstLine="626" w:firstLineChars="200"/>
        <w:rPr>
          <w:rStyle w:val="227"/>
          <w:rFonts w:ascii="楷体_GB2312" w:hAnsi="楷体_GB2312" w:eastAsia="楷体_GB2312" w:cs="楷体_GB2312"/>
          <w:color w:val="000000" w:themeColor="text1"/>
          <w:sz w:val="32"/>
          <w:szCs w:val="32"/>
          <w14:textFill>
            <w14:solidFill>
              <w14:schemeClr w14:val="tx1"/>
            </w14:solidFill>
          </w14:textFill>
        </w:rPr>
      </w:pPr>
      <w:r>
        <w:rPr>
          <w:rStyle w:val="227"/>
          <w:rFonts w:hint="eastAsia" w:ascii="楷体_GB2312" w:hAnsi="楷体_GB2312" w:eastAsia="楷体_GB2312" w:cs="楷体_GB2312"/>
          <w:color w:val="000000" w:themeColor="text1"/>
          <w:sz w:val="32"/>
          <w:szCs w:val="32"/>
          <w14:textFill>
            <w14:solidFill>
              <w14:schemeClr w14:val="tx1"/>
            </w14:solidFill>
          </w14:textFill>
        </w:rPr>
        <w:t>（二）各明细项目预算执行情况</w:t>
      </w:r>
    </w:p>
    <w:p>
      <w:pPr>
        <w:spacing w:line="600" w:lineRule="exact"/>
        <w:ind w:firstLine="626" w:firstLineChars="200"/>
        <w:rPr>
          <w:rStyle w:val="227"/>
          <w:rFonts w:ascii="Times New Roman" w:hAnsi="Times New Roman" w:eastAsia="仿宋"/>
          <w:color w:val="000000" w:themeColor="text1"/>
          <w:sz w:val="32"/>
          <w:szCs w:val="32"/>
          <w14:textFill>
            <w14:solidFill>
              <w14:schemeClr w14:val="tx1"/>
            </w14:solidFill>
          </w14:textFill>
        </w:rPr>
      </w:pPr>
      <w:r>
        <w:rPr>
          <w:rStyle w:val="227"/>
          <w:rFonts w:hint="eastAsia" w:ascii="Times New Roman" w:hAnsi="Times New Roman" w:eastAsia="仿宋"/>
          <w:color w:val="000000" w:themeColor="text1"/>
          <w:sz w:val="32"/>
          <w:szCs w:val="32"/>
          <w:u w:val="none"/>
          <w14:textFill>
            <w14:solidFill>
              <w14:schemeClr w14:val="tx1"/>
            </w14:solidFill>
          </w14:textFill>
        </w:rPr>
        <w:t>年初批复预算2800万元，其中</w:t>
      </w:r>
      <w:r>
        <w:rPr>
          <w:rFonts w:hint="eastAsia" w:ascii="仿宋_GB2312" w:hAnsi="Times New Roman" w:eastAsia="仿宋_GB2312" w:cs="Times New Roman"/>
          <w:bCs/>
          <w:color w:val="000000" w:themeColor="text1"/>
          <w:sz w:val="32"/>
          <w:szCs w:val="32"/>
          <w14:textFill>
            <w14:solidFill>
              <w14:schemeClr w14:val="tx1"/>
            </w14:solidFill>
          </w14:textFill>
        </w:rPr>
        <w:t>标准化资助奖励1800万元、质量发展160万元、产品质量计量监督抽查</w:t>
      </w:r>
      <w:r>
        <w:rPr>
          <w:rFonts w:ascii="仿宋_GB2312" w:hAnsi="Times New Roman" w:eastAsia="仿宋_GB2312" w:cs="Times New Roman"/>
          <w:bCs/>
          <w:color w:val="000000" w:themeColor="text1"/>
          <w:sz w:val="32"/>
          <w:szCs w:val="32"/>
          <w14:textFill>
            <w14:solidFill>
              <w14:schemeClr w14:val="tx1"/>
            </w14:solidFill>
          </w14:textFill>
        </w:rPr>
        <w:t>840</w:t>
      </w:r>
      <w:r>
        <w:rPr>
          <w:rFonts w:hint="eastAsia" w:ascii="仿宋_GB2312" w:hAnsi="Times New Roman" w:eastAsia="仿宋_GB2312" w:cs="Times New Roman"/>
          <w:bCs/>
          <w:color w:val="000000" w:themeColor="text1"/>
          <w:sz w:val="32"/>
          <w:szCs w:val="32"/>
          <w14:textFill>
            <w14:solidFill>
              <w14:schemeClr w14:val="tx1"/>
            </w14:solidFill>
          </w14:textFill>
        </w:rPr>
        <w:t>万元。</w:t>
      </w:r>
      <w:r>
        <w:rPr>
          <w:rStyle w:val="227"/>
          <w:rFonts w:hint="eastAsia" w:ascii="Times New Roman" w:hAnsi="Times New Roman" w:eastAsia="仿宋"/>
          <w:color w:val="000000" w:themeColor="text1"/>
          <w:sz w:val="32"/>
          <w:szCs w:val="32"/>
          <w14:textFill>
            <w14:solidFill>
              <w14:schemeClr w14:val="tx1"/>
            </w14:solidFill>
          </w14:textFill>
        </w:rPr>
        <w:t>年度预算执行中无追加预算、无调整预算。各项目预算执行率为100%。</w:t>
      </w:r>
    </w:p>
    <w:p>
      <w:pPr>
        <w:spacing w:line="600" w:lineRule="exact"/>
        <w:ind w:firstLine="626" w:firstLineChars="200"/>
        <w:rPr>
          <w:rStyle w:val="227"/>
          <w:rFonts w:ascii="楷体_GB2312" w:hAnsi="楷体_GB2312" w:eastAsia="楷体_GB2312" w:cs="楷体_GB2312"/>
          <w:color w:val="000000" w:themeColor="text1"/>
          <w:sz w:val="32"/>
          <w:szCs w:val="32"/>
          <w14:textFill>
            <w14:solidFill>
              <w14:schemeClr w14:val="tx1"/>
            </w14:solidFill>
          </w14:textFill>
        </w:rPr>
      </w:pPr>
      <w:r>
        <w:rPr>
          <w:rStyle w:val="227"/>
          <w:rFonts w:hint="eastAsia" w:ascii="楷体_GB2312" w:hAnsi="楷体_GB2312" w:eastAsia="楷体_GB2312" w:cs="楷体_GB2312"/>
          <w:color w:val="000000" w:themeColor="text1"/>
          <w:sz w:val="32"/>
          <w:szCs w:val="32"/>
          <w14:textFill>
            <w14:solidFill>
              <w14:schemeClr w14:val="tx1"/>
            </w14:solidFill>
          </w14:textFill>
        </w:rPr>
        <w:t>（三）各明细项目评价得分情况</w:t>
      </w:r>
    </w:p>
    <w:p>
      <w:pPr>
        <w:spacing w:line="600" w:lineRule="exact"/>
        <w:ind w:firstLine="560"/>
        <w:rPr>
          <w:rStyle w:val="227"/>
          <w:rFonts w:hint="eastAsia" w:ascii="仿宋_GB2312" w:hAnsi="仿宋_GB2312" w:eastAsia="仿宋_GB2312" w:cs="仿宋_GB2312"/>
          <w:color w:val="000000" w:themeColor="text1"/>
          <w:sz w:val="32"/>
          <w:szCs w:val="32"/>
          <w:u w:val="none"/>
          <w14:textFill>
            <w14:solidFill>
              <w14:schemeClr w14:val="tx1"/>
            </w14:solidFill>
          </w14:textFill>
        </w:rPr>
      </w:pPr>
      <w:r>
        <w:rPr>
          <w:rStyle w:val="227"/>
          <w:rFonts w:hint="eastAsia" w:ascii="仿宋_GB2312" w:hAnsi="仿宋_GB2312" w:eastAsia="仿宋_GB2312" w:cs="仿宋_GB2312"/>
          <w:color w:val="000000" w:themeColor="text1"/>
          <w:sz w:val="32"/>
          <w:szCs w:val="32"/>
          <w:u w:val="none"/>
          <w14:textFill>
            <w14:solidFill>
              <w14:schemeClr w14:val="tx1"/>
            </w14:solidFill>
          </w14:textFill>
        </w:rPr>
        <w:t>标准化资助奖励项目得分</w:t>
      </w:r>
      <w:r>
        <w:rPr>
          <w:rStyle w:val="227"/>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94.05</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分，</w:t>
      </w:r>
      <w:r>
        <w:rPr>
          <w:rFonts w:hint="eastAsia" w:ascii="仿宋_GB2312" w:hAnsi="仿宋_GB2312" w:eastAsia="仿宋_GB2312" w:cs="仿宋_GB2312"/>
          <w:color w:val="000000" w:themeColor="text1"/>
          <w:sz w:val="32"/>
          <w:szCs w:val="32"/>
          <w:u w:val="none"/>
          <w14:textFill>
            <w14:solidFill>
              <w14:schemeClr w14:val="tx1"/>
            </w14:solidFill>
          </w14:textFill>
        </w:rPr>
        <w:t>其中“决策”权重20分，得分</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16.25分</w:t>
      </w:r>
      <w:r>
        <w:rPr>
          <w:rFonts w:hint="eastAsia" w:ascii="仿宋_GB2312" w:hAnsi="仿宋_GB2312" w:eastAsia="仿宋_GB2312" w:cs="仿宋_GB2312"/>
          <w:color w:val="000000" w:themeColor="text1"/>
          <w:sz w:val="32"/>
          <w:szCs w:val="32"/>
          <w:u w:val="none"/>
          <w14:textFill>
            <w14:solidFill>
              <w14:schemeClr w14:val="tx1"/>
            </w14:solidFill>
          </w14:textFill>
        </w:rPr>
        <w:t>，得分率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81.25</w:t>
      </w:r>
      <w:r>
        <w:rPr>
          <w:rFonts w:hint="eastAsia" w:ascii="仿宋_GB2312" w:hAnsi="仿宋_GB2312" w:eastAsia="仿宋_GB2312" w:cs="仿宋_GB2312"/>
          <w:color w:val="000000" w:themeColor="text1"/>
          <w:sz w:val="32"/>
          <w:szCs w:val="32"/>
          <w:u w:val="none"/>
          <w14:textFill>
            <w14:solidFill>
              <w14:schemeClr w14:val="tx1"/>
            </w14:solidFill>
          </w14:textFill>
        </w:rPr>
        <w:t>%；“过程”权重20分，得分</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17.8分</w:t>
      </w:r>
      <w:r>
        <w:rPr>
          <w:rFonts w:hint="eastAsia" w:ascii="仿宋_GB2312" w:hAnsi="仿宋_GB2312" w:eastAsia="仿宋_GB2312" w:cs="仿宋_GB2312"/>
          <w:color w:val="000000" w:themeColor="text1"/>
          <w:sz w:val="32"/>
          <w:szCs w:val="32"/>
          <w:u w:val="none"/>
          <w14:textFill>
            <w14:solidFill>
              <w14:schemeClr w14:val="tx1"/>
            </w14:solidFill>
          </w14:textFill>
        </w:rPr>
        <w:t>，得分率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89</w:t>
      </w:r>
      <w:r>
        <w:rPr>
          <w:rFonts w:hint="eastAsia" w:ascii="仿宋_GB2312" w:hAnsi="仿宋_GB2312" w:eastAsia="仿宋_GB2312" w:cs="仿宋_GB2312"/>
          <w:color w:val="000000" w:themeColor="text1"/>
          <w:sz w:val="32"/>
          <w:szCs w:val="32"/>
          <w:u w:val="none"/>
          <w14:textFill>
            <w14:solidFill>
              <w14:schemeClr w14:val="tx1"/>
            </w14:solidFill>
          </w14:textFill>
        </w:rPr>
        <w:t>%；“产出”权重25分，得分</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25分</w:t>
      </w:r>
      <w:r>
        <w:rPr>
          <w:rFonts w:hint="eastAsia" w:ascii="仿宋_GB2312" w:hAnsi="仿宋_GB2312" w:eastAsia="仿宋_GB2312" w:cs="仿宋_GB2312"/>
          <w:color w:val="000000" w:themeColor="text1"/>
          <w:sz w:val="32"/>
          <w:szCs w:val="32"/>
          <w:u w:val="none"/>
          <w14:textFill>
            <w14:solidFill>
              <w14:schemeClr w14:val="tx1"/>
            </w14:solidFill>
          </w14:textFill>
        </w:rPr>
        <w:t>，得分率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u w:val="none"/>
          <w14:textFill>
            <w14:solidFill>
              <w14:schemeClr w14:val="tx1"/>
            </w14:solidFill>
          </w14:textFill>
        </w:rPr>
        <w:t>%；“效益”权重35分，得分</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35</w:t>
      </w:r>
      <w:r>
        <w:rPr>
          <w:rFonts w:hint="eastAsia" w:ascii="仿宋_GB2312" w:hAnsi="仿宋_GB2312" w:eastAsia="仿宋_GB2312" w:cs="仿宋_GB2312"/>
          <w:color w:val="000000" w:themeColor="text1"/>
          <w:sz w:val="32"/>
          <w:szCs w:val="32"/>
          <w:u w:val="none"/>
          <w14:textFill>
            <w14:solidFill>
              <w14:schemeClr w14:val="tx1"/>
            </w14:solidFill>
          </w14:textFill>
        </w:rPr>
        <w:t>，得分率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spacing w:line="600" w:lineRule="exact"/>
        <w:ind w:firstLine="560"/>
        <w:rPr>
          <w:rFonts w:ascii="仿宋_GB2312" w:hAnsi="仿宋_GB2312" w:eastAsia="仿宋_GB2312" w:cs="仿宋_GB2312"/>
          <w:color w:val="000000" w:themeColor="text1"/>
          <w:sz w:val="32"/>
          <w:szCs w:val="32"/>
          <w:u w:val="none"/>
          <w14:textFill>
            <w14:solidFill>
              <w14:schemeClr w14:val="tx1"/>
            </w14:solidFill>
          </w14:textFill>
        </w:rPr>
      </w:pPr>
      <w:r>
        <w:rPr>
          <w:rStyle w:val="227"/>
          <w:rFonts w:hint="eastAsia" w:ascii="仿宋_GB2312" w:hAnsi="仿宋_GB2312" w:eastAsia="仿宋_GB2312" w:cs="仿宋_GB2312"/>
          <w:color w:val="000000" w:themeColor="text1"/>
          <w:sz w:val="32"/>
          <w:szCs w:val="32"/>
          <w:u w:val="none"/>
          <w14:textFill>
            <w14:solidFill>
              <w14:schemeClr w14:val="tx1"/>
            </w14:solidFill>
          </w14:textFill>
        </w:rPr>
        <w:t>质量发展项目得分</w:t>
      </w:r>
      <w:r>
        <w:rPr>
          <w:rStyle w:val="227"/>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92.4</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分，</w:t>
      </w:r>
      <w:r>
        <w:rPr>
          <w:rFonts w:hint="eastAsia" w:ascii="仿宋_GB2312" w:hAnsi="仿宋_GB2312" w:eastAsia="仿宋_GB2312" w:cs="仿宋_GB2312"/>
          <w:color w:val="000000" w:themeColor="text1"/>
          <w:sz w:val="32"/>
          <w:szCs w:val="32"/>
          <w:u w:val="none"/>
          <w14:textFill>
            <w14:solidFill>
              <w14:schemeClr w14:val="tx1"/>
            </w14:solidFill>
          </w14:textFill>
        </w:rPr>
        <w:t>其中“决策”权重20分，得分</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17.2分</w:t>
      </w:r>
      <w:r>
        <w:rPr>
          <w:rFonts w:hint="eastAsia" w:ascii="仿宋_GB2312" w:hAnsi="仿宋_GB2312" w:eastAsia="仿宋_GB2312" w:cs="仿宋_GB2312"/>
          <w:color w:val="000000" w:themeColor="text1"/>
          <w:sz w:val="32"/>
          <w:szCs w:val="32"/>
          <w:u w:val="none"/>
          <w14:textFill>
            <w14:solidFill>
              <w14:schemeClr w14:val="tx1"/>
            </w14:solidFill>
          </w14:textFill>
        </w:rPr>
        <w:t>，得分率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86</w:t>
      </w:r>
      <w:r>
        <w:rPr>
          <w:rFonts w:hint="eastAsia" w:ascii="仿宋_GB2312" w:hAnsi="仿宋_GB2312" w:eastAsia="仿宋_GB2312" w:cs="仿宋_GB2312"/>
          <w:color w:val="000000" w:themeColor="text1"/>
          <w:sz w:val="32"/>
          <w:szCs w:val="32"/>
          <w:u w:val="none"/>
          <w14:textFill>
            <w14:solidFill>
              <w14:schemeClr w14:val="tx1"/>
            </w14:solidFill>
          </w14:textFill>
        </w:rPr>
        <w:t>%；“过程”权重20分，得分</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15.2分</w:t>
      </w:r>
      <w:r>
        <w:rPr>
          <w:rFonts w:hint="eastAsia" w:ascii="仿宋_GB2312" w:hAnsi="仿宋_GB2312" w:eastAsia="仿宋_GB2312" w:cs="仿宋_GB2312"/>
          <w:color w:val="000000" w:themeColor="text1"/>
          <w:sz w:val="32"/>
          <w:szCs w:val="32"/>
          <w:u w:val="none"/>
          <w14:textFill>
            <w14:solidFill>
              <w14:schemeClr w14:val="tx1"/>
            </w14:solidFill>
          </w14:textFill>
        </w:rPr>
        <w:t>，得分率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76</w:t>
      </w:r>
      <w:r>
        <w:rPr>
          <w:rFonts w:hint="eastAsia" w:ascii="仿宋_GB2312" w:hAnsi="仿宋_GB2312" w:eastAsia="仿宋_GB2312" w:cs="仿宋_GB2312"/>
          <w:color w:val="000000" w:themeColor="text1"/>
          <w:sz w:val="32"/>
          <w:szCs w:val="32"/>
          <w:u w:val="none"/>
          <w14:textFill>
            <w14:solidFill>
              <w14:schemeClr w14:val="tx1"/>
            </w14:solidFill>
          </w14:textFill>
        </w:rPr>
        <w:t>%；“产出”权重25分，得分</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25分</w:t>
      </w:r>
      <w:r>
        <w:rPr>
          <w:rFonts w:hint="eastAsia" w:ascii="仿宋_GB2312" w:hAnsi="仿宋_GB2312" w:eastAsia="仿宋_GB2312" w:cs="仿宋_GB2312"/>
          <w:color w:val="000000" w:themeColor="text1"/>
          <w:sz w:val="32"/>
          <w:szCs w:val="32"/>
          <w:u w:val="none"/>
          <w14:textFill>
            <w14:solidFill>
              <w14:schemeClr w14:val="tx1"/>
            </w14:solidFill>
          </w14:textFill>
        </w:rPr>
        <w:t>，得分率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u w:val="none"/>
          <w14:textFill>
            <w14:solidFill>
              <w14:schemeClr w14:val="tx1"/>
            </w14:solidFill>
          </w14:textFill>
        </w:rPr>
        <w:t>%；“效益”权重35分，得分</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35</w:t>
      </w:r>
      <w:r>
        <w:rPr>
          <w:rFonts w:hint="eastAsia" w:ascii="仿宋_GB2312" w:hAnsi="仿宋_GB2312" w:eastAsia="仿宋_GB2312" w:cs="仿宋_GB2312"/>
          <w:color w:val="000000" w:themeColor="text1"/>
          <w:sz w:val="32"/>
          <w:szCs w:val="32"/>
          <w:u w:val="none"/>
          <w14:textFill>
            <w14:solidFill>
              <w14:schemeClr w14:val="tx1"/>
            </w14:solidFill>
          </w14:textFill>
        </w:rPr>
        <w:t>，得分率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spacing w:line="600" w:lineRule="exact"/>
        <w:ind w:firstLine="560"/>
        <w:rPr>
          <w:rStyle w:val="227"/>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产品质量计量监督抽查得分</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9</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分。</w:t>
      </w:r>
      <w:r>
        <w:rPr>
          <w:rFonts w:hint="eastAsia" w:ascii="仿宋_GB2312" w:hAnsi="仿宋_GB2312" w:eastAsia="仿宋_GB2312" w:cs="仿宋_GB2312"/>
          <w:color w:val="000000" w:themeColor="text1"/>
          <w:sz w:val="32"/>
          <w:szCs w:val="32"/>
          <w:u w:val="none"/>
          <w14:textFill>
            <w14:solidFill>
              <w14:schemeClr w14:val="tx1"/>
            </w14:solidFill>
          </w14:textFill>
        </w:rPr>
        <w:t>其中“决策”权重20分，得</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16分</w:t>
      </w:r>
      <w:r>
        <w:rPr>
          <w:rFonts w:hint="eastAsia" w:ascii="仿宋_GB2312" w:hAnsi="仿宋_GB2312" w:eastAsia="仿宋_GB2312" w:cs="仿宋_GB2312"/>
          <w:color w:val="000000" w:themeColor="text1"/>
          <w:sz w:val="32"/>
          <w:szCs w:val="32"/>
          <w:u w:val="none"/>
          <w14:textFill>
            <w14:solidFill>
              <w14:schemeClr w14:val="tx1"/>
            </w14:solidFill>
          </w14:textFill>
        </w:rPr>
        <w:t>，得分率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80</w:t>
      </w:r>
      <w:r>
        <w:rPr>
          <w:rFonts w:hint="eastAsia" w:ascii="仿宋_GB2312" w:hAnsi="仿宋_GB2312" w:eastAsia="仿宋_GB2312" w:cs="仿宋_GB2312"/>
          <w:color w:val="000000" w:themeColor="text1"/>
          <w:sz w:val="32"/>
          <w:szCs w:val="32"/>
          <w:u w:val="none"/>
          <w14:textFill>
            <w14:solidFill>
              <w14:schemeClr w14:val="tx1"/>
            </w14:solidFill>
          </w14:textFill>
        </w:rPr>
        <w:t>%；“过程”权重20分，得</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u w:val="none"/>
          <w14:textFill>
            <w14:solidFill>
              <w14:schemeClr w14:val="tx1"/>
            </w14:solidFill>
          </w14:textFill>
        </w:rPr>
        <w:t>分，得分率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80</w:t>
      </w:r>
      <w:r>
        <w:rPr>
          <w:rFonts w:hint="eastAsia" w:ascii="仿宋_GB2312" w:hAnsi="仿宋_GB2312" w:eastAsia="仿宋_GB2312" w:cs="仿宋_GB2312"/>
          <w:color w:val="000000" w:themeColor="text1"/>
          <w:sz w:val="32"/>
          <w:szCs w:val="32"/>
          <w:u w:val="none"/>
          <w14:textFill>
            <w14:solidFill>
              <w14:schemeClr w14:val="tx1"/>
            </w14:solidFill>
          </w14:textFill>
        </w:rPr>
        <w:t>%；“产出”权重25分，得</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u w:val="none"/>
          <w14:textFill>
            <w14:solidFill>
              <w14:schemeClr w14:val="tx1"/>
            </w14:solidFill>
          </w14:textFill>
        </w:rPr>
        <w:t>分，得分率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u w:val="none"/>
          <w14:textFill>
            <w14:solidFill>
              <w14:schemeClr w14:val="tx1"/>
            </w14:solidFill>
          </w14:textFill>
        </w:rPr>
        <w:t>%；“效益”权重35分，得</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35</w:t>
      </w:r>
      <w:r>
        <w:rPr>
          <w:rFonts w:hint="eastAsia" w:ascii="仿宋_GB2312" w:hAnsi="仿宋_GB2312" w:eastAsia="仿宋_GB2312" w:cs="仿宋_GB2312"/>
          <w:color w:val="000000" w:themeColor="text1"/>
          <w:sz w:val="32"/>
          <w:szCs w:val="32"/>
          <w:u w:val="none"/>
          <w14:textFill>
            <w14:solidFill>
              <w14:schemeClr w14:val="tx1"/>
            </w14:solidFill>
          </w14:textFill>
        </w:rPr>
        <w:t>分，得分率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spacing w:line="600" w:lineRule="exact"/>
        <w:ind w:firstLine="560"/>
        <w:rPr>
          <w:rStyle w:val="227"/>
          <w:rFonts w:ascii="黑体" w:hAnsi="黑体" w:eastAsia="黑体" w:cs="黑体"/>
          <w:color w:val="000000" w:themeColor="text1"/>
          <w:sz w:val="32"/>
          <w:szCs w:val="32"/>
          <w14:textFill>
            <w14:solidFill>
              <w14:schemeClr w14:val="tx1"/>
            </w14:solidFill>
          </w14:textFill>
        </w:rPr>
      </w:pPr>
      <w:r>
        <w:rPr>
          <w:rStyle w:val="227"/>
          <w:rFonts w:hint="eastAsia" w:ascii="黑体" w:hAnsi="黑体" w:eastAsia="黑体" w:cs="黑体"/>
          <w:color w:val="000000" w:themeColor="text1"/>
          <w:sz w:val="32"/>
          <w:szCs w:val="32"/>
          <w14:textFill>
            <w14:solidFill>
              <w14:schemeClr w14:val="tx1"/>
            </w14:solidFill>
          </w14:textFill>
        </w:rPr>
        <w:t>四、绩效评价指标分析</w:t>
      </w:r>
    </w:p>
    <w:p>
      <w:pPr>
        <w:spacing w:line="600" w:lineRule="exact"/>
        <w:ind w:firstLine="560"/>
        <w:rPr>
          <w:rStyle w:val="227"/>
          <w:rFonts w:ascii="楷体_GB2312" w:hAnsi="楷体_GB2312" w:eastAsia="楷体_GB2312" w:cs="楷体_GB2312"/>
          <w:color w:val="000000" w:themeColor="text1"/>
          <w:sz w:val="32"/>
          <w:szCs w:val="32"/>
          <w14:textFill>
            <w14:solidFill>
              <w14:schemeClr w14:val="tx1"/>
            </w14:solidFill>
          </w14:textFill>
        </w:rPr>
      </w:pPr>
      <w:r>
        <w:rPr>
          <w:rStyle w:val="227"/>
          <w:rFonts w:hint="eastAsia" w:ascii="楷体_GB2312" w:hAnsi="楷体_GB2312" w:eastAsia="楷体_GB2312" w:cs="楷体_GB2312"/>
          <w:color w:val="000000" w:themeColor="text1"/>
          <w:sz w:val="32"/>
          <w:szCs w:val="32"/>
          <w14:textFill>
            <w14:solidFill>
              <w14:schemeClr w14:val="tx1"/>
            </w14:solidFill>
          </w14:textFill>
        </w:rPr>
        <w:t>（一）项目决策情况</w:t>
      </w:r>
    </w:p>
    <w:p>
      <w:pPr>
        <w:pStyle w:val="142"/>
        <w:ind w:firstLine="628"/>
        <w:rPr>
          <w:rStyle w:val="227"/>
          <w:rFonts w:hint="eastAsia" w:ascii="仿宋_GB2312" w:hAnsi="仿宋_GB2312" w:eastAsia="仿宋_GB2312" w:cs="仿宋_GB2312"/>
          <w:color w:val="000000" w:themeColor="text1"/>
          <w:sz w:val="32"/>
          <w:szCs w:val="32"/>
          <w:u w:val="none"/>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1.立项依据充分性</w:t>
      </w:r>
      <w:r>
        <w:rPr>
          <w:rStyle w:val="227"/>
          <w:rFonts w:hint="eastAsia" w:eastAsia="仿宋"/>
          <w:color w:val="000000" w:themeColor="text1"/>
          <w:sz w:val="32"/>
          <w:szCs w:val="32"/>
          <w14:textFill>
            <w14:solidFill>
              <w14:schemeClr w14:val="tx1"/>
            </w14:solidFill>
          </w14:textFill>
        </w:rPr>
        <w:t>。</w:t>
      </w:r>
      <w:r>
        <w:rPr>
          <w:rStyle w:val="227"/>
          <w:rFonts w:hint="eastAsia" w:ascii="仿宋_GB2312" w:hAnsi="仿宋_GB2312" w:eastAsia="仿宋_GB2312" w:cs="仿宋_GB2312"/>
          <w:color w:val="000000" w:themeColor="text1"/>
          <w:sz w:val="32"/>
          <w:szCs w:val="32"/>
          <w14:textFill>
            <w14:solidFill>
              <w14:schemeClr w14:val="tx1"/>
            </w14:solidFill>
          </w14:textFill>
        </w:rPr>
        <w:t>标准化奖励符合《青岛市“标准化+”发展规划》(2016-2020年）（青政办发〔2017〕14号），质量发展专项资金符合本市质量强市战略，产品质量计量监督专项符合市市场监督局部门职责，且该三个子项皆未与其他项目重复。项目立项符合国家法律法规、国民经济发展规划和相关政策，符合行业发展规划和政策要求，与部门职责范围相符，属于部门履职所需，属于公共财政支持范围，符合中央、地方事权支出责任划分原则，项目与相关部门同类项目或部门内部相关项目不重复。</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该项指标得满分3分。</w:t>
      </w:r>
    </w:p>
    <w:p>
      <w:pPr>
        <w:spacing w:line="600" w:lineRule="exact"/>
        <w:ind w:firstLine="626" w:firstLineChars="200"/>
        <w:rPr>
          <w:rStyle w:val="227"/>
          <w:rFonts w:hint="eastAsia" w:ascii="仿宋_GB2312" w:hAnsi="仿宋_GB2312" w:eastAsia="仿宋_GB2312" w:cs="仿宋_GB2312"/>
          <w:color w:val="000000" w:themeColor="text1"/>
          <w:sz w:val="32"/>
          <w:szCs w:val="32"/>
          <w:u w:val="none"/>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2.立项程序规范性。</w:t>
      </w:r>
      <w:r>
        <w:rPr>
          <w:rStyle w:val="227"/>
          <w:rFonts w:hint="eastAsia" w:ascii="仿宋_GB2312" w:hAnsi="仿宋_GB2312" w:eastAsia="仿宋_GB2312" w:cs="仿宋_GB2312"/>
          <w:color w:val="000000" w:themeColor="text1"/>
          <w:sz w:val="32"/>
          <w:szCs w:val="32"/>
          <w14:textFill>
            <w14:solidFill>
              <w14:schemeClr w14:val="tx1"/>
            </w14:solidFill>
          </w14:textFill>
        </w:rPr>
        <w:t>项目按照规定的程序申请设立，所提交的文件、材料符合相关要求，事前已经过必要的可行性研究、专家论证、集体决策等程序。</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该项指标得满分3分。</w:t>
      </w:r>
    </w:p>
    <w:p>
      <w:pPr>
        <w:spacing w:line="600" w:lineRule="exact"/>
        <w:ind w:firstLine="626" w:firstLineChars="200"/>
        <w:rPr>
          <w:rStyle w:val="227"/>
          <w:rFonts w:hint="eastAsia" w:ascii="仿宋_GB2312" w:hAnsi="仿宋_GB2312" w:eastAsia="仿宋_GB2312" w:cs="仿宋_GB2312"/>
          <w:color w:val="000000" w:themeColor="text1"/>
          <w:sz w:val="32"/>
          <w:szCs w:val="32"/>
          <w:u w:val="single"/>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3.绩效目标合理性</w:t>
      </w:r>
      <w:r>
        <w:rPr>
          <w:rStyle w:val="227"/>
          <w:rFonts w:hint="eastAsia" w:ascii="仿宋_GB2312" w:hAnsi="仿宋_GB2312" w:eastAsia="仿宋_GB2312" w:cs="仿宋_GB2312"/>
          <w:color w:val="000000" w:themeColor="text1"/>
          <w:sz w:val="32"/>
          <w:szCs w:val="32"/>
          <w14:textFill>
            <w14:solidFill>
              <w14:schemeClr w14:val="tx1"/>
            </w14:solidFill>
          </w14:textFill>
        </w:rPr>
        <w:t>。该项目有绩效目标，且绩效目标与实际工作内容相关，项目预期产出效益和效果符合正常的业绩水平</w:t>
      </w:r>
      <w:r>
        <w:rPr>
          <w:rStyle w:val="227"/>
          <w:rFonts w:hint="eastAsia" w:ascii="仿宋_GB2312" w:hAnsi="仿宋_GB2312" w:eastAsia="仿宋_GB2312" w:cs="仿宋_GB2312"/>
          <w:color w:val="000000" w:themeColor="text1"/>
          <w:sz w:val="32"/>
          <w:szCs w:val="32"/>
          <w:lang w:eastAsia="zh-CN"/>
          <w14:textFill>
            <w14:solidFill>
              <w14:schemeClr w14:val="tx1"/>
            </w14:solidFill>
          </w14:textFill>
        </w:rPr>
        <w:t>；标准化资助奖励资金已实施</w:t>
      </w:r>
      <w:r>
        <w:rPr>
          <w:rStyle w:val="227"/>
          <w:rFonts w:hint="eastAsia" w:ascii="仿宋_GB2312" w:hAnsi="仿宋_GB2312" w:eastAsia="仿宋_GB2312" w:cs="仿宋_GB2312"/>
          <w:color w:val="000000" w:themeColor="text1"/>
          <w:sz w:val="32"/>
          <w:szCs w:val="32"/>
          <w:lang w:val="en-US" w:eastAsia="zh-CN"/>
          <w14:textFill>
            <w14:solidFill>
              <w14:schemeClr w14:val="tx1"/>
            </w14:solidFill>
          </w14:textFill>
        </w:rPr>
        <w:t>10年，每年申报票数量与类别不断增加，预算资金限制，每个项目资助奖励金额减少，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标准项目奖励金额已不足最高应奖励数的四分之一，</w:t>
      </w:r>
      <w:r>
        <w:rPr>
          <w:rStyle w:val="227"/>
          <w:rFonts w:hint="eastAsia" w:ascii="仿宋_GB2312" w:hAnsi="仿宋_GB2312" w:eastAsia="仿宋_GB2312" w:cs="仿宋_GB2312"/>
          <w:color w:val="000000" w:themeColor="text1"/>
          <w:sz w:val="32"/>
          <w:szCs w:val="32"/>
          <w14:textFill>
            <w14:solidFill>
              <w14:schemeClr w14:val="tx1"/>
            </w14:solidFill>
          </w14:textFill>
        </w:rPr>
        <w:t>绩效目标与预算确定的项目资金量</w:t>
      </w:r>
      <w:r>
        <w:rPr>
          <w:rStyle w:val="227"/>
          <w:rFonts w:hint="eastAsia" w:ascii="仿宋_GB2312" w:hAnsi="仿宋_GB2312" w:eastAsia="仿宋_GB2312" w:cs="仿宋_GB2312"/>
          <w:color w:val="000000" w:themeColor="text1"/>
          <w:sz w:val="32"/>
          <w:szCs w:val="32"/>
          <w:lang w:eastAsia="zh-CN"/>
          <w14:textFill>
            <w14:solidFill>
              <w14:schemeClr w14:val="tx1"/>
            </w14:solidFill>
          </w14:textFill>
        </w:rPr>
        <w:t>不充分</w:t>
      </w:r>
      <w:r>
        <w:rPr>
          <w:rStyle w:val="227"/>
          <w:rFonts w:hint="eastAsia" w:ascii="仿宋_GB2312" w:hAnsi="仿宋_GB2312" w:eastAsia="仿宋_GB2312" w:cs="仿宋_GB2312"/>
          <w:color w:val="000000" w:themeColor="text1"/>
          <w:sz w:val="32"/>
          <w:szCs w:val="32"/>
          <w14:textFill>
            <w14:solidFill>
              <w14:schemeClr w14:val="tx1"/>
            </w14:solidFill>
          </w14:textFill>
        </w:rPr>
        <w:t>相匹配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Style w:val="227"/>
          <w:rFonts w:hint="eastAsia" w:ascii="仿宋_GB2312" w:hAnsi="仿宋_GB2312" w:eastAsia="仿宋_GB2312" w:cs="仿宋_GB2312"/>
          <w:color w:val="000000" w:themeColor="text1"/>
          <w:sz w:val="32"/>
          <w:szCs w:val="32"/>
          <w:lang w:eastAsia="zh-CN"/>
          <w14:textFill>
            <w14:solidFill>
              <w14:schemeClr w14:val="tx1"/>
            </w14:solidFill>
          </w14:textFill>
        </w:rPr>
        <w:t>扣</w:t>
      </w:r>
      <w:r>
        <w:rPr>
          <w:rStyle w:val="227"/>
          <w:rFonts w:hint="eastAsia" w:ascii="仿宋_GB2312" w:hAnsi="仿宋_GB2312" w:eastAsia="仿宋_GB2312" w:cs="仿宋_GB2312"/>
          <w:color w:val="000000" w:themeColor="text1"/>
          <w:sz w:val="32"/>
          <w:szCs w:val="32"/>
          <w:lang w:val="en-US" w:eastAsia="zh-CN"/>
          <w14:textFill>
            <w14:solidFill>
              <w14:schemeClr w14:val="tx1"/>
            </w14:solidFill>
          </w14:textFill>
        </w:rPr>
        <w:t>0.83分，</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该项指标得</w:t>
      </w:r>
      <w:r>
        <w:rPr>
          <w:rStyle w:val="227"/>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2.17</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分。</w:t>
      </w:r>
    </w:p>
    <w:p>
      <w:pPr>
        <w:spacing w:line="600" w:lineRule="exact"/>
        <w:ind w:firstLine="626" w:firstLineChars="200"/>
        <w:rPr>
          <w:rStyle w:val="227"/>
          <w:rFonts w:eastAsia="仿宋"/>
          <w:color w:val="000000" w:themeColor="text1"/>
          <w:sz w:val="32"/>
          <w:szCs w:val="32"/>
          <w:u w:val="none"/>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4.绩效指标明确性。</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该项目已将绩效目标细化分解为具体的绩效指标，细化指标值清晰、可衡量并与项目年度任务数相对应</w:t>
      </w:r>
      <w:r>
        <w:rPr>
          <w:rStyle w:val="227"/>
          <w:rFonts w:hint="eastAsia" w:ascii="仿宋_GB2312" w:hAnsi="仿宋_GB2312" w:eastAsia="仿宋_GB2312" w:cs="仿宋_GB2312"/>
          <w:color w:val="000000" w:themeColor="text1"/>
          <w:sz w:val="32"/>
          <w:szCs w:val="32"/>
          <w:u w:val="none"/>
          <w:lang w:eastAsia="zh-CN"/>
          <w14:textFill>
            <w14:solidFill>
              <w14:schemeClr w14:val="tx1"/>
            </w14:solidFill>
          </w14:textFill>
        </w:rPr>
        <w:t>，部分指标细化不够清晰明，扣</w:t>
      </w:r>
      <w:r>
        <w:rPr>
          <w:rStyle w:val="227"/>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1分，</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该项指标得分</w:t>
      </w:r>
      <w:r>
        <w:rPr>
          <w:rStyle w:val="227"/>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分</w:t>
      </w:r>
      <w:r>
        <w:rPr>
          <w:rStyle w:val="227"/>
          <w:rFonts w:hint="eastAsia" w:eastAsia="仿宋"/>
          <w:color w:val="000000" w:themeColor="text1"/>
          <w:sz w:val="32"/>
          <w:szCs w:val="32"/>
          <w:u w:val="none"/>
          <w14:textFill>
            <w14:solidFill>
              <w14:schemeClr w14:val="tx1"/>
            </w14:solidFill>
          </w14:textFill>
        </w:rPr>
        <w:t>。</w:t>
      </w:r>
    </w:p>
    <w:p>
      <w:pPr>
        <w:spacing w:line="600" w:lineRule="exact"/>
        <w:ind w:firstLine="626" w:firstLineChars="200"/>
        <w:rPr>
          <w:rStyle w:val="227"/>
          <w:rFonts w:hint="eastAsia" w:ascii="仿宋_GB2312" w:hAnsi="仿宋_GB2312" w:eastAsia="仿宋_GB2312" w:cs="仿宋_GB2312"/>
          <w:color w:val="000000" w:themeColor="text1"/>
          <w:sz w:val="32"/>
          <w:szCs w:val="32"/>
          <w:u w:val="none"/>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5.预算编制科学性</w:t>
      </w:r>
      <w:r>
        <w:rPr>
          <w:rStyle w:val="227"/>
          <w:rFonts w:hint="eastAsia" w:ascii="仿宋_GB2312" w:hAnsi="仿宋_GB2312" w:eastAsia="仿宋_GB2312" w:cs="仿宋_GB2312"/>
          <w:color w:val="000000" w:themeColor="text1"/>
          <w:sz w:val="32"/>
          <w:szCs w:val="32"/>
          <w14:textFill>
            <w14:solidFill>
              <w14:schemeClr w14:val="tx1"/>
            </w14:solidFill>
          </w14:textFill>
        </w:rPr>
        <w:t>。</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该项目预算编制经过科学论证，预算内容与项目内容匹配，预算额度测算依据充分，</w:t>
      </w:r>
      <w:r>
        <w:rPr>
          <w:rStyle w:val="227"/>
          <w:rFonts w:hint="eastAsia" w:ascii="仿宋_GB2312" w:hAnsi="仿宋_GB2312" w:eastAsia="仿宋_GB2312" w:cs="仿宋_GB2312"/>
          <w:color w:val="000000" w:themeColor="text1"/>
          <w:sz w:val="32"/>
          <w:szCs w:val="32"/>
          <w:u w:val="none"/>
          <w:lang w:eastAsia="zh-CN"/>
          <w14:textFill>
            <w14:solidFill>
              <w14:schemeClr w14:val="tx1"/>
            </w14:solidFill>
          </w14:textFill>
        </w:rPr>
        <w:t>部分</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预算确定的资金量与工作任务匹配</w:t>
      </w:r>
      <w:r>
        <w:rPr>
          <w:rStyle w:val="227"/>
          <w:rFonts w:hint="eastAsia" w:ascii="仿宋_GB2312" w:hAnsi="仿宋_GB2312" w:eastAsia="仿宋_GB2312" w:cs="仿宋_GB2312"/>
          <w:color w:val="000000" w:themeColor="text1"/>
          <w:sz w:val="32"/>
          <w:szCs w:val="32"/>
          <w:u w:val="none"/>
          <w:lang w:eastAsia="zh-CN"/>
          <w14:textFill>
            <w14:solidFill>
              <w14:schemeClr w14:val="tx1"/>
            </w14:solidFill>
          </w14:textFill>
        </w:rPr>
        <w:t>度不高，扣</w:t>
      </w:r>
      <w:r>
        <w:rPr>
          <w:rStyle w:val="227"/>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0.64分，</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该项指标得3</w:t>
      </w:r>
      <w:r>
        <w:rPr>
          <w:rStyle w:val="227"/>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.36</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分。</w:t>
      </w:r>
    </w:p>
    <w:p>
      <w:pPr>
        <w:spacing w:line="600" w:lineRule="exact"/>
        <w:ind w:firstLine="626"/>
        <w:rPr>
          <w:rStyle w:val="227"/>
          <w:rFonts w:ascii="仿宋_GB2312" w:hAnsi="仿宋_GB2312" w:eastAsia="仿宋_GB2312" w:cs="仿宋_GB2312"/>
          <w:color w:val="000000" w:themeColor="text1"/>
          <w:sz w:val="32"/>
          <w:szCs w:val="32"/>
          <w:u w:val="none"/>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6.资金分配合理性。</w:t>
      </w:r>
      <w:bookmarkStart w:id="7" w:name="_Toc52359438"/>
      <w:r>
        <w:rPr>
          <w:rStyle w:val="227"/>
          <w:rFonts w:hint="eastAsia" w:ascii="仿宋_GB2312" w:hAnsi="仿宋_GB2312" w:eastAsia="仿宋_GB2312" w:cs="仿宋_GB2312"/>
          <w:color w:val="000000" w:themeColor="text1"/>
          <w:sz w:val="32"/>
          <w:szCs w:val="32"/>
          <w14:textFill>
            <w14:solidFill>
              <w14:schemeClr w14:val="tx1"/>
            </w14:solidFill>
          </w14:textFill>
        </w:rPr>
        <w:t>项目资金分配有测算依据，预算安排内容与专项资金的设立目的及年度工作重点的匹配程度判断，</w:t>
      </w:r>
      <w:r>
        <w:rPr>
          <w:rStyle w:val="227"/>
          <w:rFonts w:hint="eastAsia" w:ascii="仿宋_GB2312" w:hAnsi="仿宋_GB2312" w:eastAsia="仿宋_GB2312" w:cs="仿宋_GB2312"/>
          <w:color w:val="000000" w:themeColor="text1"/>
          <w:sz w:val="32"/>
          <w:szCs w:val="32"/>
          <w:lang w:eastAsia="zh-CN"/>
          <w14:textFill>
            <w14:solidFill>
              <w14:schemeClr w14:val="tx1"/>
            </w14:solidFill>
          </w14:textFill>
        </w:rPr>
        <w:t>部分</w:t>
      </w:r>
      <w:r>
        <w:rPr>
          <w:rStyle w:val="227"/>
          <w:rFonts w:hint="eastAsia" w:ascii="仿宋_GB2312" w:hAnsi="仿宋_GB2312" w:eastAsia="仿宋_GB2312" w:cs="仿宋_GB2312"/>
          <w:color w:val="000000" w:themeColor="text1"/>
          <w:sz w:val="32"/>
          <w:szCs w:val="32"/>
          <w14:textFill>
            <w14:solidFill>
              <w14:schemeClr w14:val="tx1"/>
            </w14:solidFill>
          </w14:textFill>
        </w:rPr>
        <w:t>预算确定的资金量与工作任务匹配</w:t>
      </w:r>
      <w:r>
        <w:rPr>
          <w:rStyle w:val="227"/>
          <w:rFonts w:hint="eastAsia" w:ascii="仿宋_GB2312" w:hAnsi="仿宋_GB2312" w:eastAsia="仿宋_GB2312" w:cs="仿宋_GB2312"/>
          <w:color w:val="000000" w:themeColor="text1"/>
          <w:sz w:val="32"/>
          <w:szCs w:val="32"/>
          <w:lang w:eastAsia="zh-CN"/>
          <w14:textFill>
            <w14:solidFill>
              <w14:schemeClr w14:val="tx1"/>
            </w14:solidFill>
          </w14:textFill>
        </w:rPr>
        <w:t>度不高，</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该项指标得</w:t>
      </w:r>
      <w:r>
        <w:rPr>
          <w:rStyle w:val="227"/>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2.7</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分。</w:t>
      </w:r>
    </w:p>
    <w:p>
      <w:pPr>
        <w:pStyle w:val="142"/>
        <w:ind w:firstLine="585"/>
        <w:rPr>
          <w:rStyle w:val="227"/>
          <w:color w:val="000000" w:themeColor="text1"/>
          <w14:textFill>
            <w14:solidFill>
              <w14:schemeClr w14:val="tx1"/>
            </w14:solidFill>
          </w14:textFill>
        </w:rPr>
      </w:pPr>
      <w:r>
        <w:rPr>
          <w:rStyle w:val="227"/>
          <w:rFonts w:hint="eastAsia"/>
          <w:color w:val="000000" w:themeColor="text1"/>
          <w14:textFill>
            <w14:solidFill>
              <w14:schemeClr w14:val="tx1"/>
            </w14:solidFill>
          </w14:textFill>
        </w:rPr>
        <w:t>（二）项目过程情况</w:t>
      </w:r>
    </w:p>
    <w:p>
      <w:pPr>
        <w:spacing w:line="600" w:lineRule="exact"/>
        <w:ind w:firstLine="626" w:firstLineChars="200"/>
        <w:rPr>
          <w:rStyle w:val="227"/>
          <w:rFonts w:ascii="仿宋_GB2312" w:hAnsi="仿宋_GB2312" w:eastAsia="仿宋_GB2312" w:cs="仿宋_GB2312"/>
          <w:color w:val="000000" w:themeColor="text1"/>
          <w:sz w:val="32"/>
          <w:szCs w:val="32"/>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1.</w:t>
      </w:r>
      <w:bookmarkEnd w:id="7"/>
      <w:r>
        <w:rPr>
          <w:rStyle w:val="227"/>
          <w:rFonts w:hint="eastAsia" w:ascii="仿宋_GB2312" w:hAnsi="仿宋_GB2312" w:eastAsia="仿宋_GB2312" w:cs="仿宋_GB2312"/>
          <w:b/>
          <w:bCs/>
          <w:color w:val="000000" w:themeColor="text1"/>
          <w:sz w:val="32"/>
          <w:szCs w:val="32"/>
          <w14:textFill>
            <w14:solidFill>
              <w14:schemeClr w14:val="tx1"/>
            </w14:solidFill>
          </w14:textFill>
        </w:rPr>
        <w:t>资金到位率。</w:t>
      </w:r>
      <w:r>
        <w:rPr>
          <w:rStyle w:val="227"/>
          <w:rFonts w:hint="eastAsia" w:ascii="仿宋_GB2312" w:hAnsi="仿宋_GB2312" w:eastAsia="仿宋_GB2312" w:cs="仿宋_GB2312"/>
          <w:color w:val="000000" w:themeColor="text1"/>
          <w:sz w:val="32"/>
          <w:szCs w:val="32"/>
          <w14:textFill>
            <w14:solidFill>
              <w14:schemeClr w14:val="tx1"/>
            </w14:solidFill>
          </w14:textFill>
        </w:rPr>
        <w:t>2020年质量和标准化发展资金预算2800万元，实际到位2800万元，资金到位率100%。该项指标得满分2分。</w:t>
      </w:r>
    </w:p>
    <w:p>
      <w:pPr>
        <w:spacing w:line="600" w:lineRule="exact"/>
        <w:ind w:firstLine="626" w:firstLineChars="200"/>
        <w:rPr>
          <w:rStyle w:val="227"/>
          <w:rFonts w:ascii="仿宋_GB2312" w:hAnsi="仿宋_GB2312" w:eastAsia="仿宋_GB2312" w:cs="仿宋_GB2312"/>
          <w:color w:val="000000" w:themeColor="text1"/>
          <w:sz w:val="32"/>
          <w:szCs w:val="32"/>
          <w:u w:val="none"/>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2.预算执行率</w:t>
      </w:r>
      <w:r>
        <w:rPr>
          <w:rStyle w:val="227"/>
          <w:rFonts w:hint="eastAsia" w:ascii="仿宋_GB2312" w:hAnsi="仿宋_GB2312" w:eastAsia="仿宋_GB2312" w:cs="仿宋_GB2312"/>
          <w:color w:val="000000" w:themeColor="text1"/>
          <w:sz w:val="32"/>
          <w:szCs w:val="32"/>
          <w14:textFill>
            <w14:solidFill>
              <w14:schemeClr w14:val="tx1"/>
            </w14:solidFill>
          </w14:textFill>
        </w:rPr>
        <w:t>。</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2020年质量和标准化发展资金年度预算2800万元，实际使用2800万元，预算执行率为100%。该项指标得满分2分。</w:t>
      </w:r>
    </w:p>
    <w:p>
      <w:pPr>
        <w:spacing w:line="600" w:lineRule="exact"/>
        <w:ind w:firstLine="626" w:firstLineChars="200"/>
        <w:rPr>
          <w:rStyle w:val="227"/>
          <w:rFonts w:ascii="仿宋_GB2312" w:hAnsi="仿宋_GB2312" w:eastAsia="仿宋_GB2312" w:cs="仿宋_GB2312"/>
          <w:color w:val="000000" w:themeColor="text1"/>
          <w:sz w:val="32"/>
          <w:szCs w:val="32"/>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3.资金使用合规性</w:t>
      </w:r>
      <w:r>
        <w:rPr>
          <w:rStyle w:val="227"/>
          <w:rFonts w:hint="eastAsia" w:ascii="仿宋_GB2312" w:hAnsi="仿宋_GB2312" w:eastAsia="仿宋_GB2312" w:cs="仿宋_GB2312"/>
          <w:color w:val="000000" w:themeColor="text1"/>
          <w:sz w:val="32"/>
          <w:szCs w:val="32"/>
          <w14:textFill>
            <w14:solidFill>
              <w14:schemeClr w14:val="tx1"/>
            </w14:solidFill>
          </w14:textFill>
        </w:rPr>
        <w:t>。该项资金在使用过程中符合国家财经法规和财务管理制度以及有关专项资金管理办法的规定，资金的拨付有完整的审批程序和手续，符合项目预算批复或合同规定的用途，不存在截留、挤占、挪用、虚列支出等情况。该项指标得满分4分。</w:t>
      </w:r>
    </w:p>
    <w:p>
      <w:pPr>
        <w:spacing w:line="600" w:lineRule="exact"/>
        <w:ind w:firstLine="626" w:firstLineChars="200"/>
        <w:rPr>
          <w:rStyle w:val="227"/>
          <w:rFonts w:ascii="仿宋_GB2312" w:hAnsi="仿宋_GB2312" w:eastAsia="仿宋_GB2312" w:cs="仿宋_GB2312"/>
          <w:color w:val="000000" w:themeColor="text1"/>
          <w:sz w:val="32"/>
          <w:szCs w:val="32"/>
          <w:u w:val="none"/>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4.管理制度健全性。</w:t>
      </w:r>
      <w:r>
        <w:rPr>
          <w:rStyle w:val="227"/>
          <w:rFonts w:hint="eastAsia" w:ascii="仿宋_GB2312" w:hAnsi="仿宋_GB2312" w:eastAsia="仿宋_GB2312" w:cs="仿宋_GB2312"/>
          <w:color w:val="000000" w:themeColor="text1"/>
          <w:sz w:val="32"/>
          <w:szCs w:val="32"/>
          <w14:textFill>
            <w14:solidFill>
              <w14:schemeClr w14:val="tx1"/>
            </w14:solidFill>
          </w14:textFill>
        </w:rPr>
        <w:t>该项目已建立基本的业务管理制度，业务管理制度合法、合规。执行中按照局财务管理制度要求，财务管理制度合法、合规、完整。</w:t>
      </w:r>
      <w:r>
        <w:rPr>
          <w:rFonts w:hint="eastAsia" w:ascii="仿宋_GB2312" w:hAnsi="仿宋_GB2312" w:eastAsia="仿宋_GB2312" w:cs="仿宋_GB2312"/>
          <w:color w:val="000000" w:themeColor="text1"/>
          <w:sz w:val="32"/>
          <w:szCs w:val="32"/>
          <w:u w:val="none"/>
          <w14:textFill>
            <w14:solidFill>
              <w14:schemeClr w14:val="tx1"/>
            </w14:solidFill>
          </w14:textFill>
        </w:rPr>
        <w:t>管理办法中缺乏项目资金支持标准且部分办法已使用五年仍未进行修订，与先行管理方式不相匹配。</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该项指标得4.</w:t>
      </w:r>
      <w:r>
        <w:rPr>
          <w:rStyle w:val="227"/>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49</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分。</w:t>
      </w:r>
    </w:p>
    <w:p>
      <w:pPr>
        <w:spacing w:line="600" w:lineRule="exact"/>
        <w:ind w:firstLine="626" w:firstLineChars="200"/>
        <w:rPr>
          <w:rStyle w:val="227"/>
          <w:rFonts w:ascii="仿宋_GB2312" w:hAnsi="仿宋_GB2312" w:eastAsia="仿宋_GB2312" w:cs="仿宋_GB2312"/>
          <w:color w:val="000000" w:themeColor="text1"/>
          <w:sz w:val="32"/>
          <w:szCs w:val="32"/>
          <w:u w:val="none"/>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5.制度执行有效性</w:t>
      </w:r>
      <w:r>
        <w:rPr>
          <w:rStyle w:val="227"/>
          <w:rFonts w:hint="eastAsia" w:ascii="仿宋_GB2312" w:hAnsi="仿宋_GB2312" w:eastAsia="仿宋_GB2312" w:cs="仿宋_GB2312"/>
          <w:color w:val="000000" w:themeColor="text1"/>
          <w:sz w:val="32"/>
          <w:szCs w:val="32"/>
          <w14:textFill>
            <w14:solidFill>
              <w14:schemeClr w14:val="tx1"/>
            </w14:solidFill>
          </w14:textFill>
        </w:rPr>
        <w:t>。该项目遵守相关法律法规和相关管理规定，项目调整及支出调整手续完备，项目合同书、验收报告、技术鉴定等资料齐全并及时归档，项目实施的人员条件、场地设备、信息支撑等落实到位，组织调度、协同推进等相关机制落实到位。</w:t>
      </w:r>
      <w:r>
        <w:rPr>
          <w:rStyle w:val="227"/>
          <w:rFonts w:hint="eastAsia" w:ascii="仿宋_GB2312" w:hAnsi="仿宋_GB2312" w:eastAsia="仿宋_GB2312" w:cs="仿宋_GB2312"/>
          <w:color w:val="000000" w:themeColor="text1"/>
          <w:sz w:val="32"/>
          <w:szCs w:val="32"/>
          <w:lang w:eastAsia="zh-CN"/>
          <w14:textFill>
            <w14:solidFill>
              <w14:schemeClr w14:val="tx1"/>
            </w14:solidFill>
          </w14:textFill>
        </w:rPr>
        <w:t>部分项目在资料归档，实施中存在不及时归档，协同推进相关制度相与对标先进还有差距，</w:t>
      </w:r>
      <w:r>
        <w:rPr>
          <w:rStyle w:val="227"/>
          <w:rFonts w:hint="eastAsia" w:ascii="仿宋_GB2312" w:hAnsi="仿宋_GB2312" w:eastAsia="仿宋_GB2312" w:cs="仿宋_GB2312"/>
          <w:color w:val="000000" w:themeColor="text1"/>
          <w:sz w:val="32"/>
          <w:szCs w:val="32"/>
          <w:u w:val="none"/>
          <w:lang w:eastAsia="zh-CN"/>
          <w14:textFill>
            <w14:solidFill>
              <w14:schemeClr w14:val="tx1"/>
            </w14:solidFill>
          </w14:textFill>
        </w:rPr>
        <w:t>在</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该项指标得分</w:t>
      </w:r>
      <w:r>
        <w:rPr>
          <w:rStyle w:val="227"/>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4.62</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分。</w:t>
      </w:r>
    </w:p>
    <w:p>
      <w:pPr>
        <w:pStyle w:val="142"/>
        <w:ind w:firstLine="625"/>
        <w:rPr>
          <w:rStyle w:val="227"/>
          <w:color w:val="000000" w:themeColor="text1"/>
          <w:sz w:val="32"/>
          <w:szCs w:val="32"/>
          <w14:textFill>
            <w14:solidFill>
              <w14:schemeClr w14:val="tx1"/>
            </w14:solidFill>
          </w14:textFill>
        </w:rPr>
      </w:pPr>
      <w:bookmarkStart w:id="8" w:name="_Toc52359439"/>
      <w:r>
        <w:rPr>
          <w:rStyle w:val="227"/>
          <w:rFonts w:hint="eastAsia"/>
          <w:color w:val="000000" w:themeColor="text1"/>
          <w:sz w:val="32"/>
          <w:szCs w:val="32"/>
          <w14:textFill>
            <w14:solidFill>
              <w14:schemeClr w14:val="tx1"/>
            </w14:solidFill>
          </w14:textFill>
        </w:rPr>
        <w:t>（三）产出方面</w:t>
      </w:r>
      <w:bookmarkEnd w:id="8"/>
    </w:p>
    <w:p>
      <w:pPr>
        <w:spacing w:line="600" w:lineRule="exact"/>
        <w:ind w:firstLine="626" w:firstLineChars="200"/>
        <w:rPr>
          <w:rStyle w:val="227"/>
          <w:rFonts w:ascii="仿宋_GB2312" w:hAnsi="仿宋_GB2312" w:eastAsia="仿宋_GB2312" w:cs="仿宋_GB2312"/>
          <w:color w:val="000000" w:themeColor="text1"/>
          <w:sz w:val="32"/>
          <w:szCs w:val="32"/>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1.实际完成率。</w:t>
      </w:r>
      <w:r>
        <w:rPr>
          <w:rStyle w:val="227"/>
          <w:rFonts w:hint="eastAsia" w:ascii="仿宋_GB2312" w:hAnsi="仿宋_GB2312" w:eastAsia="仿宋_GB2312" w:cs="仿宋_GB2312"/>
          <w:color w:val="000000" w:themeColor="text1"/>
          <w:sz w:val="32"/>
          <w:szCs w:val="32"/>
          <w14:textFill>
            <w14:solidFill>
              <w14:schemeClr w14:val="tx1"/>
            </w14:solidFill>
          </w14:textFill>
        </w:rPr>
        <w:t>项目完成率100%。该项指标得满分5分。</w:t>
      </w:r>
    </w:p>
    <w:p>
      <w:pPr>
        <w:spacing w:line="600" w:lineRule="exact"/>
        <w:ind w:firstLine="626" w:firstLineChars="200"/>
        <w:rPr>
          <w:rStyle w:val="227"/>
          <w:rFonts w:ascii="仿宋_GB2312" w:hAnsi="仿宋_GB2312" w:eastAsia="仿宋_GB2312" w:cs="仿宋_GB2312"/>
          <w:color w:val="000000" w:themeColor="text1"/>
          <w:sz w:val="32"/>
          <w:szCs w:val="32"/>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2.数量变动率。</w:t>
      </w:r>
      <w:r>
        <w:rPr>
          <w:rStyle w:val="227"/>
          <w:rFonts w:hint="eastAsia" w:ascii="仿宋_GB2312" w:hAnsi="仿宋_GB2312" w:eastAsia="仿宋_GB2312" w:cs="仿宋_GB2312"/>
          <w:color w:val="000000" w:themeColor="text1"/>
          <w:sz w:val="32"/>
          <w:szCs w:val="32"/>
          <w14:textFill>
            <w14:solidFill>
              <w14:schemeClr w14:val="tx1"/>
            </w14:solidFill>
          </w14:textFill>
        </w:rPr>
        <w:t>数量变动率为0。该项指标得满分5分。</w:t>
      </w:r>
    </w:p>
    <w:p>
      <w:pPr>
        <w:spacing w:line="600" w:lineRule="exact"/>
        <w:ind w:firstLine="626" w:firstLineChars="200"/>
        <w:rPr>
          <w:rStyle w:val="227"/>
          <w:rFonts w:ascii="仿宋_GB2312" w:hAnsi="仿宋_GB2312" w:eastAsia="仿宋_GB2312" w:cs="仿宋_GB2312"/>
          <w:color w:val="000000" w:themeColor="text1"/>
          <w:sz w:val="32"/>
          <w:szCs w:val="32"/>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3.质量达标率</w:t>
      </w:r>
      <w:r>
        <w:rPr>
          <w:rStyle w:val="227"/>
          <w:rFonts w:hint="eastAsia" w:ascii="仿宋_GB2312" w:hAnsi="仿宋_GB2312" w:eastAsia="仿宋_GB2312" w:cs="仿宋_GB2312"/>
          <w:color w:val="000000" w:themeColor="text1"/>
          <w:sz w:val="32"/>
          <w:szCs w:val="32"/>
          <w14:textFill>
            <w14:solidFill>
              <w14:schemeClr w14:val="tx1"/>
            </w14:solidFill>
          </w14:textFill>
        </w:rPr>
        <w:t>。质量达标率100%。该项指标得满分5分。</w:t>
      </w:r>
    </w:p>
    <w:p>
      <w:pPr>
        <w:spacing w:line="600" w:lineRule="exact"/>
        <w:ind w:firstLine="626" w:firstLineChars="200"/>
        <w:rPr>
          <w:rStyle w:val="227"/>
          <w:rFonts w:ascii="仿宋_GB2312" w:hAnsi="仿宋_GB2312" w:eastAsia="仿宋_GB2312" w:cs="仿宋_GB2312"/>
          <w:color w:val="000000" w:themeColor="text1"/>
          <w:sz w:val="32"/>
          <w:szCs w:val="32"/>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4.完成及时率</w:t>
      </w:r>
      <w:r>
        <w:rPr>
          <w:rStyle w:val="227"/>
          <w:rFonts w:hint="eastAsia" w:ascii="仿宋_GB2312" w:hAnsi="仿宋_GB2312" w:eastAsia="仿宋_GB2312" w:cs="仿宋_GB2312"/>
          <w:color w:val="000000" w:themeColor="text1"/>
          <w:sz w:val="32"/>
          <w:szCs w:val="32"/>
          <w14:textFill>
            <w14:solidFill>
              <w14:schemeClr w14:val="tx1"/>
            </w14:solidFill>
          </w14:textFill>
        </w:rPr>
        <w:t>。完成及时率100%。该项指标得满分5分。</w:t>
      </w:r>
    </w:p>
    <w:p>
      <w:pPr>
        <w:spacing w:line="600" w:lineRule="exact"/>
        <w:ind w:firstLine="626" w:firstLineChars="200"/>
        <w:rPr>
          <w:rStyle w:val="227"/>
          <w:rFonts w:ascii="仿宋_GB2312" w:hAnsi="仿宋_GB2312" w:eastAsia="仿宋_GB2312" w:cs="仿宋_GB2312"/>
          <w:color w:val="000000" w:themeColor="text1"/>
          <w:sz w:val="32"/>
          <w:szCs w:val="32"/>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5.成本节约率</w:t>
      </w:r>
      <w:r>
        <w:rPr>
          <w:rStyle w:val="227"/>
          <w:rFonts w:hint="eastAsia" w:ascii="仿宋_GB2312" w:hAnsi="仿宋_GB2312" w:eastAsia="仿宋_GB2312" w:cs="仿宋_GB2312"/>
          <w:color w:val="000000" w:themeColor="text1"/>
          <w:sz w:val="32"/>
          <w:szCs w:val="32"/>
          <w14:textFill>
            <w14:solidFill>
              <w14:schemeClr w14:val="tx1"/>
            </w14:solidFill>
          </w14:textFill>
        </w:rPr>
        <w:t>。成本节约率0。该项指标得满分5分。</w:t>
      </w:r>
    </w:p>
    <w:p>
      <w:pPr>
        <w:spacing w:line="600" w:lineRule="exact"/>
        <w:ind w:firstLine="626" w:firstLineChars="200"/>
        <w:rPr>
          <w:rStyle w:val="227"/>
          <w:rFonts w:ascii="仿宋_GB2312" w:hAnsi="仿宋_GB2312" w:eastAsia="仿宋_GB2312" w:cs="仿宋_GB2312"/>
          <w:color w:val="000000" w:themeColor="text1"/>
          <w:sz w:val="32"/>
          <w:szCs w:val="32"/>
          <w14:textFill>
            <w14:solidFill>
              <w14:schemeClr w14:val="tx1"/>
            </w14:solidFill>
          </w14:textFill>
        </w:rPr>
      </w:pPr>
      <w:r>
        <w:rPr>
          <w:rStyle w:val="227"/>
          <w:rFonts w:hint="eastAsia" w:ascii="仿宋_GB2312" w:hAnsi="仿宋_GB2312" w:eastAsia="仿宋_GB2312" w:cs="仿宋_GB2312"/>
          <w:color w:val="000000" w:themeColor="text1"/>
          <w:sz w:val="32"/>
          <w:szCs w:val="32"/>
          <w14:textFill>
            <w14:solidFill>
              <w14:schemeClr w14:val="tx1"/>
            </w14:solidFill>
          </w14:textFill>
        </w:rPr>
        <w:t>（四）效益方面</w:t>
      </w:r>
    </w:p>
    <w:p>
      <w:pPr>
        <w:spacing w:line="600" w:lineRule="exact"/>
        <w:ind w:firstLine="626" w:firstLineChars="200"/>
        <w:rPr>
          <w:rStyle w:val="227"/>
          <w:rFonts w:ascii="仿宋_GB2312" w:hAnsi="仿宋_GB2312" w:eastAsia="仿宋_GB2312" w:cs="仿宋_GB2312"/>
          <w:color w:val="000000" w:themeColor="text1"/>
          <w:sz w:val="32"/>
          <w:szCs w:val="32"/>
          <w:u w:val="none"/>
          <w14:textFill>
            <w14:solidFill>
              <w14:schemeClr w14:val="tx1"/>
            </w14:solidFill>
          </w14:textFill>
        </w:rPr>
      </w:pPr>
      <w:r>
        <w:rPr>
          <w:rStyle w:val="227"/>
          <w:rFonts w:hint="eastAsia" w:ascii="仿宋_GB2312" w:hAnsi="仿宋_GB2312" w:eastAsia="仿宋_GB2312" w:cs="仿宋_GB2312"/>
          <w:b/>
          <w:bCs/>
          <w:color w:val="000000" w:themeColor="text1"/>
          <w:sz w:val="32"/>
          <w:szCs w:val="32"/>
          <w14:textFill>
            <w14:solidFill>
              <w14:schemeClr w14:val="tx1"/>
            </w14:solidFill>
          </w14:textFill>
        </w:rPr>
        <w:t>1.项目效益。</w:t>
      </w:r>
      <w:r>
        <w:rPr>
          <w:rStyle w:val="227"/>
          <w:rFonts w:hint="eastAsia" w:ascii="仿宋_GB2312" w:hAnsi="仿宋_GB2312" w:eastAsia="仿宋_GB2312" w:cs="仿宋_GB2312"/>
          <w:color w:val="000000" w:themeColor="text1"/>
          <w:sz w:val="32"/>
          <w:szCs w:val="32"/>
          <w14:textFill>
            <w14:solidFill>
              <w14:schemeClr w14:val="tx1"/>
            </w14:solidFill>
          </w14:textFill>
        </w:rPr>
        <w:t>各明细项目均完成预期的社会效益和经济效益指标，</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该项指标得</w:t>
      </w:r>
      <w:r>
        <w:rPr>
          <w:rStyle w:val="227"/>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分。</w:t>
      </w:r>
    </w:p>
    <w:p>
      <w:pPr>
        <w:spacing w:line="600" w:lineRule="exact"/>
        <w:ind w:firstLine="626" w:firstLineChars="200"/>
        <w:rPr>
          <w:rStyle w:val="227"/>
          <w:rFonts w:ascii="仿宋_GB2312" w:hAnsi="仿宋_GB2312" w:eastAsia="仿宋_GB2312" w:cs="仿宋_GB2312"/>
          <w:color w:val="000000" w:themeColor="text1"/>
          <w:sz w:val="32"/>
          <w:szCs w:val="32"/>
          <w:u w:val="none"/>
          <w14:textFill>
            <w14:solidFill>
              <w14:schemeClr w14:val="tx1"/>
            </w14:solidFill>
          </w14:textFill>
        </w:rPr>
      </w:pPr>
      <w:r>
        <w:rPr>
          <w:rStyle w:val="227"/>
          <w:rFonts w:hint="eastAsia" w:ascii="仿宋_GB2312" w:hAnsi="仿宋_GB2312" w:eastAsia="仿宋_GB2312" w:cs="仿宋_GB2312"/>
          <w:b/>
          <w:bCs/>
          <w:color w:val="000000" w:themeColor="text1"/>
          <w:sz w:val="32"/>
          <w:szCs w:val="32"/>
          <w:u w:val="none"/>
          <w:lang w:eastAsia="zh-CN"/>
          <w14:textFill>
            <w14:solidFill>
              <w14:schemeClr w14:val="tx1"/>
            </w14:solidFill>
          </w14:textFill>
        </w:rPr>
        <w:t>2</w:t>
      </w:r>
      <w:r>
        <w:rPr>
          <w:rStyle w:val="227"/>
          <w:rFonts w:hint="eastAsia" w:ascii="仿宋_GB2312" w:hAnsi="仿宋_GB2312" w:eastAsia="仿宋_GB2312" w:cs="仿宋_GB2312"/>
          <w:b/>
          <w:bCs/>
          <w:color w:val="000000" w:themeColor="text1"/>
          <w:sz w:val="32"/>
          <w:szCs w:val="32"/>
          <w:u w:val="none"/>
          <w14:textFill>
            <w14:solidFill>
              <w14:schemeClr w14:val="tx1"/>
            </w14:solidFill>
          </w14:textFill>
        </w:rPr>
        <w:t>.政策可持续性。</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项目政策能够使项目后续运行及成效发挥得到可持续发展，该项目得满分1分。</w:t>
      </w:r>
    </w:p>
    <w:p>
      <w:pPr>
        <w:spacing w:line="600" w:lineRule="exact"/>
        <w:ind w:firstLine="626" w:firstLineChars="200"/>
        <w:rPr>
          <w:rStyle w:val="227"/>
          <w:rFonts w:ascii="仿宋_GB2312" w:hAnsi="仿宋_GB2312" w:eastAsia="仿宋_GB2312" w:cs="仿宋_GB2312"/>
          <w:color w:val="000000" w:themeColor="text1"/>
          <w:sz w:val="32"/>
          <w:szCs w:val="32"/>
          <w:u w:val="none"/>
          <w14:textFill>
            <w14:solidFill>
              <w14:schemeClr w14:val="tx1"/>
            </w14:solidFill>
          </w14:textFill>
        </w:rPr>
      </w:pPr>
      <w:r>
        <w:rPr>
          <w:rStyle w:val="227"/>
          <w:rFonts w:hint="eastAsia" w:ascii="仿宋_GB2312" w:hAnsi="仿宋_GB2312" w:eastAsia="仿宋_GB2312" w:cs="仿宋_GB2312"/>
          <w:b/>
          <w:bCs/>
          <w:color w:val="000000" w:themeColor="text1"/>
          <w:sz w:val="32"/>
          <w:szCs w:val="32"/>
          <w:u w:val="none"/>
          <w:lang w:eastAsia="zh-CN"/>
          <w14:textFill>
            <w14:solidFill>
              <w14:schemeClr w14:val="tx1"/>
            </w14:solidFill>
          </w14:textFill>
        </w:rPr>
        <w:t>3</w:t>
      </w:r>
      <w:r>
        <w:rPr>
          <w:rStyle w:val="227"/>
          <w:rFonts w:hint="eastAsia" w:ascii="仿宋_GB2312" w:hAnsi="仿宋_GB2312" w:eastAsia="仿宋_GB2312" w:cs="仿宋_GB2312"/>
          <w:b/>
          <w:bCs/>
          <w:color w:val="000000" w:themeColor="text1"/>
          <w:sz w:val="32"/>
          <w:szCs w:val="32"/>
          <w:u w:val="none"/>
          <w14:textFill>
            <w14:solidFill>
              <w14:schemeClr w14:val="tx1"/>
            </w14:solidFill>
          </w14:textFill>
        </w:rPr>
        <w:t>.项目发展机制可持续性。</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项目运转形成了可持续发展的机制。该项</w:t>
      </w:r>
      <w:r>
        <w:rPr>
          <w:rStyle w:val="227"/>
          <w:rFonts w:hint="eastAsia" w:ascii="仿宋_GB2312" w:hAnsi="仿宋_GB2312" w:eastAsia="仿宋_GB2312" w:cs="仿宋_GB2312"/>
          <w:b/>
          <w:bCs/>
          <w:color w:val="000000" w:themeColor="text1"/>
          <w:sz w:val="32"/>
          <w:szCs w:val="32"/>
          <w:u w:val="none"/>
          <w14:textFill>
            <w14:solidFill>
              <w14:schemeClr w14:val="tx1"/>
            </w14:solidFill>
          </w14:textFill>
        </w:rPr>
        <w:t>目得满分1分</w:t>
      </w:r>
      <w:r>
        <w:rPr>
          <w:rStyle w:val="227"/>
          <w:rFonts w:hint="eastAsia" w:ascii="仿宋_GB2312" w:hAnsi="仿宋_GB2312" w:eastAsia="仿宋_GB2312" w:cs="仿宋_GB2312"/>
          <w:color w:val="000000" w:themeColor="text1"/>
          <w:sz w:val="32"/>
          <w:szCs w:val="32"/>
          <w:u w:val="none"/>
          <w14:textFill>
            <w14:solidFill>
              <w14:schemeClr w14:val="tx1"/>
            </w14:solidFill>
          </w14:textFill>
        </w:rPr>
        <w:t>。</w:t>
      </w:r>
    </w:p>
    <w:p>
      <w:pPr>
        <w:spacing w:line="580" w:lineRule="exact"/>
        <w:ind w:firstLine="626" w:firstLineChars="200"/>
        <w:rPr>
          <w:rFonts w:ascii="Times New Roman" w:hAnsi="Times New Roman" w:eastAsia="楷体_GB2312" w:cs="Times New Roman"/>
          <w:bCs/>
          <w:color w:val="000000" w:themeColor="text1"/>
          <w:sz w:val="30"/>
          <w:szCs w:val="30"/>
          <w14:textFill>
            <w14:solidFill>
              <w14:schemeClr w14:val="tx1"/>
            </w14:solidFill>
          </w14:textFill>
        </w:rPr>
      </w:pPr>
      <w:r>
        <w:rPr>
          <w:rStyle w:val="227"/>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Style w:val="227"/>
          <w:rFonts w:hint="eastAsia" w:ascii="仿宋_GB2312" w:hAnsi="仿宋_GB2312" w:eastAsia="仿宋_GB2312" w:cs="仿宋_GB2312"/>
          <w:b/>
          <w:bCs/>
          <w:color w:val="000000" w:themeColor="text1"/>
          <w:sz w:val="32"/>
          <w:szCs w:val="32"/>
          <w14:textFill>
            <w14:solidFill>
              <w14:schemeClr w14:val="tx1"/>
            </w14:solidFill>
          </w14:textFill>
        </w:rPr>
        <w:t>.社会公众满意度。</w:t>
      </w:r>
      <w:r>
        <w:rPr>
          <w:rStyle w:val="227"/>
          <w:rFonts w:hint="eastAsia" w:ascii="仿宋_GB2312" w:hAnsi="仿宋_GB2312" w:eastAsia="仿宋_GB2312" w:cs="仿宋_GB2312"/>
          <w:color w:val="000000" w:themeColor="text1"/>
          <w:sz w:val="32"/>
          <w:szCs w:val="32"/>
          <w14:textFill>
            <w14:solidFill>
              <w14:schemeClr w14:val="tx1"/>
            </w14:solidFill>
          </w14:textFill>
        </w:rPr>
        <w:t>2020年“三民”</w:t>
      </w:r>
      <w:r>
        <w:rPr>
          <w:rStyle w:val="227"/>
          <w:rFonts w:hint="eastAsia" w:ascii="仿宋_GB2312" w:hAnsi="仿宋_GB2312" w:eastAsia="仿宋_GB2312" w:cs="仿宋_GB2312"/>
          <w:b w:val="0"/>
          <w:bCs w:val="0"/>
          <w:color w:val="000000" w:themeColor="text1"/>
          <w:sz w:val="32"/>
          <w:szCs w:val="32"/>
          <w:u w:val="none"/>
          <w14:textFill>
            <w14:solidFill>
              <w14:schemeClr w14:val="tx1"/>
            </w14:solidFill>
          </w14:textFill>
        </w:rPr>
        <w:t>活动中</w:t>
      </w:r>
      <w:r>
        <w:rPr>
          <w:rStyle w:val="227"/>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消费市场服务</w:t>
      </w:r>
      <w:r>
        <w:rPr>
          <w:rStyle w:val="227"/>
          <w:rFonts w:hint="eastAsia" w:ascii="仿宋_GB2312" w:hAnsi="仿宋_GB2312" w:eastAsia="仿宋_GB2312" w:cs="仿宋_GB2312"/>
          <w:b w:val="0"/>
          <w:bCs w:val="0"/>
          <w:color w:val="000000" w:themeColor="text1"/>
          <w:sz w:val="32"/>
          <w:szCs w:val="32"/>
          <w:u w:val="none"/>
          <w14:textFill>
            <w14:solidFill>
              <w14:schemeClr w14:val="tx1"/>
            </w14:solidFill>
          </w14:textFill>
        </w:rPr>
        <w:t>满意度为</w:t>
      </w:r>
      <w:r>
        <w:rPr>
          <w:rStyle w:val="227"/>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97.26</w:t>
      </w:r>
      <w:r>
        <w:rPr>
          <w:rStyle w:val="227"/>
          <w:rFonts w:hint="eastAsia" w:ascii="仿宋_GB2312" w:hAnsi="仿宋_GB2312" w:eastAsia="仿宋_GB2312" w:cs="仿宋_GB2312"/>
          <w:b w:val="0"/>
          <w:bCs w:val="0"/>
          <w:color w:val="000000" w:themeColor="text1"/>
          <w:sz w:val="32"/>
          <w:szCs w:val="32"/>
          <w:u w:val="none"/>
          <w14:textFill>
            <w14:solidFill>
              <w14:schemeClr w14:val="tx1"/>
            </w14:solidFill>
          </w14:textFill>
        </w:rPr>
        <w:t>%，高于目标值。该项目指标得满分8分。</w:t>
      </w:r>
    </w:p>
    <w:p>
      <w:pPr>
        <w:spacing w:line="580" w:lineRule="exact"/>
        <w:ind w:firstLine="626" w:firstLineChars="200"/>
        <w:outlineLvl w:val="1"/>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五、主要经验及做法</w:t>
      </w:r>
    </w:p>
    <w:p>
      <w:pPr>
        <w:spacing w:line="600" w:lineRule="exact"/>
        <w:ind w:firstLine="586"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楷体_GB2312" w:hAnsi="楷体_GB2312" w:eastAsia="楷体_GB2312" w:cs="楷体_GB2312"/>
          <w:color w:val="000000" w:themeColor="text1"/>
          <w:sz w:val="30"/>
          <w:szCs w:val="30"/>
          <w:lang w:eastAsia="zh-CN"/>
          <w14:textFill>
            <w14:solidFill>
              <w14:schemeClr w14:val="tx1"/>
            </w14:solidFill>
          </w14:textFill>
        </w:rPr>
        <w:t>（一）</w:t>
      </w:r>
      <w:r>
        <w:rPr>
          <w:rFonts w:hint="eastAsia" w:ascii="楷体_GB2312" w:hAnsi="楷体_GB2312" w:eastAsia="楷体_GB2312" w:cs="楷体_GB2312"/>
          <w:color w:val="000000" w:themeColor="text1"/>
          <w:sz w:val="30"/>
          <w:szCs w:val="30"/>
          <w14:textFill>
            <w14:solidFill>
              <w14:schemeClr w14:val="tx1"/>
            </w14:solidFill>
          </w14:textFill>
        </w:rPr>
        <w:t>监督抽查与风险监测相结合，携手守护本市消费环境</w:t>
      </w:r>
    </w:p>
    <w:p>
      <w:pPr>
        <w:spacing w:line="240" w:lineRule="auto"/>
        <w:ind w:firstLine="0" w:firstLineChars="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我局共对1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09</w:t>
      </w:r>
      <w:r>
        <w:rPr>
          <w:rFonts w:hint="eastAsia" w:ascii="仿宋_GB2312" w:hAnsi="仿宋_GB2312" w:eastAsia="仿宋_GB2312" w:cs="仿宋_GB2312"/>
          <w:color w:val="000000" w:themeColor="text1"/>
          <w:sz w:val="32"/>
          <w:szCs w:val="32"/>
          <w14:textFill>
            <w14:solidFill>
              <w14:schemeClr w14:val="tx1"/>
            </w14:solidFill>
          </w14:textFill>
        </w:rPr>
        <w:t>种产品组织开展了市</w:t>
      </w:r>
      <w:r>
        <w:rPr>
          <w:rFonts w:hint="eastAsia" w:ascii="仿宋_GB2312" w:hAnsi="仿宋_GB2312" w:eastAsia="仿宋_GB2312" w:cs="仿宋_GB2312"/>
          <w:color w:val="000000" w:themeColor="text1"/>
          <w:sz w:val="32"/>
          <w:szCs w:val="32"/>
          <w:lang w:eastAsia="zh-CN"/>
          <w14:textFill>
            <w14:solidFill>
              <w14:schemeClr w14:val="tx1"/>
            </w14:solidFill>
          </w14:textFill>
        </w:rPr>
        <w:t>级</w:t>
      </w:r>
      <w:r>
        <w:rPr>
          <w:rFonts w:hint="eastAsia" w:ascii="仿宋_GB2312" w:hAnsi="仿宋_GB2312" w:eastAsia="仿宋_GB2312" w:cs="仿宋_GB2312"/>
          <w:color w:val="000000" w:themeColor="text1"/>
          <w:sz w:val="32"/>
          <w:szCs w:val="32"/>
          <w14:textFill>
            <w14:solidFill>
              <w14:schemeClr w14:val="tx1"/>
            </w14:solidFill>
          </w14:textFill>
        </w:rPr>
        <w:t>监督抽查，共抽查1415家生产企业及经销单位的1597批次产品，不合格75批次，监督抽查查出不合格产品率为4.69%。其中，在</w:t>
      </w:r>
      <w:r>
        <w:rPr>
          <w:rFonts w:hint="eastAsia" w:ascii="仿宋_GB2312" w:hAnsi="仿宋_GB2312" w:eastAsia="仿宋_GB2312" w:cs="仿宋_GB2312"/>
          <w:color w:val="000000" w:themeColor="text1"/>
          <w:sz w:val="32"/>
          <w:szCs w:val="32"/>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14:textFill>
            <w14:solidFill>
              <w14:schemeClr w14:val="tx1"/>
            </w14:solidFill>
          </w14:textFill>
        </w:rPr>
        <w:t>生产领域抽查902家生产企业974批次产品，不合格24批次，监督抽查查出不合格产品率为2.46%；在流通领域抽查513家经销单位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623批次产品，不合格51批次，监督抽查查出不合格产品率为8.19%。</w:t>
      </w:r>
    </w:p>
    <w:p>
      <w:pPr>
        <w:spacing w:line="600" w:lineRule="exact"/>
        <w:ind w:firstLine="626"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市市场监管局通过重点工业产品、计量器具及特种设备监督抽查工作，及时掌握各类动态质量状况，消除了发现的质量问题和安全隐患，一定程度上起到了规范企业生产行为，维护公众身体健康和生命安全，维护公平有序的市场竞争环境的良好作用，为经济社会发展营造公平、公正的消费环境提供基础保障。通过风险监测，及时发现区域性、行业性、系统性及企业存在的质量风险，做到早发现、早预警、早处置，创造了安全放心的消费环境。在监督抽查和风险监测的双重管控下，2020年本市产品质量投问题投诉次数下降率按商品消费和服务消费占总投诉量比重下降近3%，凸显了质量与标准化发展专项资金的社会效益。</w:t>
      </w:r>
    </w:p>
    <w:p>
      <w:pPr>
        <w:spacing w:line="600" w:lineRule="exact"/>
        <w:ind w:firstLine="626" w:firstLineChars="200"/>
        <w:rPr>
          <w:rFonts w:hint="eastAsia" w:ascii="Times New Roman" w:hAnsi="Times New Roman" w:eastAsia="仿宋_GB2312" w:cs="Times New Roman"/>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一是首次按照“双随机、一公开”的要求，组织开展定量包装商品净含量监督抽检，抽检结果通过双随机平台向社会公布。二是明确计量监督抽查范围。紧紧围绕涉及民生和安全生产两大重点领域以及从源头上规范计量器具生产企业的计量行为，加强计量监督抽查，提高监督抽查经费的使用效果。三是科学制定监督抽查方案。根据日常消费者投诉及监督检查情况，在调查摸底和分析的基础上，制定科学、合理的监督抽查方案。四是严格检验程序。承检机构抽调业务工作能力强的技术人员，严格按照抽查方案和检验规则，进行抽样、检验、出具检验报告，保质保量完成检</w:t>
      </w:r>
      <w:r>
        <w:rPr>
          <w:rFonts w:hint="eastAsia" w:ascii="Times New Roman" w:hAnsi="Times New Roman" w:eastAsia="仿宋_GB2312" w:cs="Times New Roman"/>
          <w:color w:val="000000" w:themeColor="text1"/>
          <w:sz w:val="32"/>
          <w:szCs w:val="32"/>
          <w:shd w:val="clear" w:color="auto" w:fill="auto"/>
          <w14:textFill>
            <w14:solidFill>
              <w14:schemeClr w14:val="tx1"/>
            </w14:solidFill>
          </w14:textFill>
        </w:rPr>
        <w:t>验任务。</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26" w:firstLineChars="200"/>
        <w:jc w:val="left"/>
        <w:textAlignment w:val="auto"/>
        <w:rPr>
          <w:rFonts w:hint="eastAsia" w:ascii="楷体_GB2312" w:hAnsi="楷体_GB2312" w:eastAsia="楷体_GB2312" w:cs="楷体_GB2312"/>
          <w:i w:val="0"/>
          <w:color w:val="000000" w:themeColor="text1"/>
          <w:kern w:val="2"/>
          <w:sz w:val="32"/>
          <w:szCs w:val="32"/>
          <w:shd w:val="clear" w:color="auto" w:fill="auto"/>
          <w:lang w:val="en-US" w:eastAsia="zh-CN" w:bidi="zh-CN"/>
          <w14:textFill>
            <w14:solidFill>
              <w14:schemeClr w14:val="tx1"/>
            </w14:solidFill>
          </w14:textFill>
        </w:rPr>
      </w:pPr>
      <w:r>
        <w:rPr>
          <w:rFonts w:hint="eastAsia" w:ascii="楷体_GB2312" w:hAnsi="楷体_GB2312" w:eastAsia="楷体_GB2312" w:cs="楷体_GB2312"/>
          <w:i w:val="0"/>
          <w:color w:val="000000" w:themeColor="text1"/>
          <w:kern w:val="2"/>
          <w:sz w:val="32"/>
          <w:szCs w:val="32"/>
          <w:shd w:val="clear" w:color="auto" w:fill="auto"/>
          <w:lang w:val="en-US" w:eastAsia="zh-CN" w:bidi="zh-CN"/>
          <w14:textFill>
            <w14:solidFill>
              <w14:schemeClr w14:val="tx1"/>
            </w14:solidFill>
          </w14:textFill>
        </w:rPr>
        <w:t>实施质量激励，推广先进质量管理模式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6" w:firstLineChars="200"/>
        <w:jc w:val="left"/>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做好第八届山东省省长质量奖推荐，共推荐3家企业、2名个人参加省长质量奖评审。启动第七届青岛市市长质量奖申报，经各区、市政府推荐，共有59家企业申报第七届青岛市市长质量奖。其中，22家企业申报市长质量奖卓越奖，37家企业申报市长质量奖创新奖。为第六届青岛市市长质量奖获奖企业兑现奖励资金450万元。开展卓越绩效评价准则专题培训2期，累计企业100家。</w:t>
      </w:r>
    </w:p>
    <w:p>
      <w:pPr>
        <w:keepNext w:val="0"/>
        <w:keepLines w:val="0"/>
        <w:pageBreakBefore w:val="0"/>
        <w:widowControl w:val="0"/>
        <w:numPr>
          <w:ilvl w:val="0"/>
          <w:numId w:val="1"/>
        </w:numPr>
        <w:kinsoku/>
        <w:wordWrap/>
        <w:overflowPunct/>
        <w:topLinePunct w:val="0"/>
        <w:bidi w:val="0"/>
        <w:adjustRightInd/>
        <w:snapToGrid/>
        <w:spacing w:line="560" w:lineRule="exact"/>
        <w:ind w:left="0" w:leftChars="0" w:right="0" w:rightChars="0" w:firstLine="626" w:firstLineChars="200"/>
        <w:textAlignment w:val="auto"/>
        <w:outlineLvl w:val="9"/>
        <w:rPr>
          <w:rFonts w:hint="eastAsia" w:ascii="楷体_GB2312" w:hAnsi="楷体_GB2312" w:eastAsia="楷体_GB2312" w:cs="楷体_GB2312"/>
          <w:i w:val="0"/>
          <w:color w:val="000000" w:themeColor="text1"/>
          <w:kern w:val="2"/>
          <w:sz w:val="32"/>
          <w:szCs w:val="32"/>
          <w:shd w:val="clear" w:color="auto" w:fill="auto"/>
          <w:lang w:val="en-US" w:eastAsia="zh-CN" w:bidi="zh-CN"/>
          <w14:textFill>
            <w14:solidFill>
              <w14:schemeClr w14:val="tx1"/>
            </w14:solidFill>
          </w14:textFill>
        </w:rPr>
      </w:pPr>
      <w:r>
        <w:rPr>
          <w:rFonts w:hint="eastAsia" w:ascii="楷体_GB2312" w:hAnsi="楷体_GB2312" w:eastAsia="楷体_GB2312" w:cs="楷体_GB2312"/>
          <w:i w:val="0"/>
          <w:color w:val="000000" w:themeColor="text1"/>
          <w:kern w:val="2"/>
          <w:sz w:val="32"/>
          <w:szCs w:val="32"/>
          <w:shd w:val="clear" w:color="auto" w:fill="auto"/>
          <w:lang w:val="en-US" w:eastAsia="zh-CN" w:bidi="zh-CN"/>
          <w14:textFill>
            <w14:solidFill>
              <w14:schemeClr w14:val="tx1"/>
            </w14:solidFill>
          </w14:textFill>
        </w:rPr>
        <w:t>开展监测评价，提供质量数据支撑</w:t>
      </w:r>
    </w:p>
    <w:p>
      <w:pPr>
        <w:keepNext w:val="0"/>
        <w:keepLines w:val="0"/>
        <w:pageBreakBefore w:val="0"/>
        <w:widowControl w:val="0"/>
        <w:numPr>
          <w:ilvl w:val="0"/>
          <w:numId w:val="0"/>
        </w:numPr>
        <w:kinsoku/>
        <w:wordWrap/>
        <w:overflowPunct/>
        <w:topLinePunct w:val="0"/>
        <w:bidi w:val="0"/>
        <w:adjustRightInd/>
        <w:snapToGrid/>
        <w:spacing w:line="560" w:lineRule="exact"/>
        <w:ind w:right="0" w:rightChars="0" w:firstLine="626" w:firstLineChars="200"/>
        <w:textAlignment w:val="auto"/>
        <w:outlineLvl w:val="9"/>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2019年全省公共服务业质量监测我市得分87.09，位居全省第一，获市政府主要领导肯定；2019年全省质量技术基础能力指数评价我市得分88.29，位居全省第一。开展青岛市制造业质量竞争力指数测评工作，</w:t>
      </w:r>
      <w:r>
        <w:rPr>
          <w:rFonts w:hint="eastAsia" w:ascii="仿宋_GB2312" w:hAnsi="仿宋_GB2312" w:eastAsia="仿宋_GB2312" w:cs="仿宋_GB2312"/>
          <w:color w:val="000000" w:themeColor="text1"/>
          <w:spacing w:val="0"/>
          <w:sz w:val="32"/>
          <w:szCs w:val="32"/>
          <w:u w:val="none"/>
          <w:shd w:val="clear" w:color="auto" w:fill="auto"/>
          <w:lang w:eastAsia="zh-CN"/>
          <w14:textFill>
            <w14:solidFill>
              <w14:schemeClr w14:val="tx1"/>
            </w14:solidFill>
          </w14:textFill>
        </w:rPr>
        <w:t>以区市和行业为主线，</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对</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全市</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制造业质量水平与发展能力进行评价</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2019年我市制造业质量竞争力90.3，较上年小幅增长0.28，处于较强竞争力阶段，</w:t>
      </w: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为政府实行宏观调控、提高经济发</w:t>
      </w:r>
      <w:r>
        <w:rPr>
          <w:rFonts w:hint="eastAsia" w:ascii="仿宋_GB2312" w:hAnsi="仿宋_GB2312" w:eastAsia="仿宋_GB2312" w:cs="仿宋_GB2312"/>
          <w:i w:val="0"/>
          <w:color w:val="000000" w:themeColor="text1"/>
          <w:kern w:val="2"/>
          <w:sz w:val="32"/>
          <w:szCs w:val="32"/>
          <w:shd w:val="clear" w:color="auto" w:fill="auto"/>
          <w:lang w:val="en-US" w:eastAsia="zh-CN" w:bidi="zh-CN"/>
          <w14:textFill>
            <w14:solidFill>
              <w14:schemeClr w14:val="tx1"/>
            </w14:solidFill>
          </w14:textFill>
        </w:rPr>
        <w:t>展的质量和效益提供决策支持。组织编写2019年全市质量状况分析报告，在产品、工程、服务的多个行业领域进行分析，为各级部门加强和改进质量工作提供参考。</w:t>
      </w:r>
    </w:p>
    <w:p>
      <w:pPr>
        <w:numPr>
          <w:ilvl w:val="0"/>
          <w:numId w:val="2"/>
        </w:numPr>
        <w:spacing w:line="580" w:lineRule="exact"/>
        <w:ind w:firstLine="626" w:firstLineChars="20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存在的问题及有关建议</w:t>
      </w:r>
    </w:p>
    <w:p>
      <w:pPr>
        <w:pStyle w:val="132"/>
        <w:spacing w:line="580" w:lineRule="exact"/>
        <w:ind w:firstLine="545"/>
        <w:outlineLvl w:val="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一是</w:t>
      </w:r>
      <w:r>
        <w:rPr>
          <w:rFonts w:hint="eastAsia" w:ascii="仿宋_GB2312" w:hAnsi="仿宋_GB2312" w:eastAsia="仿宋_GB2312" w:cs="仿宋_GB2312"/>
          <w:color w:val="000000" w:themeColor="text1"/>
          <w:sz w:val="32"/>
          <w:szCs w:val="32"/>
          <w:lang w:val="en-US"/>
          <w14:textFill>
            <w14:solidFill>
              <w14:schemeClr w14:val="tx1"/>
            </w14:solidFill>
          </w14:textFill>
        </w:rPr>
        <w:t>经费数量限制了抽查数量和效果</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计量器具和定量包装商品涉及百姓生活的方方面面，计量器具的使用范围广、数量多，有限的抽查经费制约了抽查效果。</w:t>
      </w:r>
    </w:p>
    <w:p>
      <w:pPr>
        <w:spacing w:line="600" w:lineRule="exact"/>
        <w:ind w:firstLine="626"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质量发展专项资金管理办法适用性较差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依据2011年实施的《山东省行政程序规定》，《青岛市质量发展专项资金管理暂行办法》（青政办发〔2015〕31号）有效期届满，未对暂行办法进行更新、修订。此外，《青岛市质量发展专项资金管理暂行办法》（青政办发〔2015〕31号）中该专项实施内容为适应2015年青岛市质量发展需求而制定的，已不适用于最新的青岛市质量发展规划。</w:t>
      </w:r>
    </w:p>
    <w:p>
      <w:pPr>
        <w:pStyle w:val="132"/>
        <w:numPr>
          <w:ilvl w:val="0"/>
          <w:numId w:val="2"/>
        </w:numPr>
        <w:spacing w:line="580" w:lineRule="exact"/>
        <w:ind w:left="0" w:leftChars="0" w:firstLine="626" w:firstLineChars="200"/>
        <w:outlineLvl w:val="0"/>
        <w:rPr>
          <w:rFonts w:hint="eastAsia" w:eastAsia="黑体"/>
          <w:bCs/>
          <w:color w:val="000000" w:themeColor="text1"/>
          <w:sz w:val="32"/>
          <w:szCs w:val="32"/>
          <w14:textFill>
            <w14:solidFill>
              <w14:schemeClr w14:val="tx1"/>
            </w14:solidFill>
          </w14:textFill>
        </w:rPr>
      </w:pPr>
      <w:bookmarkStart w:id="9" w:name="_Toc52367307"/>
      <w:bookmarkStart w:id="10" w:name="_Toc52057396"/>
      <w:r>
        <w:rPr>
          <w:rFonts w:hint="eastAsia" w:eastAsia="黑体"/>
          <w:bCs/>
          <w:color w:val="000000" w:themeColor="text1"/>
          <w:sz w:val="32"/>
          <w:szCs w:val="32"/>
          <w14:textFill>
            <w14:solidFill>
              <w14:schemeClr w14:val="tx1"/>
            </w14:solidFill>
          </w14:textFill>
        </w:rPr>
        <w:t>意见建议</w:t>
      </w:r>
      <w:bookmarkEnd w:id="9"/>
      <w:bookmarkEnd w:id="10"/>
    </w:p>
    <w:p>
      <w:pPr>
        <w:pStyle w:val="132"/>
        <w:numPr>
          <w:ilvl w:val="0"/>
          <w:numId w:val="0"/>
        </w:numPr>
        <w:spacing w:line="580" w:lineRule="exact"/>
        <w:ind w:firstLine="626" w:firstLineChars="200"/>
        <w:outlineLvl w:val="0"/>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一是</w:t>
      </w:r>
      <w:r>
        <w:rPr>
          <w:rFonts w:hint="eastAsia" w:ascii="楷体_GB2312" w:hAnsi="楷体_GB2312" w:eastAsia="楷体_GB2312" w:cs="楷体_GB2312"/>
          <w:b w:val="0"/>
          <w:bCs w:val="0"/>
          <w:color w:val="000000" w:themeColor="text1"/>
          <w:sz w:val="32"/>
          <w:szCs w:val="32"/>
          <w14:textFill>
            <w14:solidFill>
              <w14:schemeClr w14:val="tx1"/>
            </w14:solidFill>
          </w14:textFill>
        </w:rPr>
        <w:t>优化资金配置，扩大抽检范围</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应优化资金配置，合理运用资金起到警示和监管作用。一是聚焦行业突出问题。二是扩大计量器具抽检范围。计量器具的使用范围广、数量多，有限的抽查经费制约了抽查效果，可适当增加抽检经费，扩大抽查范围和数量。</w:t>
      </w:r>
    </w:p>
    <w:p>
      <w:pPr>
        <w:spacing w:line="600" w:lineRule="exact"/>
        <w:ind w:firstLine="626"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二是</w:t>
      </w:r>
      <w:r>
        <w:rPr>
          <w:rFonts w:hint="eastAsia" w:ascii="楷体_GB2312" w:hAnsi="楷体_GB2312" w:eastAsia="楷体_GB2312" w:cs="楷体_GB2312"/>
          <w:b w:val="0"/>
          <w:bCs w:val="0"/>
          <w:color w:val="000000" w:themeColor="text1"/>
          <w:sz w:val="32"/>
          <w:szCs w:val="32"/>
          <w14:textFill>
            <w14:solidFill>
              <w14:schemeClr w14:val="tx1"/>
            </w14:solidFill>
          </w14:textFill>
        </w:rPr>
        <w:t>优化标准，明确标准化资助范围</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建议充分发挥监督职责，在各区（市）上报评审情况时，提供给予各单位相应资助金额的测算依据，并根据当年预</w:t>
      </w:r>
      <w:bookmarkStart w:id="11" w:name="_GoBack"/>
      <w:bookmarkEnd w:id="11"/>
      <w:r>
        <w:rPr>
          <w:rFonts w:hint="eastAsia" w:ascii="Times New Roman" w:hAnsi="Times New Roman" w:eastAsia="仿宋_GB2312" w:cs="Times New Roman"/>
          <w:color w:val="000000" w:themeColor="text1"/>
          <w:sz w:val="32"/>
          <w:szCs w:val="32"/>
          <w14:textFill>
            <w14:solidFill>
              <w14:schemeClr w14:val="tx1"/>
            </w14:solidFill>
          </w14:textFill>
        </w:rPr>
        <w:t>算统一同一区（市）同一类别标准奖励。结合综合评估实际情况，若资助额度将长期处于</w:t>
      </w: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14:textFill>
            <w14:solidFill>
              <w14:schemeClr w14:val="tx1"/>
            </w14:solidFill>
          </w14:textFill>
        </w:rPr>
        <w:t>千至</w:t>
      </w:r>
      <w:r>
        <w:rPr>
          <w:rFonts w:ascii="Times New Roman" w:hAnsi="Times New Roman" w:eastAsia="仿宋_GB2312" w:cs="Times New Roman"/>
          <w:color w:val="000000" w:themeColor="text1"/>
          <w:sz w:val="32"/>
          <w:szCs w:val="32"/>
          <w14:textFill>
            <w14:solidFill>
              <w14:schemeClr w14:val="tx1"/>
            </w14:solidFill>
          </w14:textFill>
        </w:rPr>
        <w:t>10</w:t>
      </w:r>
      <w:r>
        <w:rPr>
          <w:rFonts w:hint="eastAsia" w:ascii="Times New Roman" w:hAnsi="Times New Roman" w:eastAsia="仿宋_GB2312" w:cs="Times New Roman"/>
          <w:color w:val="000000" w:themeColor="text1"/>
          <w:sz w:val="32"/>
          <w:szCs w:val="32"/>
          <w14:textFill>
            <w14:solidFill>
              <w14:schemeClr w14:val="tx1"/>
            </w14:solidFill>
          </w14:textFill>
        </w:rPr>
        <w:t>万区间，则建议调低管理办法中的资助标准上限，并设置相应的下限。</w:t>
      </w:r>
    </w:p>
    <w:p>
      <w:pPr>
        <w:spacing w:line="600" w:lineRule="exact"/>
        <w:ind w:firstLine="626"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color w:val="000000" w:themeColor="text1"/>
          <w:sz w:val="32"/>
          <w:szCs w:val="32"/>
          <w:lang w:eastAsia="zh-CN"/>
          <w14:textFill>
            <w14:solidFill>
              <w14:schemeClr w14:val="tx1"/>
            </w14:solidFill>
          </w14:textFill>
        </w:rPr>
        <w:t>三是</w:t>
      </w:r>
      <w:r>
        <w:rPr>
          <w:rFonts w:hint="eastAsia" w:ascii="楷体_GB2312" w:hAnsi="Times New Roman" w:eastAsia="楷体_GB2312" w:cs="Times New Roman"/>
          <w:color w:val="000000" w:themeColor="text1"/>
          <w:sz w:val="32"/>
          <w:szCs w:val="32"/>
          <w14:textFill>
            <w14:solidFill>
              <w14:schemeClr w14:val="tx1"/>
            </w14:solidFill>
          </w14:textFill>
        </w:rPr>
        <w:t>结合规划，修订质量发展管理办法</w:t>
      </w:r>
      <w:r>
        <w:rPr>
          <w:rFonts w:hint="eastAsia" w:ascii="楷体_GB2312" w:hAnsi="Times New Roman" w:eastAsia="楷体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建议依据《青岛市壮大民营经济攻势作战方案（</w:t>
      </w:r>
      <w:r>
        <w:rPr>
          <w:rFonts w:ascii="Times New Roman" w:hAnsi="Times New Roman" w:eastAsia="仿宋_GB2312" w:cs="Times New Roman"/>
          <w:color w:val="000000" w:themeColor="text1"/>
          <w:sz w:val="32"/>
          <w:szCs w:val="32"/>
          <w14:textFill>
            <w14:solidFill>
              <w14:schemeClr w14:val="tx1"/>
            </w14:solidFill>
          </w14:textFill>
        </w:rPr>
        <w:t>2019—2022</w:t>
      </w:r>
      <w:r>
        <w:rPr>
          <w:rFonts w:hint="eastAsia" w:ascii="Times New Roman" w:hAnsi="Times New Roman" w:eastAsia="仿宋_GB2312" w:cs="Times New Roman"/>
          <w:color w:val="000000" w:themeColor="text1"/>
          <w:sz w:val="32"/>
          <w:szCs w:val="32"/>
          <w14:textFill>
            <w14:solidFill>
              <w14:schemeClr w14:val="tx1"/>
            </w14:solidFill>
          </w14:textFill>
        </w:rPr>
        <w:t>年）》和“十四五”规划，结合本市质量发展的实际情况，对质量发展专项资金下一步的使用做计划，对《青岛市质量发展专项资金管理暂行办法》（青政办发〔</w:t>
      </w:r>
      <w:r>
        <w:rPr>
          <w:rFonts w:ascii="Times New Roman" w:hAnsi="Times New Roman" w:eastAsia="仿宋_GB2312" w:cs="Times New Roman"/>
          <w:color w:val="000000" w:themeColor="text1"/>
          <w:sz w:val="32"/>
          <w:szCs w:val="32"/>
          <w14:textFill>
            <w14:solidFill>
              <w14:schemeClr w14:val="tx1"/>
            </w14:solidFill>
          </w14:textFill>
        </w:rPr>
        <w:t>2015</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31</w:t>
      </w:r>
      <w:r>
        <w:rPr>
          <w:rFonts w:hint="eastAsia" w:ascii="Times New Roman" w:hAnsi="Times New Roman" w:eastAsia="仿宋_GB2312" w:cs="Times New Roman"/>
          <w:color w:val="000000" w:themeColor="text1"/>
          <w:sz w:val="32"/>
          <w:szCs w:val="32"/>
          <w14:textFill>
            <w14:solidFill>
              <w14:schemeClr w14:val="tx1"/>
            </w14:solidFill>
          </w14:textFill>
        </w:rPr>
        <w:t>号）及时进行修订，以促进专项资金的使用效率，推动本市质量发展在下一阶段取得更好的成效。</w:t>
      </w:r>
    </w:p>
    <w:p>
      <w:pPr>
        <w:spacing w:line="560" w:lineRule="exact"/>
        <w:ind w:firstLine="626" w:firstLineChars="200"/>
        <w:rPr>
          <w:rStyle w:val="227"/>
          <w:rFonts w:ascii="黑体" w:hAnsi="黑体" w:eastAsia="黑体" w:cs="黑体"/>
          <w:color w:val="000000" w:themeColor="text1"/>
          <w:sz w:val="32"/>
          <w:szCs w:val="32"/>
          <w14:textFill>
            <w14:solidFill>
              <w14:schemeClr w14:val="tx1"/>
            </w14:solidFill>
          </w14:textFill>
        </w:rPr>
      </w:pPr>
      <w:r>
        <w:rPr>
          <w:rStyle w:val="227"/>
          <w:rFonts w:hint="eastAsia" w:ascii="黑体" w:hAnsi="黑体" w:eastAsia="黑体" w:cs="黑体"/>
          <w:color w:val="000000" w:themeColor="text1"/>
          <w:sz w:val="32"/>
          <w:szCs w:val="32"/>
          <w:lang w:eastAsia="zh-CN"/>
          <w14:textFill>
            <w14:solidFill>
              <w14:schemeClr w14:val="tx1"/>
            </w14:solidFill>
          </w14:textFill>
        </w:rPr>
        <w:t>八</w:t>
      </w:r>
      <w:r>
        <w:rPr>
          <w:rStyle w:val="227"/>
          <w:rFonts w:hint="eastAsia" w:ascii="黑体" w:hAnsi="黑体" w:eastAsia="黑体" w:cs="黑体"/>
          <w:color w:val="000000" w:themeColor="text1"/>
          <w:sz w:val="32"/>
          <w:szCs w:val="32"/>
          <w14:textFill>
            <w14:solidFill>
              <w14:schemeClr w14:val="tx1"/>
            </w14:solidFill>
          </w14:textFill>
        </w:rPr>
        <w:t>、无其他说明事项</w:t>
      </w:r>
    </w:p>
    <w:p>
      <w:pPr>
        <w:spacing w:line="600" w:lineRule="exact"/>
        <w:ind w:firstLine="546" w:firstLineChars="200"/>
        <w:jc w:val="both"/>
        <w:rPr>
          <w:rFonts w:ascii="Times New Roman" w:hAnsi="Times New Roman" w:eastAsia="仿宋_GB2312" w:cs="Times New Roman"/>
          <w:color w:val="000000" w:themeColor="text1"/>
          <w:sz w:val="28"/>
          <w:szCs w:val="28"/>
          <w14:textFill>
            <w14:solidFill>
              <w14:schemeClr w14:val="tx1"/>
            </w14:solidFill>
          </w14:textFill>
        </w:rPr>
      </w:pPr>
    </w:p>
    <w:p>
      <w:pPr>
        <w:spacing w:line="600" w:lineRule="exact"/>
        <w:ind w:firstLine="546" w:firstLineChars="200"/>
        <w:jc w:val="both"/>
        <w:rPr>
          <w:rFonts w:ascii="Times New Roman" w:hAnsi="Times New Roman" w:eastAsia="仿宋_GB2312" w:cs="Times New Roman"/>
          <w:color w:val="000000" w:themeColor="text1"/>
          <w:sz w:val="28"/>
          <w:szCs w:val="28"/>
          <w14:textFill>
            <w14:solidFill>
              <w14:schemeClr w14:val="tx1"/>
            </w14:solidFill>
          </w14:textFill>
        </w:rPr>
      </w:pPr>
    </w:p>
    <w:p>
      <w:pPr>
        <w:spacing w:line="600" w:lineRule="exact"/>
        <w:ind w:firstLine="626"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附件：1.专项资金（一级）指标体系</w:t>
      </w:r>
    </w:p>
    <w:p>
      <w:pPr>
        <w:spacing w:line="600" w:lineRule="exact"/>
        <w:ind w:firstLine="626"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2.各明细项目指标体系</w:t>
      </w:r>
    </w:p>
    <w:p>
      <w:pPr>
        <w:spacing w:line="600" w:lineRule="exact"/>
        <w:ind w:firstLine="626"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3.加权评价汇总表</w:t>
      </w:r>
    </w:p>
    <w:p>
      <w:pPr>
        <w:spacing w:line="600" w:lineRule="exact"/>
        <w:ind w:firstLine="626"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4.三民活动情况通报</w:t>
      </w:r>
    </w:p>
    <w:p>
      <w:pPr>
        <w:spacing w:line="600" w:lineRule="exact"/>
        <w:ind w:firstLine="546" w:firstLineChars="200"/>
        <w:jc w:val="both"/>
        <w:rPr>
          <w:rFonts w:ascii="Times New Roman" w:hAnsi="Times New Roman" w:eastAsia="仿宋_GB2312" w:cs="Times New Roman"/>
          <w:color w:val="000000" w:themeColor="text1"/>
          <w:sz w:val="28"/>
          <w:szCs w:val="28"/>
          <w14:textFill>
            <w14:solidFill>
              <w14:schemeClr w14:val="tx1"/>
            </w14:solidFill>
          </w14:textFill>
        </w:rPr>
        <w:sectPr>
          <w:footerReference r:id="rId3" w:type="default"/>
          <w:footnotePr>
            <w:numRestart w:val="eachPage"/>
          </w:footnotePr>
          <w:pgSz w:w="11906" w:h="16838"/>
          <w:pgMar w:top="2098" w:right="1474" w:bottom="1984" w:left="1588" w:header="851" w:footer="992" w:gutter="0"/>
          <w:pgNumType w:start="1"/>
          <w:cols w:space="720" w:num="1"/>
          <w:docGrid w:type="linesAndChars" w:linePitch="579" w:charSpace="-1488"/>
        </w:sectPr>
      </w:pPr>
    </w:p>
    <w:p>
      <w:pPr>
        <w:spacing w:line="600" w:lineRule="exact"/>
        <w:rPr>
          <w:rFonts w:ascii="黑体" w:hAnsi="黑体" w:eastAsia="黑体" w:cs="Times New Roman"/>
          <w:color w:val="000000" w:themeColor="text1"/>
          <w:sz w:val="32"/>
          <w:szCs w:val="32"/>
          <w14:textFill>
            <w14:solidFill>
              <w14:schemeClr w14:val="tx1"/>
            </w14:solidFill>
          </w14:textFill>
        </w:rPr>
      </w:pPr>
    </w:p>
    <w:p>
      <w:pPr>
        <w:spacing w:line="600" w:lineRule="exact"/>
        <w:jc w:val="center"/>
        <w:rPr>
          <w:rFonts w:ascii="黑体" w:hAnsi="黑体" w:eastAsia="黑体" w:cs="Times New Roman"/>
          <w:color w:val="000000" w:themeColor="text1"/>
          <w:sz w:val="32"/>
          <w:szCs w:val="32"/>
          <w14:textFill>
            <w14:solidFill>
              <w14:schemeClr w14:val="tx1"/>
            </w14:solidFill>
          </w14:textFill>
        </w:rPr>
      </w:pPr>
    </w:p>
    <w:sectPr>
      <w:footerReference r:id="rId4" w:type="default"/>
      <w:footnotePr>
        <w:numRestart w:val="eachPage"/>
      </w:footnotePr>
      <w:pgSz w:w="11906" w:h="16838"/>
      <w:pgMar w:top="2098" w:right="1474" w:bottom="1985" w:left="1588"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Agilent TT CondLight">
    <w:altName w:val="Arial"/>
    <w:panose1 w:val="00000000000000000000"/>
    <w:charset w:val="00"/>
    <w:family w:val="auto"/>
    <w:pitch w:val="default"/>
    <w:sig w:usb0="00000000" w:usb1="00000000" w:usb2="00000000" w:usb3="00000000" w:csb0="00000001" w:csb1="00000000"/>
  </w:font>
  <w:font w:name="DFKai-SB">
    <w:altName w:val="Microsoft JhengHei Light"/>
    <w:panose1 w:val="03000509000000000000"/>
    <w:charset w:val="88"/>
    <w:family w:val="auto"/>
    <w:pitch w:val="default"/>
    <w:sig w:usb0="00000000" w:usb1="00000000" w:usb2="00000016" w:usb3="00000000" w:csb0="00100001" w:csb1="00000000"/>
  </w:font>
  <w:font w:name="Agilent TT Cond">
    <w:altName w:val="Arial"/>
    <w:panose1 w:val="00000000000000000000"/>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3</w:t>
    </w:r>
    <w:r>
      <w:rPr>
        <w:lang w:val="zh-CN"/>
      </w:rP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16</w:t>
    </w:r>
    <w:r>
      <w:rPr>
        <w:lang w:val="zh-CN"/>
      </w:rPr>
      <w:fldChar w:fldCharType="end"/>
    </w:r>
  </w:p>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59636A"/>
    <w:multiLevelType w:val="singleLevel"/>
    <w:tmpl w:val="8D59636A"/>
    <w:lvl w:ilvl="0" w:tentative="0">
      <w:start w:val="2"/>
      <w:numFmt w:val="chineseCounting"/>
      <w:suff w:val="nothing"/>
      <w:lvlText w:val="（%1）"/>
      <w:lvlJc w:val="left"/>
      <w:rPr>
        <w:rFonts w:hint="eastAsia"/>
      </w:rPr>
    </w:lvl>
  </w:abstractNum>
  <w:abstractNum w:abstractNumId="1">
    <w:nsid w:val="29250917"/>
    <w:multiLevelType w:val="singleLevel"/>
    <w:tmpl w:val="29250917"/>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0"/>
  <w:bordersDoNotSurroundFooter w:val="0"/>
  <w:documentProtection w:enforcement="0"/>
  <w:defaultTabStop w:val="420"/>
  <w:drawingGridHorizontalSpacing w:val="116"/>
  <w:drawingGridVerticalSpacing w:val="290"/>
  <w:displayHorizontalDrawingGridEvery w:val="1"/>
  <w:displayVerticalDrawingGridEvery w:val="1"/>
  <w:noPunctuationKerning w:val="1"/>
  <w:characterSpacingControl w:val="compressPunctuation"/>
  <w:noLineBreaksAfter w:lang="zh-CN" w:val="$([{£¥·‘“〈《「『【〔〖〝﹙﹛﹝＄（．［｛￡￥"/>
  <w:noLineBreaksBefore w:lang="zh-CN" w:val="!%),.:;&gt;?]}¢¨°·ˇˉ―‖’”…‰′″›℃∶、。〃〉》」』】〕〗〞︶︺︾﹀﹄﹚﹜﹞！＂％＇），．：；？］｀｜｝～￠"/>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47"/>
    <w:rsid w:val="000010D7"/>
    <w:rsid w:val="0000194E"/>
    <w:rsid w:val="0000344D"/>
    <w:rsid w:val="00003FED"/>
    <w:rsid w:val="000040CA"/>
    <w:rsid w:val="000041F3"/>
    <w:rsid w:val="000042B7"/>
    <w:rsid w:val="00004A16"/>
    <w:rsid w:val="00004E29"/>
    <w:rsid w:val="0000570D"/>
    <w:rsid w:val="00005B3C"/>
    <w:rsid w:val="00005CFF"/>
    <w:rsid w:val="00005FDA"/>
    <w:rsid w:val="00006629"/>
    <w:rsid w:val="0000670C"/>
    <w:rsid w:val="000068F3"/>
    <w:rsid w:val="0000691C"/>
    <w:rsid w:val="00007045"/>
    <w:rsid w:val="00007265"/>
    <w:rsid w:val="000073D6"/>
    <w:rsid w:val="00011435"/>
    <w:rsid w:val="000117A4"/>
    <w:rsid w:val="00012064"/>
    <w:rsid w:val="000122AF"/>
    <w:rsid w:val="00012663"/>
    <w:rsid w:val="00012D7C"/>
    <w:rsid w:val="0001343E"/>
    <w:rsid w:val="00014A1F"/>
    <w:rsid w:val="00014A73"/>
    <w:rsid w:val="00014AE1"/>
    <w:rsid w:val="00014E60"/>
    <w:rsid w:val="00015574"/>
    <w:rsid w:val="000157F4"/>
    <w:rsid w:val="00015850"/>
    <w:rsid w:val="00015A94"/>
    <w:rsid w:val="00015CCB"/>
    <w:rsid w:val="00015E88"/>
    <w:rsid w:val="0001660A"/>
    <w:rsid w:val="0001691E"/>
    <w:rsid w:val="000170D4"/>
    <w:rsid w:val="0001742F"/>
    <w:rsid w:val="000209C7"/>
    <w:rsid w:val="0002170D"/>
    <w:rsid w:val="00021B5D"/>
    <w:rsid w:val="000225DE"/>
    <w:rsid w:val="00022AC3"/>
    <w:rsid w:val="00022DC3"/>
    <w:rsid w:val="00023655"/>
    <w:rsid w:val="00023B8A"/>
    <w:rsid w:val="00024092"/>
    <w:rsid w:val="00024FC3"/>
    <w:rsid w:val="00025183"/>
    <w:rsid w:val="000264F5"/>
    <w:rsid w:val="0002681F"/>
    <w:rsid w:val="0002695D"/>
    <w:rsid w:val="000271AA"/>
    <w:rsid w:val="0002730E"/>
    <w:rsid w:val="000276A2"/>
    <w:rsid w:val="0003013C"/>
    <w:rsid w:val="00030F0E"/>
    <w:rsid w:val="00031AA6"/>
    <w:rsid w:val="00031B3A"/>
    <w:rsid w:val="000322C8"/>
    <w:rsid w:val="00032590"/>
    <w:rsid w:val="00032CBB"/>
    <w:rsid w:val="0003366E"/>
    <w:rsid w:val="00033A87"/>
    <w:rsid w:val="00033C47"/>
    <w:rsid w:val="00033EAC"/>
    <w:rsid w:val="00034437"/>
    <w:rsid w:val="00034B26"/>
    <w:rsid w:val="00034DB9"/>
    <w:rsid w:val="00034F0E"/>
    <w:rsid w:val="000352D0"/>
    <w:rsid w:val="00035314"/>
    <w:rsid w:val="0003547E"/>
    <w:rsid w:val="0003733D"/>
    <w:rsid w:val="000376BC"/>
    <w:rsid w:val="000379F9"/>
    <w:rsid w:val="00040396"/>
    <w:rsid w:val="000409D6"/>
    <w:rsid w:val="00040BDF"/>
    <w:rsid w:val="00041928"/>
    <w:rsid w:val="00041953"/>
    <w:rsid w:val="00042CA6"/>
    <w:rsid w:val="000432CC"/>
    <w:rsid w:val="0004337E"/>
    <w:rsid w:val="000433EB"/>
    <w:rsid w:val="0004399A"/>
    <w:rsid w:val="00043B41"/>
    <w:rsid w:val="000442C9"/>
    <w:rsid w:val="000447F7"/>
    <w:rsid w:val="00045538"/>
    <w:rsid w:val="00045B56"/>
    <w:rsid w:val="00045C3A"/>
    <w:rsid w:val="00046376"/>
    <w:rsid w:val="0004669C"/>
    <w:rsid w:val="000468FE"/>
    <w:rsid w:val="00046DD1"/>
    <w:rsid w:val="0004778E"/>
    <w:rsid w:val="0005022B"/>
    <w:rsid w:val="00050B76"/>
    <w:rsid w:val="00050C74"/>
    <w:rsid w:val="00051269"/>
    <w:rsid w:val="00051346"/>
    <w:rsid w:val="000520D6"/>
    <w:rsid w:val="00052A93"/>
    <w:rsid w:val="00052C37"/>
    <w:rsid w:val="00052DE9"/>
    <w:rsid w:val="00052EF3"/>
    <w:rsid w:val="00055452"/>
    <w:rsid w:val="000559AA"/>
    <w:rsid w:val="00055B57"/>
    <w:rsid w:val="00055B7B"/>
    <w:rsid w:val="00055EAB"/>
    <w:rsid w:val="00055FAF"/>
    <w:rsid w:val="000572A5"/>
    <w:rsid w:val="0005754F"/>
    <w:rsid w:val="000577E8"/>
    <w:rsid w:val="000605B1"/>
    <w:rsid w:val="00060609"/>
    <w:rsid w:val="0006074F"/>
    <w:rsid w:val="0006185D"/>
    <w:rsid w:val="00061FBF"/>
    <w:rsid w:val="00063877"/>
    <w:rsid w:val="00063A1E"/>
    <w:rsid w:val="00063A9F"/>
    <w:rsid w:val="000645A8"/>
    <w:rsid w:val="000646E1"/>
    <w:rsid w:val="00064738"/>
    <w:rsid w:val="00064AB8"/>
    <w:rsid w:val="00065693"/>
    <w:rsid w:val="00066750"/>
    <w:rsid w:val="00066C4B"/>
    <w:rsid w:val="00067887"/>
    <w:rsid w:val="00067909"/>
    <w:rsid w:val="00070228"/>
    <w:rsid w:val="00070329"/>
    <w:rsid w:val="00070861"/>
    <w:rsid w:val="0007105E"/>
    <w:rsid w:val="00072464"/>
    <w:rsid w:val="00072858"/>
    <w:rsid w:val="00072A61"/>
    <w:rsid w:val="00072CD6"/>
    <w:rsid w:val="00072DCF"/>
    <w:rsid w:val="00073685"/>
    <w:rsid w:val="00073E7C"/>
    <w:rsid w:val="00073F09"/>
    <w:rsid w:val="0007413A"/>
    <w:rsid w:val="000742C7"/>
    <w:rsid w:val="00075242"/>
    <w:rsid w:val="0007594F"/>
    <w:rsid w:val="000762F5"/>
    <w:rsid w:val="000766CD"/>
    <w:rsid w:val="00077036"/>
    <w:rsid w:val="00080110"/>
    <w:rsid w:val="00080650"/>
    <w:rsid w:val="00080C3F"/>
    <w:rsid w:val="00080C56"/>
    <w:rsid w:val="0008108C"/>
    <w:rsid w:val="000825B9"/>
    <w:rsid w:val="000827AE"/>
    <w:rsid w:val="00083224"/>
    <w:rsid w:val="00083B8B"/>
    <w:rsid w:val="000842FA"/>
    <w:rsid w:val="00084F4D"/>
    <w:rsid w:val="0008562F"/>
    <w:rsid w:val="000863AF"/>
    <w:rsid w:val="00086952"/>
    <w:rsid w:val="000877DB"/>
    <w:rsid w:val="00087C27"/>
    <w:rsid w:val="00091133"/>
    <w:rsid w:val="00091922"/>
    <w:rsid w:val="00092016"/>
    <w:rsid w:val="000922CC"/>
    <w:rsid w:val="000936BF"/>
    <w:rsid w:val="000943C3"/>
    <w:rsid w:val="000949BC"/>
    <w:rsid w:val="000963E0"/>
    <w:rsid w:val="000968C3"/>
    <w:rsid w:val="00096DF1"/>
    <w:rsid w:val="00097D93"/>
    <w:rsid w:val="000A101F"/>
    <w:rsid w:val="000A1EAD"/>
    <w:rsid w:val="000A1F91"/>
    <w:rsid w:val="000A2017"/>
    <w:rsid w:val="000A204A"/>
    <w:rsid w:val="000A2A6E"/>
    <w:rsid w:val="000A2B95"/>
    <w:rsid w:val="000A2CC6"/>
    <w:rsid w:val="000A2CEC"/>
    <w:rsid w:val="000A36BE"/>
    <w:rsid w:val="000A3E76"/>
    <w:rsid w:val="000A3EAA"/>
    <w:rsid w:val="000A4F11"/>
    <w:rsid w:val="000A59EB"/>
    <w:rsid w:val="000A5BC1"/>
    <w:rsid w:val="000A63CB"/>
    <w:rsid w:val="000A6A32"/>
    <w:rsid w:val="000A7B19"/>
    <w:rsid w:val="000B03B2"/>
    <w:rsid w:val="000B0727"/>
    <w:rsid w:val="000B0BE1"/>
    <w:rsid w:val="000B0D61"/>
    <w:rsid w:val="000B0EA8"/>
    <w:rsid w:val="000B34ED"/>
    <w:rsid w:val="000B3E2B"/>
    <w:rsid w:val="000B3FB7"/>
    <w:rsid w:val="000B4120"/>
    <w:rsid w:val="000B55F5"/>
    <w:rsid w:val="000B5A97"/>
    <w:rsid w:val="000B5B4D"/>
    <w:rsid w:val="000B5D8F"/>
    <w:rsid w:val="000B6A2C"/>
    <w:rsid w:val="000C0300"/>
    <w:rsid w:val="000C0667"/>
    <w:rsid w:val="000C0AA8"/>
    <w:rsid w:val="000C1C77"/>
    <w:rsid w:val="000C1CAD"/>
    <w:rsid w:val="000C22B5"/>
    <w:rsid w:val="000C23D8"/>
    <w:rsid w:val="000C2D63"/>
    <w:rsid w:val="000C4131"/>
    <w:rsid w:val="000C42B0"/>
    <w:rsid w:val="000C495B"/>
    <w:rsid w:val="000C5658"/>
    <w:rsid w:val="000C5E11"/>
    <w:rsid w:val="000C5F10"/>
    <w:rsid w:val="000C6065"/>
    <w:rsid w:val="000C6793"/>
    <w:rsid w:val="000C7A21"/>
    <w:rsid w:val="000D01B3"/>
    <w:rsid w:val="000D0285"/>
    <w:rsid w:val="000D0625"/>
    <w:rsid w:val="000D0F6F"/>
    <w:rsid w:val="000D1261"/>
    <w:rsid w:val="000D1359"/>
    <w:rsid w:val="000D1995"/>
    <w:rsid w:val="000D1ED1"/>
    <w:rsid w:val="000D20B6"/>
    <w:rsid w:val="000D2462"/>
    <w:rsid w:val="000D27F3"/>
    <w:rsid w:val="000D28DE"/>
    <w:rsid w:val="000D3A07"/>
    <w:rsid w:val="000D3A37"/>
    <w:rsid w:val="000D3B03"/>
    <w:rsid w:val="000D3B39"/>
    <w:rsid w:val="000D454D"/>
    <w:rsid w:val="000D4CF6"/>
    <w:rsid w:val="000D507A"/>
    <w:rsid w:val="000D5D0D"/>
    <w:rsid w:val="000D5F61"/>
    <w:rsid w:val="000D686C"/>
    <w:rsid w:val="000D68BB"/>
    <w:rsid w:val="000D6AC3"/>
    <w:rsid w:val="000D6BC7"/>
    <w:rsid w:val="000D6E7A"/>
    <w:rsid w:val="000D70A5"/>
    <w:rsid w:val="000D7414"/>
    <w:rsid w:val="000D78F8"/>
    <w:rsid w:val="000D7A13"/>
    <w:rsid w:val="000D7E33"/>
    <w:rsid w:val="000D7FB4"/>
    <w:rsid w:val="000E0ACA"/>
    <w:rsid w:val="000E0CCB"/>
    <w:rsid w:val="000E13D9"/>
    <w:rsid w:val="000E1775"/>
    <w:rsid w:val="000E2E78"/>
    <w:rsid w:val="000E388E"/>
    <w:rsid w:val="000E3AB6"/>
    <w:rsid w:val="000E3B06"/>
    <w:rsid w:val="000E3E24"/>
    <w:rsid w:val="000E4971"/>
    <w:rsid w:val="000E4F64"/>
    <w:rsid w:val="000E5872"/>
    <w:rsid w:val="000E59E4"/>
    <w:rsid w:val="000E5B72"/>
    <w:rsid w:val="000E5D7C"/>
    <w:rsid w:val="000E5D97"/>
    <w:rsid w:val="000E6157"/>
    <w:rsid w:val="000E6EBC"/>
    <w:rsid w:val="000E763A"/>
    <w:rsid w:val="000E7745"/>
    <w:rsid w:val="000E7759"/>
    <w:rsid w:val="000F00D8"/>
    <w:rsid w:val="000F0D82"/>
    <w:rsid w:val="000F1257"/>
    <w:rsid w:val="000F21A1"/>
    <w:rsid w:val="000F3046"/>
    <w:rsid w:val="000F3322"/>
    <w:rsid w:val="000F3A2F"/>
    <w:rsid w:val="000F4020"/>
    <w:rsid w:val="000F4185"/>
    <w:rsid w:val="000F4187"/>
    <w:rsid w:val="000F4E3C"/>
    <w:rsid w:val="000F529F"/>
    <w:rsid w:val="000F5C11"/>
    <w:rsid w:val="000F64E2"/>
    <w:rsid w:val="000F6ACC"/>
    <w:rsid w:val="000F7A28"/>
    <w:rsid w:val="00100E15"/>
    <w:rsid w:val="00101578"/>
    <w:rsid w:val="001018F9"/>
    <w:rsid w:val="00101BD2"/>
    <w:rsid w:val="001026B4"/>
    <w:rsid w:val="00102741"/>
    <w:rsid w:val="00103590"/>
    <w:rsid w:val="001036CD"/>
    <w:rsid w:val="001039F8"/>
    <w:rsid w:val="00103DA0"/>
    <w:rsid w:val="001040D4"/>
    <w:rsid w:val="00104190"/>
    <w:rsid w:val="00104207"/>
    <w:rsid w:val="001048CA"/>
    <w:rsid w:val="00104AAF"/>
    <w:rsid w:val="00104BB6"/>
    <w:rsid w:val="001058E1"/>
    <w:rsid w:val="001079FC"/>
    <w:rsid w:val="00107FCF"/>
    <w:rsid w:val="00110567"/>
    <w:rsid w:val="00110DB2"/>
    <w:rsid w:val="00110EAD"/>
    <w:rsid w:val="00111102"/>
    <w:rsid w:val="00111B1A"/>
    <w:rsid w:val="00111CFB"/>
    <w:rsid w:val="00112BE8"/>
    <w:rsid w:val="00112E70"/>
    <w:rsid w:val="001138DF"/>
    <w:rsid w:val="00113DE3"/>
    <w:rsid w:val="00114BA9"/>
    <w:rsid w:val="00114FDF"/>
    <w:rsid w:val="00115F77"/>
    <w:rsid w:val="0011609C"/>
    <w:rsid w:val="00116206"/>
    <w:rsid w:val="00117104"/>
    <w:rsid w:val="001172FE"/>
    <w:rsid w:val="001177E9"/>
    <w:rsid w:val="001178B2"/>
    <w:rsid w:val="001178D5"/>
    <w:rsid w:val="001179E1"/>
    <w:rsid w:val="00117CF1"/>
    <w:rsid w:val="00117F34"/>
    <w:rsid w:val="00120041"/>
    <w:rsid w:val="0012022B"/>
    <w:rsid w:val="001203C1"/>
    <w:rsid w:val="0012053D"/>
    <w:rsid w:val="00120859"/>
    <w:rsid w:val="001215B0"/>
    <w:rsid w:val="00121B95"/>
    <w:rsid w:val="00121C9A"/>
    <w:rsid w:val="0012308F"/>
    <w:rsid w:val="0012397A"/>
    <w:rsid w:val="00123EA3"/>
    <w:rsid w:val="00124986"/>
    <w:rsid w:val="00124B0A"/>
    <w:rsid w:val="00125701"/>
    <w:rsid w:val="00125F52"/>
    <w:rsid w:val="00126383"/>
    <w:rsid w:val="00126C33"/>
    <w:rsid w:val="00127AC6"/>
    <w:rsid w:val="00127AF7"/>
    <w:rsid w:val="0013071D"/>
    <w:rsid w:val="00130B04"/>
    <w:rsid w:val="00130F81"/>
    <w:rsid w:val="00131023"/>
    <w:rsid w:val="001327E4"/>
    <w:rsid w:val="0013294A"/>
    <w:rsid w:val="001331F1"/>
    <w:rsid w:val="001338F3"/>
    <w:rsid w:val="0013413A"/>
    <w:rsid w:val="001349F6"/>
    <w:rsid w:val="0013565B"/>
    <w:rsid w:val="001360AA"/>
    <w:rsid w:val="00136845"/>
    <w:rsid w:val="00137298"/>
    <w:rsid w:val="0013734E"/>
    <w:rsid w:val="00137D9A"/>
    <w:rsid w:val="00137DE3"/>
    <w:rsid w:val="0014076A"/>
    <w:rsid w:val="0014100F"/>
    <w:rsid w:val="00141037"/>
    <w:rsid w:val="0014136B"/>
    <w:rsid w:val="00141E9A"/>
    <w:rsid w:val="0014244A"/>
    <w:rsid w:val="00142D5F"/>
    <w:rsid w:val="0014308B"/>
    <w:rsid w:val="001432B7"/>
    <w:rsid w:val="00143688"/>
    <w:rsid w:val="0014406A"/>
    <w:rsid w:val="001443F3"/>
    <w:rsid w:val="00144AA2"/>
    <w:rsid w:val="00145F95"/>
    <w:rsid w:val="001469C1"/>
    <w:rsid w:val="00146FBF"/>
    <w:rsid w:val="0014720C"/>
    <w:rsid w:val="0014772A"/>
    <w:rsid w:val="00147971"/>
    <w:rsid w:val="00147B9C"/>
    <w:rsid w:val="00147DA7"/>
    <w:rsid w:val="001512B1"/>
    <w:rsid w:val="00151601"/>
    <w:rsid w:val="00152771"/>
    <w:rsid w:val="0015277B"/>
    <w:rsid w:val="0015300D"/>
    <w:rsid w:val="00153158"/>
    <w:rsid w:val="00153950"/>
    <w:rsid w:val="00153B5E"/>
    <w:rsid w:val="00154B1D"/>
    <w:rsid w:val="00154C20"/>
    <w:rsid w:val="00154C9D"/>
    <w:rsid w:val="00155A66"/>
    <w:rsid w:val="00155B6F"/>
    <w:rsid w:val="00155C89"/>
    <w:rsid w:val="00155FB2"/>
    <w:rsid w:val="001565B3"/>
    <w:rsid w:val="00156810"/>
    <w:rsid w:val="001574FC"/>
    <w:rsid w:val="001575E9"/>
    <w:rsid w:val="00157CFD"/>
    <w:rsid w:val="00160441"/>
    <w:rsid w:val="0016077F"/>
    <w:rsid w:val="001618CA"/>
    <w:rsid w:val="00161CFB"/>
    <w:rsid w:val="00162497"/>
    <w:rsid w:val="001629D0"/>
    <w:rsid w:val="00162ECA"/>
    <w:rsid w:val="00163E17"/>
    <w:rsid w:val="001643B1"/>
    <w:rsid w:val="0016479A"/>
    <w:rsid w:val="00164C70"/>
    <w:rsid w:val="00164C94"/>
    <w:rsid w:val="00164D37"/>
    <w:rsid w:val="001651F8"/>
    <w:rsid w:val="00165673"/>
    <w:rsid w:val="00165A42"/>
    <w:rsid w:val="001666D2"/>
    <w:rsid w:val="00166E1E"/>
    <w:rsid w:val="00170213"/>
    <w:rsid w:val="0017047A"/>
    <w:rsid w:val="001705D9"/>
    <w:rsid w:val="001708FB"/>
    <w:rsid w:val="00170CEC"/>
    <w:rsid w:val="0017113C"/>
    <w:rsid w:val="001719C6"/>
    <w:rsid w:val="00171A46"/>
    <w:rsid w:val="00171AA8"/>
    <w:rsid w:val="00172A27"/>
    <w:rsid w:val="00172CCA"/>
    <w:rsid w:val="00172DAF"/>
    <w:rsid w:val="001738DC"/>
    <w:rsid w:val="00174756"/>
    <w:rsid w:val="00174A2C"/>
    <w:rsid w:val="00174E8C"/>
    <w:rsid w:val="00174F39"/>
    <w:rsid w:val="00174F84"/>
    <w:rsid w:val="00175575"/>
    <w:rsid w:val="00175879"/>
    <w:rsid w:val="00175AEA"/>
    <w:rsid w:val="00175B48"/>
    <w:rsid w:val="00175B6D"/>
    <w:rsid w:val="00175DE7"/>
    <w:rsid w:val="00176A6A"/>
    <w:rsid w:val="00176EEA"/>
    <w:rsid w:val="001770B3"/>
    <w:rsid w:val="001803A2"/>
    <w:rsid w:val="00180660"/>
    <w:rsid w:val="00180C5A"/>
    <w:rsid w:val="00180FFC"/>
    <w:rsid w:val="001813D3"/>
    <w:rsid w:val="00181EF4"/>
    <w:rsid w:val="00182B77"/>
    <w:rsid w:val="001831DD"/>
    <w:rsid w:val="00183EBC"/>
    <w:rsid w:val="00183F76"/>
    <w:rsid w:val="00184DD1"/>
    <w:rsid w:val="00184E64"/>
    <w:rsid w:val="0018606E"/>
    <w:rsid w:val="0018607E"/>
    <w:rsid w:val="00186934"/>
    <w:rsid w:val="001878AD"/>
    <w:rsid w:val="00187AE8"/>
    <w:rsid w:val="00187D31"/>
    <w:rsid w:val="001901CB"/>
    <w:rsid w:val="001903A3"/>
    <w:rsid w:val="0019072B"/>
    <w:rsid w:val="00190DFA"/>
    <w:rsid w:val="001921B7"/>
    <w:rsid w:val="00192580"/>
    <w:rsid w:val="00193527"/>
    <w:rsid w:val="001944F0"/>
    <w:rsid w:val="00194561"/>
    <w:rsid w:val="00195023"/>
    <w:rsid w:val="001951C3"/>
    <w:rsid w:val="00195DBB"/>
    <w:rsid w:val="001968D0"/>
    <w:rsid w:val="00196C62"/>
    <w:rsid w:val="0019729B"/>
    <w:rsid w:val="0019787B"/>
    <w:rsid w:val="001A02B2"/>
    <w:rsid w:val="001A0702"/>
    <w:rsid w:val="001A0726"/>
    <w:rsid w:val="001A0D00"/>
    <w:rsid w:val="001A2E89"/>
    <w:rsid w:val="001A3665"/>
    <w:rsid w:val="001A46D1"/>
    <w:rsid w:val="001A4910"/>
    <w:rsid w:val="001A4AC1"/>
    <w:rsid w:val="001A5DDE"/>
    <w:rsid w:val="001A62E5"/>
    <w:rsid w:val="001A6A5E"/>
    <w:rsid w:val="001A6E9A"/>
    <w:rsid w:val="001A7261"/>
    <w:rsid w:val="001A7301"/>
    <w:rsid w:val="001A74B9"/>
    <w:rsid w:val="001A7712"/>
    <w:rsid w:val="001A7A47"/>
    <w:rsid w:val="001B0310"/>
    <w:rsid w:val="001B0391"/>
    <w:rsid w:val="001B0E98"/>
    <w:rsid w:val="001B1657"/>
    <w:rsid w:val="001B23F0"/>
    <w:rsid w:val="001B2CF1"/>
    <w:rsid w:val="001B3062"/>
    <w:rsid w:val="001B4563"/>
    <w:rsid w:val="001B5888"/>
    <w:rsid w:val="001B5D79"/>
    <w:rsid w:val="001B73CC"/>
    <w:rsid w:val="001B74F1"/>
    <w:rsid w:val="001C0A3A"/>
    <w:rsid w:val="001C1279"/>
    <w:rsid w:val="001C1312"/>
    <w:rsid w:val="001C1444"/>
    <w:rsid w:val="001C18A3"/>
    <w:rsid w:val="001C23B0"/>
    <w:rsid w:val="001C25AA"/>
    <w:rsid w:val="001C2824"/>
    <w:rsid w:val="001C2966"/>
    <w:rsid w:val="001C399B"/>
    <w:rsid w:val="001C3F55"/>
    <w:rsid w:val="001C45E6"/>
    <w:rsid w:val="001C48A9"/>
    <w:rsid w:val="001C5AE6"/>
    <w:rsid w:val="001C5E18"/>
    <w:rsid w:val="001C5E38"/>
    <w:rsid w:val="001C628D"/>
    <w:rsid w:val="001C6710"/>
    <w:rsid w:val="001C7203"/>
    <w:rsid w:val="001C78A4"/>
    <w:rsid w:val="001C79AD"/>
    <w:rsid w:val="001C7EB5"/>
    <w:rsid w:val="001C7F56"/>
    <w:rsid w:val="001D139C"/>
    <w:rsid w:val="001D21F6"/>
    <w:rsid w:val="001D36C7"/>
    <w:rsid w:val="001D36F3"/>
    <w:rsid w:val="001D4FB2"/>
    <w:rsid w:val="001D63BE"/>
    <w:rsid w:val="001D690C"/>
    <w:rsid w:val="001D6E3E"/>
    <w:rsid w:val="001D703E"/>
    <w:rsid w:val="001D722C"/>
    <w:rsid w:val="001D7580"/>
    <w:rsid w:val="001D7F21"/>
    <w:rsid w:val="001E0038"/>
    <w:rsid w:val="001E06A1"/>
    <w:rsid w:val="001E06B2"/>
    <w:rsid w:val="001E1C11"/>
    <w:rsid w:val="001E1CBF"/>
    <w:rsid w:val="001E2285"/>
    <w:rsid w:val="001E32E6"/>
    <w:rsid w:val="001E36DE"/>
    <w:rsid w:val="001E4069"/>
    <w:rsid w:val="001E44F2"/>
    <w:rsid w:val="001E5DAF"/>
    <w:rsid w:val="001E6F16"/>
    <w:rsid w:val="001E6F8C"/>
    <w:rsid w:val="001E7BA5"/>
    <w:rsid w:val="001E7F1A"/>
    <w:rsid w:val="001F084E"/>
    <w:rsid w:val="001F0F26"/>
    <w:rsid w:val="001F109C"/>
    <w:rsid w:val="001F1578"/>
    <w:rsid w:val="001F16BA"/>
    <w:rsid w:val="001F1FB0"/>
    <w:rsid w:val="001F2CBC"/>
    <w:rsid w:val="001F386F"/>
    <w:rsid w:val="001F4481"/>
    <w:rsid w:val="001F4724"/>
    <w:rsid w:val="001F5A26"/>
    <w:rsid w:val="001F6203"/>
    <w:rsid w:val="001F693D"/>
    <w:rsid w:val="001F6FC9"/>
    <w:rsid w:val="001F763D"/>
    <w:rsid w:val="00200011"/>
    <w:rsid w:val="00200278"/>
    <w:rsid w:val="0020114D"/>
    <w:rsid w:val="00201D96"/>
    <w:rsid w:val="0020220F"/>
    <w:rsid w:val="0020289D"/>
    <w:rsid w:val="00202C2C"/>
    <w:rsid w:val="0020303D"/>
    <w:rsid w:val="00203869"/>
    <w:rsid w:val="00203B77"/>
    <w:rsid w:val="00203FDB"/>
    <w:rsid w:val="002041E3"/>
    <w:rsid w:val="002044BE"/>
    <w:rsid w:val="00206110"/>
    <w:rsid w:val="00206F94"/>
    <w:rsid w:val="0020705B"/>
    <w:rsid w:val="002071A6"/>
    <w:rsid w:val="00210857"/>
    <w:rsid w:val="002110A7"/>
    <w:rsid w:val="00212509"/>
    <w:rsid w:val="00212987"/>
    <w:rsid w:val="00212F4B"/>
    <w:rsid w:val="00213509"/>
    <w:rsid w:val="00213510"/>
    <w:rsid w:val="00213CA5"/>
    <w:rsid w:val="00213CC3"/>
    <w:rsid w:val="00214596"/>
    <w:rsid w:val="002146F7"/>
    <w:rsid w:val="002147A6"/>
    <w:rsid w:val="002148E8"/>
    <w:rsid w:val="002149F2"/>
    <w:rsid w:val="00214A59"/>
    <w:rsid w:val="00214ACB"/>
    <w:rsid w:val="00214EA4"/>
    <w:rsid w:val="0021590D"/>
    <w:rsid w:val="00215B0B"/>
    <w:rsid w:val="00215C53"/>
    <w:rsid w:val="00215C66"/>
    <w:rsid w:val="002169EF"/>
    <w:rsid w:val="00216B76"/>
    <w:rsid w:val="00216CDA"/>
    <w:rsid w:val="00217114"/>
    <w:rsid w:val="00217600"/>
    <w:rsid w:val="0021769A"/>
    <w:rsid w:val="002178BD"/>
    <w:rsid w:val="00220421"/>
    <w:rsid w:val="00220AD7"/>
    <w:rsid w:val="00221250"/>
    <w:rsid w:val="0022132F"/>
    <w:rsid w:val="00221C77"/>
    <w:rsid w:val="00221DFD"/>
    <w:rsid w:val="00222178"/>
    <w:rsid w:val="002223E6"/>
    <w:rsid w:val="00223B36"/>
    <w:rsid w:val="00223B44"/>
    <w:rsid w:val="002242FC"/>
    <w:rsid w:val="00224C01"/>
    <w:rsid w:val="00224EFD"/>
    <w:rsid w:val="0022618F"/>
    <w:rsid w:val="002262AD"/>
    <w:rsid w:val="00226D1E"/>
    <w:rsid w:val="00226EBE"/>
    <w:rsid w:val="002273B4"/>
    <w:rsid w:val="00227929"/>
    <w:rsid w:val="00230078"/>
    <w:rsid w:val="0023084B"/>
    <w:rsid w:val="002308C2"/>
    <w:rsid w:val="002317E4"/>
    <w:rsid w:val="0023254A"/>
    <w:rsid w:val="00233253"/>
    <w:rsid w:val="0023405A"/>
    <w:rsid w:val="00234217"/>
    <w:rsid w:val="00234DB2"/>
    <w:rsid w:val="00234DC9"/>
    <w:rsid w:val="00235B9E"/>
    <w:rsid w:val="002364B6"/>
    <w:rsid w:val="00236A1A"/>
    <w:rsid w:val="00240415"/>
    <w:rsid w:val="002408BC"/>
    <w:rsid w:val="002412E3"/>
    <w:rsid w:val="002424C0"/>
    <w:rsid w:val="0024259E"/>
    <w:rsid w:val="00242AD8"/>
    <w:rsid w:val="00242EDB"/>
    <w:rsid w:val="0024467B"/>
    <w:rsid w:val="002446F9"/>
    <w:rsid w:val="00244BDE"/>
    <w:rsid w:val="00245284"/>
    <w:rsid w:val="0024569E"/>
    <w:rsid w:val="00245C04"/>
    <w:rsid w:val="00246FF2"/>
    <w:rsid w:val="0024766E"/>
    <w:rsid w:val="0024771E"/>
    <w:rsid w:val="00247E3D"/>
    <w:rsid w:val="00250E42"/>
    <w:rsid w:val="002516B9"/>
    <w:rsid w:val="0025279D"/>
    <w:rsid w:val="00253EC3"/>
    <w:rsid w:val="00254A34"/>
    <w:rsid w:val="002553A9"/>
    <w:rsid w:val="00255670"/>
    <w:rsid w:val="002557FA"/>
    <w:rsid w:val="00255821"/>
    <w:rsid w:val="00255A5B"/>
    <w:rsid w:val="00255B70"/>
    <w:rsid w:val="00256EFE"/>
    <w:rsid w:val="00257631"/>
    <w:rsid w:val="002576CF"/>
    <w:rsid w:val="002579CC"/>
    <w:rsid w:val="00257E66"/>
    <w:rsid w:val="00260190"/>
    <w:rsid w:val="00260337"/>
    <w:rsid w:val="002603B7"/>
    <w:rsid w:val="00260951"/>
    <w:rsid w:val="00260D8B"/>
    <w:rsid w:val="00260FE5"/>
    <w:rsid w:val="002618FE"/>
    <w:rsid w:val="00261FFA"/>
    <w:rsid w:val="0026244A"/>
    <w:rsid w:val="00262520"/>
    <w:rsid w:val="00262C77"/>
    <w:rsid w:val="00262D61"/>
    <w:rsid w:val="00263A48"/>
    <w:rsid w:val="00264AEC"/>
    <w:rsid w:val="00264C4A"/>
    <w:rsid w:val="0026548C"/>
    <w:rsid w:val="00266E9D"/>
    <w:rsid w:val="002675BA"/>
    <w:rsid w:val="002677DC"/>
    <w:rsid w:val="002700DD"/>
    <w:rsid w:val="0027053B"/>
    <w:rsid w:val="002706CD"/>
    <w:rsid w:val="00271189"/>
    <w:rsid w:val="002718A1"/>
    <w:rsid w:val="00271FFC"/>
    <w:rsid w:val="00272D68"/>
    <w:rsid w:val="00273477"/>
    <w:rsid w:val="00274E0D"/>
    <w:rsid w:val="0027520F"/>
    <w:rsid w:val="002754D9"/>
    <w:rsid w:val="00275CB5"/>
    <w:rsid w:val="00276117"/>
    <w:rsid w:val="00276150"/>
    <w:rsid w:val="00276A46"/>
    <w:rsid w:val="00276ACA"/>
    <w:rsid w:val="00276D31"/>
    <w:rsid w:val="002776D4"/>
    <w:rsid w:val="0027776D"/>
    <w:rsid w:val="0028091D"/>
    <w:rsid w:val="00280BF3"/>
    <w:rsid w:val="00281777"/>
    <w:rsid w:val="00281880"/>
    <w:rsid w:val="00281FC5"/>
    <w:rsid w:val="0028254F"/>
    <w:rsid w:val="00282BBA"/>
    <w:rsid w:val="00282D5E"/>
    <w:rsid w:val="00283102"/>
    <w:rsid w:val="00283412"/>
    <w:rsid w:val="002841AA"/>
    <w:rsid w:val="00284444"/>
    <w:rsid w:val="00285263"/>
    <w:rsid w:val="002852A5"/>
    <w:rsid w:val="00286706"/>
    <w:rsid w:val="00286D68"/>
    <w:rsid w:val="0028729A"/>
    <w:rsid w:val="002876F8"/>
    <w:rsid w:val="0028781C"/>
    <w:rsid w:val="00290643"/>
    <w:rsid w:val="00290FE7"/>
    <w:rsid w:val="00291673"/>
    <w:rsid w:val="00291762"/>
    <w:rsid w:val="0029191C"/>
    <w:rsid w:val="00291E4F"/>
    <w:rsid w:val="00292813"/>
    <w:rsid w:val="00292A21"/>
    <w:rsid w:val="00292BCA"/>
    <w:rsid w:val="00293C95"/>
    <w:rsid w:val="00294011"/>
    <w:rsid w:val="002945C5"/>
    <w:rsid w:val="002945DD"/>
    <w:rsid w:val="00294C23"/>
    <w:rsid w:val="002951E7"/>
    <w:rsid w:val="002954FF"/>
    <w:rsid w:val="00295D28"/>
    <w:rsid w:val="00295DA6"/>
    <w:rsid w:val="00295F1A"/>
    <w:rsid w:val="00296509"/>
    <w:rsid w:val="002972C4"/>
    <w:rsid w:val="0029798A"/>
    <w:rsid w:val="002A0188"/>
    <w:rsid w:val="002A04A4"/>
    <w:rsid w:val="002A1665"/>
    <w:rsid w:val="002A188D"/>
    <w:rsid w:val="002A2001"/>
    <w:rsid w:val="002A23BC"/>
    <w:rsid w:val="002A2560"/>
    <w:rsid w:val="002A2E39"/>
    <w:rsid w:val="002A30D8"/>
    <w:rsid w:val="002A3824"/>
    <w:rsid w:val="002A38CA"/>
    <w:rsid w:val="002A3945"/>
    <w:rsid w:val="002A3C26"/>
    <w:rsid w:val="002A4956"/>
    <w:rsid w:val="002A5DC0"/>
    <w:rsid w:val="002A6001"/>
    <w:rsid w:val="002A616D"/>
    <w:rsid w:val="002A652D"/>
    <w:rsid w:val="002A6F84"/>
    <w:rsid w:val="002A7196"/>
    <w:rsid w:val="002A7263"/>
    <w:rsid w:val="002A759C"/>
    <w:rsid w:val="002B02CC"/>
    <w:rsid w:val="002B067A"/>
    <w:rsid w:val="002B117F"/>
    <w:rsid w:val="002B1652"/>
    <w:rsid w:val="002B1D3D"/>
    <w:rsid w:val="002B242A"/>
    <w:rsid w:val="002B24EF"/>
    <w:rsid w:val="002B2992"/>
    <w:rsid w:val="002B2B96"/>
    <w:rsid w:val="002B4B57"/>
    <w:rsid w:val="002B4B60"/>
    <w:rsid w:val="002B533C"/>
    <w:rsid w:val="002B5716"/>
    <w:rsid w:val="002B5F5E"/>
    <w:rsid w:val="002B65BF"/>
    <w:rsid w:val="002B6AE1"/>
    <w:rsid w:val="002B6D88"/>
    <w:rsid w:val="002B70DD"/>
    <w:rsid w:val="002B798B"/>
    <w:rsid w:val="002C09E5"/>
    <w:rsid w:val="002C0FCF"/>
    <w:rsid w:val="002C24F1"/>
    <w:rsid w:val="002C3B6F"/>
    <w:rsid w:val="002C3F52"/>
    <w:rsid w:val="002C4085"/>
    <w:rsid w:val="002C4586"/>
    <w:rsid w:val="002C48F1"/>
    <w:rsid w:val="002C53A3"/>
    <w:rsid w:val="002C610C"/>
    <w:rsid w:val="002C676B"/>
    <w:rsid w:val="002C792E"/>
    <w:rsid w:val="002D0877"/>
    <w:rsid w:val="002D1065"/>
    <w:rsid w:val="002D194E"/>
    <w:rsid w:val="002D1CB9"/>
    <w:rsid w:val="002D1E15"/>
    <w:rsid w:val="002D2205"/>
    <w:rsid w:val="002D2677"/>
    <w:rsid w:val="002D2D53"/>
    <w:rsid w:val="002D2E1D"/>
    <w:rsid w:val="002D307A"/>
    <w:rsid w:val="002D327F"/>
    <w:rsid w:val="002D3D61"/>
    <w:rsid w:val="002D4049"/>
    <w:rsid w:val="002D449B"/>
    <w:rsid w:val="002D5A09"/>
    <w:rsid w:val="002D5B59"/>
    <w:rsid w:val="002D6308"/>
    <w:rsid w:val="002D64AB"/>
    <w:rsid w:val="002D657D"/>
    <w:rsid w:val="002D6E08"/>
    <w:rsid w:val="002D6E4D"/>
    <w:rsid w:val="002D71BC"/>
    <w:rsid w:val="002D7E63"/>
    <w:rsid w:val="002E0114"/>
    <w:rsid w:val="002E04F9"/>
    <w:rsid w:val="002E0BDE"/>
    <w:rsid w:val="002E0CFA"/>
    <w:rsid w:val="002E0E4F"/>
    <w:rsid w:val="002E162A"/>
    <w:rsid w:val="002E183B"/>
    <w:rsid w:val="002E1C0E"/>
    <w:rsid w:val="002E1E2D"/>
    <w:rsid w:val="002E1F97"/>
    <w:rsid w:val="002E253E"/>
    <w:rsid w:val="002E2678"/>
    <w:rsid w:val="002E285C"/>
    <w:rsid w:val="002E3685"/>
    <w:rsid w:val="002E36A4"/>
    <w:rsid w:val="002E4A4C"/>
    <w:rsid w:val="002E5203"/>
    <w:rsid w:val="002E5BC9"/>
    <w:rsid w:val="002E64DA"/>
    <w:rsid w:val="002E65E1"/>
    <w:rsid w:val="002E69F1"/>
    <w:rsid w:val="002E6BCD"/>
    <w:rsid w:val="002E6C3B"/>
    <w:rsid w:val="002E6EA5"/>
    <w:rsid w:val="002E7660"/>
    <w:rsid w:val="002F000C"/>
    <w:rsid w:val="002F0030"/>
    <w:rsid w:val="002F0140"/>
    <w:rsid w:val="002F05B4"/>
    <w:rsid w:val="002F0A67"/>
    <w:rsid w:val="002F0E1A"/>
    <w:rsid w:val="002F1091"/>
    <w:rsid w:val="002F109B"/>
    <w:rsid w:val="002F1176"/>
    <w:rsid w:val="002F1324"/>
    <w:rsid w:val="002F1B01"/>
    <w:rsid w:val="002F1CD9"/>
    <w:rsid w:val="002F1CEE"/>
    <w:rsid w:val="002F200C"/>
    <w:rsid w:val="002F218C"/>
    <w:rsid w:val="002F2315"/>
    <w:rsid w:val="002F2C4B"/>
    <w:rsid w:val="002F37CE"/>
    <w:rsid w:val="002F52DA"/>
    <w:rsid w:val="002F6168"/>
    <w:rsid w:val="002F622D"/>
    <w:rsid w:val="002F64E8"/>
    <w:rsid w:val="002F67DE"/>
    <w:rsid w:val="002F6995"/>
    <w:rsid w:val="002F7783"/>
    <w:rsid w:val="002F79DD"/>
    <w:rsid w:val="002F7BBA"/>
    <w:rsid w:val="00300292"/>
    <w:rsid w:val="00301AC7"/>
    <w:rsid w:val="00301DC6"/>
    <w:rsid w:val="0030251E"/>
    <w:rsid w:val="003035BE"/>
    <w:rsid w:val="00303903"/>
    <w:rsid w:val="00303DC2"/>
    <w:rsid w:val="00303DCC"/>
    <w:rsid w:val="00303DFD"/>
    <w:rsid w:val="0030408A"/>
    <w:rsid w:val="00304EE2"/>
    <w:rsid w:val="00305925"/>
    <w:rsid w:val="00307E60"/>
    <w:rsid w:val="003107F1"/>
    <w:rsid w:val="00312625"/>
    <w:rsid w:val="00312F4B"/>
    <w:rsid w:val="00313236"/>
    <w:rsid w:val="00313349"/>
    <w:rsid w:val="003133CB"/>
    <w:rsid w:val="003134EC"/>
    <w:rsid w:val="00313B4A"/>
    <w:rsid w:val="00313EEE"/>
    <w:rsid w:val="00314765"/>
    <w:rsid w:val="0031502C"/>
    <w:rsid w:val="0031505E"/>
    <w:rsid w:val="003153BA"/>
    <w:rsid w:val="003158D2"/>
    <w:rsid w:val="00317C10"/>
    <w:rsid w:val="00317E33"/>
    <w:rsid w:val="00320288"/>
    <w:rsid w:val="00320442"/>
    <w:rsid w:val="003204CB"/>
    <w:rsid w:val="00320674"/>
    <w:rsid w:val="00321569"/>
    <w:rsid w:val="00321E6C"/>
    <w:rsid w:val="0032206B"/>
    <w:rsid w:val="003222B5"/>
    <w:rsid w:val="00322362"/>
    <w:rsid w:val="0032245C"/>
    <w:rsid w:val="00322596"/>
    <w:rsid w:val="00323471"/>
    <w:rsid w:val="00323C6B"/>
    <w:rsid w:val="00325382"/>
    <w:rsid w:val="00325BD9"/>
    <w:rsid w:val="00325E9B"/>
    <w:rsid w:val="0032602B"/>
    <w:rsid w:val="0032630B"/>
    <w:rsid w:val="003263E9"/>
    <w:rsid w:val="00326DA1"/>
    <w:rsid w:val="0032713D"/>
    <w:rsid w:val="0032742D"/>
    <w:rsid w:val="00327D4F"/>
    <w:rsid w:val="00330755"/>
    <w:rsid w:val="00330B5C"/>
    <w:rsid w:val="0033185E"/>
    <w:rsid w:val="00331DC0"/>
    <w:rsid w:val="003320DC"/>
    <w:rsid w:val="00332A9D"/>
    <w:rsid w:val="00332BB0"/>
    <w:rsid w:val="0033346E"/>
    <w:rsid w:val="003339B3"/>
    <w:rsid w:val="00334D1A"/>
    <w:rsid w:val="003350FE"/>
    <w:rsid w:val="00335883"/>
    <w:rsid w:val="00335D27"/>
    <w:rsid w:val="00336043"/>
    <w:rsid w:val="00336321"/>
    <w:rsid w:val="00336418"/>
    <w:rsid w:val="003370B4"/>
    <w:rsid w:val="00337170"/>
    <w:rsid w:val="003371FE"/>
    <w:rsid w:val="003373A6"/>
    <w:rsid w:val="00337D0D"/>
    <w:rsid w:val="003403A0"/>
    <w:rsid w:val="0034066F"/>
    <w:rsid w:val="0034218F"/>
    <w:rsid w:val="0034225A"/>
    <w:rsid w:val="00342C7B"/>
    <w:rsid w:val="00342EA9"/>
    <w:rsid w:val="00342FA5"/>
    <w:rsid w:val="00343D2E"/>
    <w:rsid w:val="00344B0C"/>
    <w:rsid w:val="003452F9"/>
    <w:rsid w:val="0034554C"/>
    <w:rsid w:val="00345A47"/>
    <w:rsid w:val="00346078"/>
    <w:rsid w:val="003461F7"/>
    <w:rsid w:val="00347202"/>
    <w:rsid w:val="00347A42"/>
    <w:rsid w:val="00350627"/>
    <w:rsid w:val="00350A15"/>
    <w:rsid w:val="00350C21"/>
    <w:rsid w:val="0035163E"/>
    <w:rsid w:val="003520A3"/>
    <w:rsid w:val="003531EB"/>
    <w:rsid w:val="003554A2"/>
    <w:rsid w:val="003564F4"/>
    <w:rsid w:val="00356895"/>
    <w:rsid w:val="00356C62"/>
    <w:rsid w:val="00356CE2"/>
    <w:rsid w:val="0035723B"/>
    <w:rsid w:val="0035785B"/>
    <w:rsid w:val="003600CB"/>
    <w:rsid w:val="00360722"/>
    <w:rsid w:val="00360781"/>
    <w:rsid w:val="003607AB"/>
    <w:rsid w:val="00360948"/>
    <w:rsid w:val="0036094F"/>
    <w:rsid w:val="00360C41"/>
    <w:rsid w:val="00360D13"/>
    <w:rsid w:val="00360E40"/>
    <w:rsid w:val="003611B6"/>
    <w:rsid w:val="00361207"/>
    <w:rsid w:val="003621A3"/>
    <w:rsid w:val="00362519"/>
    <w:rsid w:val="0036292A"/>
    <w:rsid w:val="00363258"/>
    <w:rsid w:val="00363AA5"/>
    <w:rsid w:val="00364521"/>
    <w:rsid w:val="00364BE4"/>
    <w:rsid w:val="00364E0B"/>
    <w:rsid w:val="003654A8"/>
    <w:rsid w:val="003658C1"/>
    <w:rsid w:val="00365A62"/>
    <w:rsid w:val="00365AFF"/>
    <w:rsid w:val="00365BA4"/>
    <w:rsid w:val="003662F0"/>
    <w:rsid w:val="00367F40"/>
    <w:rsid w:val="00370969"/>
    <w:rsid w:val="00370D90"/>
    <w:rsid w:val="00371767"/>
    <w:rsid w:val="00371908"/>
    <w:rsid w:val="0037223C"/>
    <w:rsid w:val="003732C0"/>
    <w:rsid w:val="00373BC9"/>
    <w:rsid w:val="00374267"/>
    <w:rsid w:val="00374662"/>
    <w:rsid w:val="00374A51"/>
    <w:rsid w:val="00374B3A"/>
    <w:rsid w:val="003754F6"/>
    <w:rsid w:val="003754FD"/>
    <w:rsid w:val="0037559E"/>
    <w:rsid w:val="00375B76"/>
    <w:rsid w:val="00375D51"/>
    <w:rsid w:val="003768CA"/>
    <w:rsid w:val="0037695D"/>
    <w:rsid w:val="00377151"/>
    <w:rsid w:val="0037737A"/>
    <w:rsid w:val="00377575"/>
    <w:rsid w:val="00377871"/>
    <w:rsid w:val="0038063F"/>
    <w:rsid w:val="00380D6B"/>
    <w:rsid w:val="003819BA"/>
    <w:rsid w:val="00381C3D"/>
    <w:rsid w:val="00382397"/>
    <w:rsid w:val="003823F1"/>
    <w:rsid w:val="003834C0"/>
    <w:rsid w:val="00383892"/>
    <w:rsid w:val="00383B23"/>
    <w:rsid w:val="0038495A"/>
    <w:rsid w:val="00384A11"/>
    <w:rsid w:val="00384A78"/>
    <w:rsid w:val="00384D9F"/>
    <w:rsid w:val="003854C7"/>
    <w:rsid w:val="003868B0"/>
    <w:rsid w:val="00386AE8"/>
    <w:rsid w:val="00386C62"/>
    <w:rsid w:val="003871E2"/>
    <w:rsid w:val="00387F30"/>
    <w:rsid w:val="00390212"/>
    <w:rsid w:val="00390584"/>
    <w:rsid w:val="00391049"/>
    <w:rsid w:val="003919BE"/>
    <w:rsid w:val="00391A90"/>
    <w:rsid w:val="0039262E"/>
    <w:rsid w:val="0039275C"/>
    <w:rsid w:val="0039324E"/>
    <w:rsid w:val="00393902"/>
    <w:rsid w:val="00393DDF"/>
    <w:rsid w:val="00394394"/>
    <w:rsid w:val="00395054"/>
    <w:rsid w:val="00395214"/>
    <w:rsid w:val="0039535F"/>
    <w:rsid w:val="003954EA"/>
    <w:rsid w:val="003954F9"/>
    <w:rsid w:val="00396141"/>
    <w:rsid w:val="00396642"/>
    <w:rsid w:val="00396EAE"/>
    <w:rsid w:val="00397AAA"/>
    <w:rsid w:val="003A09A6"/>
    <w:rsid w:val="003A16A4"/>
    <w:rsid w:val="003A1D3C"/>
    <w:rsid w:val="003A22A3"/>
    <w:rsid w:val="003A3A2D"/>
    <w:rsid w:val="003A3E2C"/>
    <w:rsid w:val="003A44D5"/>
    <w:rsid w:val="003A4850"/>
    <w:rsid w:val="003A4A31"/>
    <w:rsid w:val="003A4BC6"/>
    <w:rsid w:val="003A5A07"/>
    <w:rsid w:val="003A5F6A"/>
    <w:rsid w:val="003A6B17"/>
    <w:rsid w:val="003A6BD4"/>
    <w:rsid w:val="003A7048"/>
    <w:rsid w:val="003A7CAE"/>
    <w:rsid w:val="003A7D44"/>
    <w:rsid w:val="003A7E1F"/>
    <w:rsid w:val="003B052B"/>
    <w:rsid w:val="003B0941"/>
    <w:rsid w:val="003B0C36"/>
    <w:rsid w:val="003B16D3"/>
    <w:rsid w:val="003B280F"/>
    <w:rsid w:val="003B29DE"/>
    <w:rsid w:val="003B3212"/>
    <w:rsid w:val="003B418D"/>
    <w:rsid w:val="003B5643"/>
    <w:rsid w:val="003B59BB"/>
    <w:rsid w:val="003B5AC3"/>
    <w:rsid w:val="003B6337"/>
    <w:rsid w:val="003B6B99"/>
    <w:rsid w:val="003B6F2D"/>
    <w:rsid w:val="003B71CE"/>
    <w:rsid w:val="003B7504"/>
    <w:rsid w:val="003C074B"/>
    <w:rsid w:val="003C198A"/>
    <w:rsid w:val="003C1B79"/>
    <w:rsid w:val="003C2231"/>
    <w:rsid w:val="003C22CE"/>
    <w:rsid w:val="003C26EB"/>
    <w:rsid w:val="003C2A1B"/>
    <w:rsid w:val="003C3320"/>
    <w:rsid w:val="003C3BA8"/>
    <w:rsid w:val="003C407D"/>
    <w:rsid w:val="003C4DB2"/>
    <w:rsid w:val="003C51AE"/>
    <w:rsid w:val="003C5310"/>
    <w:rsid w:val="003C55C3"/>
    <w:rsid w:val="003C57C4"/>
    <w:rsid w:val="003C5DAB"/>
    <w:rsid w:val="003C6473"/>
    <w:rsid w:val="003C64B0"/>
    <w:rsid w:val="003C6A68"/>
    <w:rsid w:val="003C6CFD"/>
    <w:rsid w:val="003C6FA1"/>
    <w:rsid w:val="003C713F"/>
    <w:rsid w:val="003C72ED"/>
    <w:rsid w:val="003C7665"/>
    <w:rsid w:val="003C7CDC"/>
    <w:rsid w:val="003D010E"/>
    <w:rsid w:val="003D0E16"/>
    <w:rsid w:val="003D1843"/>
    <w:rsid w:val="003D1AA0"/>
    <w:rsid w:val="003D1AB1"/>
    <w:rsid w:val="003D1F70"/>
    <w:rsid w:val="003D2B6D"/>
    <w:rsid w:val="003D2DA5"/>
    <w:rsid w:val="003D378D"/>
    <w:rsid w:val="003D3AE9"/>
    <w:rsid w:val="003D3C97"/>
    <w:rsid w:val="003D3DAB"/>
    <w:rsid w:val="003D3E42"/>
    <w:rsid w:val="003D3F09"/>
    <w:rsid w:val="003D495A"/>
    <w:rsid w:val="003D4F2D"/>
    <w:rsid w:val="003D5561"/>
    <w:rsid w:val="003D5CFB"/>
    <w:rsid w:val="003D6148"/>
    <w:rsid w:val="003D61DA"/>
    <w:rsid w:val="003D72A7"/>
    <w:rsid w:val="003D76CE"/>
    <w:rsid w:val="003E1475"/>
    <w:rsid w:val="003E1B18"/>
    <w:rsid w:val="003E1D32"/>
    <w:rsid w:val="003E21A4"/>
    <w:rsid w:val="003E2AAA"/>
    <w:rsid w:val="003E2ED0"/>
    <w:rsid w:val="003E3092"/>
    <w:rsid w:val="003E325C"/>
    <w:rsid w:val="003E3994"/>
    <w:rsid w:val="003E3A21"/>
    <w:rsid w:val="003E3D54"/>
    <w:rsid w:val="003E3FD0"/>
    <w:rsid w:val="003E4319"/>
    <w:rsid w:val="003E4500"/>
    <w:rsid w:val="003E5071"/>
    <w:rsid w:val="003E521E"/>
    <w:rsid w:val="003E5307"/>
    <w:rsid w:val="003E5CF2"/>
    <w:rsid w:val="003E634F"/>
    <w:rsid w:val="003E6522"/>
    <w:rsid w:val="003E6C75"/>
    <w:rsid w:val="003E6D98"/>
    <w:rsid w:val="003E707E"/>
    <w:rsid w:val="003E7200"/>
    <w:rsid w:val="003E7288"/>
    <w:rsid w:val="003E75C2"/>
    <w:rsid w:val="003F078E"/>
    <w:rsid w:val="003F09EE"/>
    <w:rsid w:val="003F0AAE"/>
    <w:rsid w:val="003F0B74"/>
    <w:rsid w:val="003F0E3B"/>
    <w:rsid w:val="003F0E63"/>
    <w:rsid w:val="003F1538"/>
    <w:rsid w:val="003F1A65"/>
    <w:rsid w:val="003F1A7C"/>
    <w:rsid w:val="003F1C4B"/>
    <w:rsid w:val="003F276E"/>
    <w:rsid w:val="003F2883"/>
    <w:rsid w:val="003F2EAD"/>
    <w:rsid w:val="003F3612"/>
    <w:rsid w:val="003F3C79"/>
    <w:rsid w:val="003F4207"/>
    <w:rsid w:val="003F4DA7"/>
    <w:rsid w:val="003F4F5F"/>
    <w:rsid w:val="003F5166"/>
    <w:rsid w:val="003F53DC"/>
    <w:rsid w:val="003F578D"/>
    <w:rsid w:val="003F5EFC"/>
    <w:rsid w:val="003F7D18"/>
    <w:rsid w:val="003F7FD1"/>
    <w:rsid w:val="00400542"/>
    <w:rsid w:val="004007C7"/>
    <w:rsid w:val="004008A8"/>
    <w:rsid w:val="00401194"/>
    <w:rsid w:val="0040128A"/>
    <w:rsid w:val="00401768"/>
    <w:rsid w:val="0040177B"/>
    <w:rsid w:val="00401D99"/>
    <w:rsid w:val="00402077"/>
    <w:rsid w:val="004023B7"/>
    <w:rsid w:val="0040262D"/>
    <w:rsid w:val="00402AF5"/>
    <w:rsid w:val="00403C7E"/>
    <w:rsid w:val="0040446F"/>
    <w:rsid w:val="0040456E"/>
    <w:rsid w:val="00405236"/>
    <w:rsid w:val="00406111"/>
    <w:rsid w:val="0040617E"/>
    <w:rsid w:val="004061BA"/>
    <w:rsid w:val="0040646E"/>
    <w:rsid w:val="00406A99"/>
    <w:rsid w:val="00406DFA"/>
    <w:rsid w:val="00406FFD"/>
    <w:rsid w:val="00407151"/>
    <w:rsid w:val="0040716B"/>
    <w:rsid w:val="004072DE"/>
    <w:rsid w:val="00407ECC"/>
    <w:rsid w:val="004103AE"/>
    <w:rsid w:val="00410932"/>
    <w:rsid w:val="004109EB"/>
    <w:rsid w:val="00410B60"/>
    <w:rsid w:val="00410CFC"/>
    <w:rsid w:val="0041114E"/>
    <w:rsid w:val="0041125A"/>
    <w:rsid w:val="0041198C"/>
    <w:rsid w:val="00411EF9"/>
    <w:rsid w:val="00411F5C"/>
    <w:rsid w:val="004126C4"/>
    <w:rsid w:val="0041287F"/>
    <w:rsid w:val="00412F92"/>
    <w:rsid w:val="00413CBE"/>
    <w:rsid w:val="0041413A"/>
    <w:rsid w:val="004142D0"/>
    <w:rsid w:val="0041518A"/>
    <w:rsid w:val="00415313"/>
    <w:rsid w:val="004155F9"/>
    <w:rsid w:val="00415B5D"/>
    <w:rsid w:val="00415D42"/>
    <w:rsid w:val="0041672F"/>
    <w:rsid w:val="00416903"/>
    <w:rsid w:val="004169D7"/>
    <w:rsid w:val="0042030B"/>
    <w:rsid w:val="00420506"/>
    <w:rsid w:val="0042052F"/>
    <w:rsid w:val="00421765"/>
    <w:rsid w:val="00421E3B"/>
    <w:rsid w:val="00422A29"/>
    <w:rsid w:val="00424EF7"/>
    <w:rsid w:val="004252AC"/>
    <w:rsid w:val="00425A9E"/>
    <w:rsid w:val="00425D8B"/>
    <w:rsid w:val="00425FC3"/>
    <w:rsid w:val="004263EA"/>
    <w:rsid w:val="00426460"/>
    <w:rsid w:val="00427994"/>
    <w:rsid w:val="00427AD3"/>
    <w:rsid w:val="00430AA4"/>
    <w:rsid w:val="00430B30"/>
    <w:rsid w:val="00431358"/>
    <w:rsid w:val="00431401"/>
    <w:rsid w:val="00431567"/>
    <w:rsid w:val="004316D7"/>
    <w:rsid w:val="0043175C"/>
    <w:rsid w:val="0043235F"/>
    <w:rsid w:val="00432573"/>
    <w:rsid w:val="0043296F"/>
    <w:rsid w:val="00432AB0"/>
    <w:rsid w:val="004334DD"/>
    <w:rsid w:val="0043353A"/>
    <w:rsid w:val="004337C8"/>
    <w:rsid w:val="00433CED"/>
    <w:rsid w:val="00434198"/>
    <w:rsid w:val="0043459C"/>
    <w:rsid w:val="0043549E"/>
    <w:rsid w:val="0043563B"/>
    <w:rsid w:val="00436114"/>
    <w:rsid w:val="004363FD"/>
    <w:rsid w:val="0043685C"/>
    <w:rsid w:val="00436CB8"/>
    <w:rsid w:val="00437149"/>
    <w:rsid w:val="004374FE"/>
    <w:rsid w:val="004375C4"/>
    <w:rsid w:val="0043760F"/>
    <w:rsid w:val="0043768A"/>
    <w:rsid w:val="00437BB6"/>
    <w:rsid w:val="00437C94"/>
    <w:rsid w:val="004403F4"/>
    <w:rsid w:val="00440729"/>
    <w:rsid w:val="00440C8C"/>
    <w:rsid w:val="00441882"/>
    <w:rsid w:val="00442D01"/>
    <w:rsid w:val="00443765"/>
    <w:rsid w:val="00443941"/>
    <w:rsid w:val="00443B28"/>
    <w:rsid w:val="00443F23"/>
    <w:rsid w:val="004447F5"/>
    <w:rsid w:val="004449C5"/>
    <w:rsid w:val="00444D17"/>
    <w:rsid w:val="004451B8"/>
    <w:rsid w:val="00445610"/>
    <w:rsid w:val="004463F2"/>
    <w:rsid w:val="00446697"/>
    <w:rsid w:val="0044689F"/>
    <w:rsid w:val="00446957"/>
    <w:rsid w:val="00446A72"/>
    <w:rsid w:val="00446D02"/>
    <w:rsid w:val="00446D17"/>
    <w:rsid w:val="0044740D"/>
    <w:rsid w:val="0044766F"/>
    <w:rsid w:val="0044788F"/>
    <w:rsid w:val="00447F08"/>
    <w:rsid w:val="00447F6F"/>
    <w:rsid w:val="0045198C"/>
    <w:rsid w:val="004534CE"/>
    <w:rsid w:val="004534F9"/>
    <w:rsid w:val="00453A56"/>
    <w:rsid w:val="0045404C"/>
    <w:rsid w:val="00454264"/>
    <w:rsid w:val="0045471B"/>
    <w:rsid w:val="00455001"/>
    <w:rsid w:val="00455290"/>
    <w:rsid w:val="00455458"/>
    <w:rsid w:val="0045599D"/>
    <w:rsid w:val="004559A6"/>
    <w:rsid w:val="004565F4"/>
    <w:rsid w:val="00456780"/>
    <w:rsid w:val="004569DB"/>
    <w:rsid w:val="00457B13"/>
    <w:rsid w:val="00457B31"/>
    <w:rsid w:val="00457CC0"/>
    <w:rsid w:val="00457F9B"/>
    <w:rsid w:val="00460B99"/>
    <w:rsid w:val="00461009"/>
    <w:rsid w:val="004615EC"/>
    <w:rsid w:val="0046174F"/>
    <w:rsid w:val="004618FA"/>
    <w:rsid w:val="00461A4D"/>
    <w:rsid w:val="00461BAF"/>
    <w:rsid w:val="00461D10"/>
    <w:rsid w:val="00461F0B"/>
    <w:rsid w:val="00462055"/>
    <w:rsid w:val="004626A3"/>
    <w:rsid w:val="004628A5"/>
    <w:rsid w:val="00462B88"/>
    <w:rsid w:val="004630BE"/>
    <w:rsid w:val="00463288"/>
    <w:rsid w:val="00463D36"/>
    <w:rsid w:val="004644B9"/>
    <w:rsid w:val="004647A5"/>
    <w:rsid w:val="00464807"/>
    <w:rsid w:val="00464FC8"/>
    <w:rsid w:val="00465B92"/>
    <w:rsid w:val="00465E2D"/>
    <w:rsid w:val="00466077"/>
    <w:rsid w:val="004669C9"/>
    <w:rsid w:val="00466BBD"/>
    <w:rsid w:val="00466E06"/>
    <w:rsid w:val="00466FD2"/>
    <w:rsid w:val="004677C1"/>
    <w:rsid w:val="00467C10"/>
    <w:rsid w:val="00467E05"/>
    <w:rsid w:val="00467FAD"/>
    <w:rsid w:val="00471994"/>
    <w:rsid w:val="00471E7D"/>
    <w:rsid w:val="00472115"/>
    <w:rsid w:val="00472775"/>
    <w:rsid w:val="004727C6"/>
    <w:rsid w:val="004727C9"/>
    <w:rsid w:val="00472E9B"/>
    <w:rsid w:val="004731A3"/>
    <w:rsid w:val="00473342"/>
    <w:rsid w:val="004741A1"/>
    <w:rsid w:val="0047486F"/>
    <w:rsid w:val="00475954"/>
    <w:rsid w:val="004766DF"/>
    <w:rsid w:val="00476785"/>
    <w:rsid w:val="004773E8"/>
    <w:rsid w:val="0047798D"/>
    <w:rsid w:val="00477D2D"/>
    <w:rsid w:val="0048002B"/>
    <w:rsid w:val="004806EC"/>
    <w:rsid w:val="00481D10"/>
    <w:rsid w:val="00482C07"/>
    <w:rsid w:val="00482DE2"/>
    <w:rsid w:val="00483B13"/>
    <w:rsid w:val="004847B1"/>
    <w:rsid w:val="004847CA"/>
    <w:rsid w:val="00484BFF"/>
    <w:rsid w:val="00484C27"/>
    <w:rsid w:val="00485F91"/>
    <w:rsid w:val="00486113"/>
    <w:rsid w:val="00486854"/>
    <w:rsid w:val="00486B8E"/>
    <w:rsid w:val="00487231"/>
    <w:rsid w:val="0048788A"/>
    <w:rsid w:val="00490A84"/>
    <w:rsid w:val="00491F8D"/>
    <w:rsid w:val="00492196"/>
    <w:rsid w:val="00492A5A"/>
    <w:rsid w:val="004937A9"/>
    <w:rsid w:val="00493F7E"/>
    <w:rsid w:val="004954E0"/>
    <w:rsid w:val="004957D0"/>
    <w:rsid w:val="00496202"/>
    <w:rsid w:val="00496DE2"/>
    <w:rsid w:val="00496F51"/>
    <w:rsid w:val="004971EC"/>
    <w:rsid w:val="004978AC"/>
    <w:rsid w:val="00497A34"/>
    <w:rsid w:val="00497E0F"/>
    <w:rsid w:val="00497FAE"/>
    <w:rsid w:val="004A037E"/>
    <w:rsid w:val="004A0434"/>
    <w:rsid w:val="004A064C"/>
    <w:rsid w:val="004A0A44"/>
    <w:rsid w:val="004A0E9F"/>
    <w:rsid w:val="004A133B"/>
    <w:rsid w:val="004A13DA"/>
    <w:rsid w:val="004A166C"/>
    <w:rsid w:val="004A275D"/>
    <w:rsid w:val="004A293C"/>
    <w:rsid w:val="004A2BBD"/>
    <w:rsid w:val="004A388E"/>
    <w:rsid w:val="004A3DB4"/>
    <w:rsid w:val="004A4F1F"/>
    <w:rsid w:val="004A51AB"/>
    <w:rsid w:val="004A5774"/>
    <w:rsid w:val="004A7543"/>
    <w:rsid w:val="004A78D3"/>
    <w:rsid w:val="004B04B8"/>
    <w:rsid w:val="004B04D2"/>
    <w:rsid w:val="004B0B03"/>
    <w:rsid w:val="004B2CB5"/>
    <w:rsid w:val="004B3233"/>
    <w:rsid w:val="004B349D"/>
    <w:rsid w:val="004B3A11"/>
    <w:rsid w:val="004B3C96"/>
    <w:rsid w:val="004B3D54"/>
    <w:rsid w:val="004B3EA4"/>
    <w:rsid w:val="004B4F31"/>
    <w:rsid w:val="004B5372"/>
    <w:rsid w:val="004B54E0"/>
    <w:rsid w:val="004B5858"/>
    <w:rsid w:val="004B5965"/>
    <w:rsid w:val="004B5CD1"/>
    <w:rsid w:val="004B600F"/>
    <w:rsid w:val="004B602C"/>
    <w:rsid w:val="004B6056"/>
    <w:rsid w:val="004B60D9"/>
    <w:rsid w:val="004B7113"/>
    <w:rsid w:val="004B7568"/>
    <w:rsid w:val="004B7763"/>
    <w:rsid w:val="004B7814"/>
    <w:rsid w:val="004B7DC0"/>
    <w:rsid w:val="004C0384"/>
    <w:rsid w:val="004C0D5E"/>
    <w:rsid w:val="004C0E24"/>
    <w:rsid w:val="004C1D3E"/>
    <w:rsid w:val="004C22B6"/>
    <w:rsid w:val="004C2F55"/>
    <w:rsid w:val="004C36E4"/>
    <w:rsid w:val="004C3ECA"/>
    <w:rsid w:val="004C467A"/>
    <w:rsid w:val="004C4D02"/>
    <w:rsid w:val="004C4F22"/>
    <w:rsid w:val="004C4FE1"/>
    <w:rsid w:val="004C524B"/>
    <w:rsid w:val="004C57CD"/>
    <w:rsid w:val="004C6D5D"/>
    <w:rsid w:val="004C7A87"/>
    <w:rsid w:val="004C7B16"/>
    <w:rsid w:val="004D017C"/>
    <w:rsid w:val="004D0FD1"/>
    <w:rsid w:val="004D2523"/>
    <w:rsid w:val="004D2617"/>
    <w:rsid w:val="004D28B9"/>
    <w:rsid w:val="004D2B95"/>
    <w:rsid w:val="004D2FC2"/>
    <w:rsid w:val="004D3395"/>
    <w:rsid w:val="004D368C"/>
    <w:rsid w:val="004D3955"/>
    <w:rsid w:val="004D3D2A"/>
    <w:rsid w:val="004D4044"/>
    <w:rsid w:val="004D4118"/>
    <w:rsid w:val="004D51A3"/>
    <w:rsid w:val="004D564D"/>
    <w:rsid w:val="004D5FBA"/>
    <w:rsid w:val="004D61FA"/>
    <w:rsid w:val="004D66A4"/>
    <w:rsid w:val="004D7117"/>
    <w:rsid w:val="004D79D8"/>
    <w:rsid w:val="004E1010"/>
    <w:rsid w:val="004E18F7"/>
    <w:rsid w:val="004E1F90"/>
    <w:rsid w:val="004E1FFE"/>
    <w:rsid w:val="004E2054"/>
    <w:rsid w:val="004E30DF"/>
    <w:rsid w:val="004E3420"/>
    <w:rsid w:val="004E475B"/>
    <w:rsid w:val="004E5177"/>
    <w:rsid w:val="004E5319"/>
    <w:rsid w:val="004E5C68"/>
    <w:rsid w:val="004E60B5"/>
    <w:rsid w:val="004E62A8"/>
    <w:rsid w:val="004E7730"/>
    <w:rsid w:val="004E7B6B"/>
    <w:rsid w:val="004F0142"/>
    <w:rsid w:val="004F01F6"/>
    <w:rsid w:val="004F0EB2"/>
    <w:rsid w:val="004F0F11"/>
    <w:rsid w:val="004F151C"/>
    <w:rsid w:val="004F1522"/>
    <w:rsid w:val="004F1929"/>
    <w:rsid w:val="004F1A65"/>
    <w:rsid w:val="004F1FAB"/>
    <w:rsid w:val="004F2467"/>
    <w:rsid w:val="004F24C6"/>
    <w:rsid w:val="004F258D"/>
    <w:rsid w:val="004F28A3"/>
    <w:rsid w:val="004F3C28"/>
    <w:rsid w:val="004F3D28"/>
    <w:rsid w:val="004F3FEE"/>
    <w:rsid w:val="004F4942"/>
    <w:rsid w:val="004F5264"/>
    <w:rsid w:val="004F5E7B"/>
    <w:rsid w:val="004F6849"/>
    <w:rsid w:val="004F6F27"/>
    <w:rsid w:val="004F7304"/>
    <w:rsid w:val="004F7D00"/>
    <w:rsid w:val="004F7EA8"/>
    <w:rsid w:val="005008C4"/>
    <w:rsid w:val="00500996"/>
    <w:rsid w:val="00500A2A"/>
    <w:rsid w:val="00500E3C"/>
    <w:rsid w:val="00500EC9"/>
    <w:rsid w:val="00501202"/>
    <w:rsid w:val="00501531"/>
    <w:rsid w:val="0050192C"/>
    <w:rsid w:val="005019AB"/>
    <w:rsid w:val="00501A66"/>
    <w:rsid w:val="00502A54"/>
    <w:rsid w:val="005039FC"/>
    <w:rsid w:val="00503D05"/>
    <w:rsid w:val="00504785"/>
    <w:rsid w:val="00504963"/>
    <w:rsid w:val="0050575F"/>
    <w:rsid w:val="00505B69"/>
    <w:rsid w:val="00506937"/>
    <w:rsid w:val="00506CCD"/>
    <w:rsid w:val="00507120"/>
    <w:rsid w:val="005071C9"/>
    <w:rsid w:val="00507A4E"/>
    <w:rsid w:val="00510AF1"/>
    <w:rsid w:val="00510C6D"/>
    <w:rsid w:val="00510EC6"/>
    <w:rsid w:val="00510ED8"/>
    <w:rsid w:val="00510F27"/>
    <w:rsid w:val="005113D7"/>
    <w:rsid w:val="00511649"/>
    <w:rsid w:val="00512B58"/>
    <w:rsid w:val="00512D6B"/>
    <w:rsid w:val="00512ECD"/>
    <w:rsid w:val="00512FF2"/>
    <w:rsid w:val="00513189"/>
    <w:rsid w:val="005132CE"/>
    <w:rsid w:val="0051352A"/>
    <w:rsid w:val="00514D80"/>
    <w:rsid w:val="00515A18"/>
    <w:rsid w:val="00515DBB"/>
    <w:rsid w:val="00515DC6"/>
    <w:rsid w:val="00516553"/>
    <w:rsid w:val="005165DD"/>
    <w:rsid w:val="00516872"/>
    <w:rsid w:val="00516AAD"/>
    <w:rsid w:val="00516AC2"/>
    <w:rsid w:val="0051743B"/>
    <w:rsid w:val="00517600"/>
    <w:rsid w:val="00517B64"/>
    <w:rsid w:val="0052013E"/>
    <w:rsid w:val="00520DD8"/>
    <w:rsid w:val="00520EE3"/>
    <w:rsid w:val="005212B3"/>
    <w:rsid w:val="0052145E"/>
    <w:rsid w:val="0052161E"/>
    <w:rsid w:val="00521E56"/>
    <w:rsid w:val="0052210C"/>
    <w:rsid w:val="00522353"/>
    <w:rsid w:val="00522906"/>
    <w:rsid w:val="00522B97"/>
    <w:rsid w:val="00523286"/>
    <w:rsid w:val="00523558"/>
    <w:rsid w:val="00523908"/>
    <w:rsid w:val="00524135"/>
    <w:rsid w:val="00524CA9"/>
    <w:rsid w:val="00525DB7"/>
    <w:rsid w:val="005266D6"/>
    <w:rsid w:val="00526C8B"/>
    <w:rsid w:val="00527235"/>
    <w:rsid w:val="00527304"/>
    <w:rsid w:val="00527699"/>
    <w:rsid w:val="00527CAD"/>
    <w:rsid w:val="0053037A"/>
    <w:rsid w:val="0053074F"/>
    <w:rsid w:val="005307B6"/>
    <w:rsid w:val="005307D4"/>
    <w:rsid w:val="00530C38"/>
    <w:rsid w:val="0053116E"/>
    <w:rsid w:val="00531E20"/>
    <w:rsid w:val="005320AF"/>
    <w:rsid w:val="005322CB"/>
    <w:rsid w:val="00532760"/>
    <w:rsid w:val="00532AAB"/>
    <w:rsid w:val="00532BE8"/>
    <w:rsid w:val="005331F2"/>
    <w:rsid w:val="005349DB"/>
    <w:rsid w:val="00534C89"/>
    <w:rsid w:val="00534E1A"/>
    <w:rsid w:val="005355B1"/>
    <w:rsid w:val="005357C7"/>
    <w:rsid w:val="00535947"/>
    <w:rsid w:val="00536161"/>
    <w:rsid w:val="00536393"/>
    <w:rsid w:val="00536B65"/>
    <w:rsid w:val="005373D4"/>
    <w:rsid w:val="005402B4"/>
    <w:rsid w:val="00540A51"/>
    <w:rsid w:val="00540B97"/>
    <w:rsid w:val="00540C3B"/>
    <w:rsid w:val="00540CEB"/>
    <w:rsid w:val="005413B8"/>
    <w:rsid w:val="005414A5"/>
    <w:rsid w:val="00541763"/>
    <w:rsid w:val="005422CD"/>
    <w:rsid w:val="005423F2"/>
    <w:rsid w:val="00542BC7"/>
    <w:rsid w:val="00542C41"/>
    <w:rsid w:val="00542FAB"/>
    <w:rsid w:val="00543739"/>
    <w:rsid w:val="00543B1C"/>
    <w:rsid w:val="005441BA"/>
    <w:rsid w:val="00544D37"/>
    <w:rsid w:val="005452B6"/>
    <w:rsid w:val="00545F31"/>
    <w:rsid w:val="00546EE5"/>
    <w:rsid w:val="005471F8"/>
    <w:rsid w:val="00547481"/>
    <w:rsid w:val="0054771A"/>
    <w:rsid w:val="00547B63"/>
    <w:rsid w:val="00547CD4"/>
    <w:rsid w:val="00547F4B"/>
    <w:rsid w:val="00550774"/>
    <w:rsid w:val="00550B13"/>
    <w:rsid w:val="00550FC1"/>
    <w:rsid w:val="005513F5"/>
    <w:rsid w:val="0055165E"/>
    <w:rsid w:val="0055185E"/>
    <w:rsid w:val="00551B08"/>
    <w:rsid w:val="00551B97"/>
    <w:rsid w:val="005521D5"/>
    <w:rsid w:val="00552222"/>
    <w:rsid w:val="00552576"/>
    <w:rsid w:val="0055264A"/>
    <w:rsid w:val="00552FEB"/>
    <w:rsid w:val="005537AB"/>
    <w:rsid w:val="005537D6"/>
    <w:rsid w:val="00553A50"/>
    <w:rsid w:val="00553B65"/>
    <w:rsid w:val="00553E04"/>
    <w:rsid w:val="00554111"/>
    <w:rsid w:val="005541C0"/>
    <w:rsid w:val="005542EA"/>
    <w:rsid w:val="00554A50"/>
    <w:rsid w:val="00556807"/>
    <w:rsid w:val="00556920"/>
    <w:rsid w:val="005569C7"/>
    <w:rsid w:val="00556C24"/>
    <w:rsid w:val="00556E47"/>
    <w:rsid w:val="00556F5D"/>
    <w:rsid w:val="00557E7B"/>
    <w:rsid w:val="00557EB7"/>
    <w:rsid w:val="00560078"/>
    <w:rsid w:val="00560862"/>
    <w:rsid w:val="00560E7E"/>
    <w:rsid w:val="00561001"/>
    <w:rsid w:val="005611AF"/>
    <w:rsid w:val="00561C97"/>
    <w:rsid w:val="00561E2A"/>
    <w:rsid w:val="00562E63"/>
    <w:rsid w:val="005639FA"/>
    <w:rsid w:val="00563BFC"/>
    <w:rsid w:val="00563C16"/>
    <w:rsid w:val="00563CC9"/>
    <w:rsid w:val="00564062"/>
    <w:rsid w:val="005644DE"/>
    <w:rsid w:val="00564B6C"/>
    <w:rsid w:val="00564D0C"/>
    <w:rsid w:val="005657D9"/>
    <w:rsid w:val="0056594D"/>
    <w:rsid w:val="0056675B"/>
    <w:rsid w:val="0056690C"/>
    <w:rsid w:val="00566C53"/>
    <w:rsid w:val="00566CC3"/>
    <w:rsid w:val="0056700A"/>
    <w:rsid w:val="005671F0"/>
    <w:rsid w:val="005679B5"/>
    <w:rsid w:val="00567A25"/>
    <w:rsid w:val="00567C76"/>
    <w:rsid w:val="005700DC"/>
    <w:rsid w:val="005704F0"/>
    <w:rsid w:val="00570573"/>
    <w:rsid w:val="0057096E"/>
    <w:rsid w:val="00570AEB"/>
    <w:rsid w:val="00570BD2"/>
    <w:rsid w:val="00571393"/>
    <w:rsid w:val="00571C88"/>
    <w:rsid w:val="00571D7C"/>
    <w:rsid w:val="00572042"/>
    <w:rsid w:val="0057218E"/>
    <w:rsid w:val="005724D5"/>
    <w:rsid w:val="00572C9D"/>
    <w:rsid w:val="005732C3"/>
    <w:rsid w:val="00573399"/>
    <w:rsid w:val="005741A1"/>
    <w:rsid w:val="00574441"/>
    <w:rsid w:val="005753D6"/>
    <w:rsid w:val="00575798"/>
    <w:rsid w:val="00575923"/>
    <w:rsid w:val="00576151"/>
    <w:rsid w:val="00576860"/>
    <w:rsid w:val="005768FB"/>
    <w:rsid w:val="00576AEA"/>
    <w:rsid w:val="00580264"/>
    <w:rsid w:val="005803B6"/>
    <w:rsid w:val="00580B7A"/>
    <w:rsid w:val="005810E9"/>
    <w:rsid w:val="00581235"/>
    <w:rsid w:val="00581353"/>
    <w:rsid w:val="0058182B"/>
    <w:rsid w:val="00581903"/>
    <w:rsid w:val="00581C04"/>
    <w:rsid w:val="005822AE"/>
    <w:rsid w:val="0058236D"/>
    <w:rsid w:val="00582519"/>
    <w:rsid w:val="00582A0E"/>
    <w:rsid w:val="005845D9"/>
    <w:rsid w:val="005848D1"/>
    <w:rsid w:val="0058499B"/>
    <w:rsid w:val="00584FE5"/>
    <w:rsid w:val="005853F2"/>
    <w:rsid w:val="005857EA"/>
    <w:rsid w:val="00585C82"/>
    <w:rsid w:val="00586E84"/>
    <w:rsid w:val="005879BE"/>
    <w:rsid w:val="00590ABE"/>
    <w:rsid w:val="00590B86"/>
    <w:rsid w:val="00591125"/>
    <w:rsid w:val="005912AF"/>
    <w:rsid w:val="00591391"/>
    <w:rsid w:val="00591BDB"/>
    <w:rsid w:val="00591BED"/>
    <w:rsid w:val="00592280"/>
    <w:rsid w:val="00592830"/>
    <w:rsid w:val="005929D5"/>
    <w:rsid w:val="00593335"/>
    <w:rsid w:val="00593C12"/>
    <w:rsid w:val="00594D2C"/>
    <w:rsid w:val="0059646E"/>
    <w:rsid w:val="005968D1"/>
    <w:rsid w:val="00596A2E"/>
    <w:rsid w:val="00597F78"/>
    <w:rsid w:val="005A0182"/>
    <w:rsid w:val="005A08A3"/>
    <w:rsid w:val="005A0C52"/>
    <w:rsid w:val="005A0F9D"/>
    <w:rsid w:val="005A12A7"/>
    <w:rsid w:val="005A1967"/>
    <w:rsid w:val="005A2841"/>
    <w:rsid w:val="005A2FF3"/>
    <w:rsid w:val="005A3E68"/>
    <w:rsid w:val="005A4F29"/>
    <w:rsid w:val="005A59E4"/>
    <w:rsid w:val="005A6112"/>
    <w:rsid w:val="005A6248"/>
    <w:rsid w:val="005A646A"/>
    <w:rsid w:val="005A64D3"/>
    <w:rsid w:val="005A65A1"/>
    <w:rsid w:val="005A67C8"/>
    <w:rsid w:val="005A67F3"/>
    <w:rsid w:val="005A702A"/>
    <w:rsid w:val="005A7241"/>
    <w:rsid w:val="005A7604"/>
    <w:rsid w:val="005A79A0"/>
    <w:rsid w:val="005B071F"/>
    <w:rsid w:val="005B0FE7"/>
    <w:rsid w:val="005B1453"/>
    <w:rsid w:val="005B25A4"/>
    <w:rsid w:val="005B3023"/>
    <w:rsid w:val="005B31F4"/>
    <w:rsid w:val="005B3538"/>
    <w:rsid w:val="005B3F88"/>
    <w:rsid w:val="005B433C"/>
    <w:rsid w:val="005B455C"/>
    <w:rsid w:val="005B5826"/>
    <w:rsid w:val="005B650C"/>
    <w:rsid w:val="005B6695"/>
    <w:rsid w:val="005B6832"/>
    <w:rsid w:val="005B691B"/>
    <w:rsid w:val="005B6944"/>
    <w:rsid w:val="005B738D"/>
    <w:rsid w:val="005B7866"/>
    <w:rsid w:val="005B7C9D"/>
    <w:rsid w:val="005C00D6"/>
    <w:rsid w:val="005C04D1"/>
    <w:rsid w:val="005C04E2"/>
    <w:rsid w:val="005C06C3"/>
    <w:rsid w:val="005C098D"/>
    <w:rsid w:val="005C14C6"/>
    <w:rsid w:val="005C1FC0"/>
    <w:rsid w:val="005C2C05"/>
    <w:rsid w:val="005C3831"/>
    <w:rsid w:val="005C39E5"/>
    <w:rsid w:val="005C3CBA"/>
    <w:rsid w:val="005C3F33"/>
    <w:rsid w:val="005C44D4"/>
    <w:rsid w:val="005C4F69"/>
    <w:rsid w:val="005C5047"/>
    <w:rsid w:val="005C5483"/>
    <w:rsid w:val="005C55BB"/>
    <w:rsid w:val="005C581D"/>
    <w:rsid w:val="005C645B"/>
    <w:rsid w:val="005C69C0"/>
    <w:rsid w:val="005C6BD3"/>
    <w:rsid w:val="005C7DB7"/>
    <w:rsid w:val="005D0F58"/>
    <w:rsid w:val="005D1308"/>
    <w:rsid w:val="005D1561"/>
    <w:rsid w:val="005D2549"/>
    <w:rsid w:val="005D3866"/>
    <w:rsid w:val="005D3A1F"/>
    <w:rsid w:val="005D50E3"/>
    <w:rsid w:val="005D52C4"/>
    <w:rsid w:val="005D6027"/>
    <w:rsid w:val="005D6A1C"/>
    <w:rsid w:val="005D74E8"/>
    <w:rsid w:val="005D7C43"/>
    <w:rsid w:val="005D7FBE"/>
    <w:rsid w:val="005E03C8"/>
    <w:rsid w:val="005E03C9"/>
    <w:rsid w:val="005E08C5"/>
    <w:rsid w:val="005E0A3A"/>
    <w:rsid w:val="005E1B6C"/>
    <w:rsid w:val="005E2A3D"/>
    <w:rsid w:val="005E2A5F"/>
    <w:rsid w:val="005E2D3A"/>
    <w:rsid w:val="005E3087"/>
    <w:rsid w:val="005E326E"/>
    <w:rsid w:val="005E39F8"/>
    <w:rsid w:val="005E4048"/>
    <w:rsid w:val="005E45DA"/>
    <w:rsid w:val="005E48C5"/>
    <w:rsid w:val="005E496B"/>
    <w:rsid w:val="005E4B8E"/>
    <w:rsid w:val="005E4BB1"/>
    <w:rsid w:val="005E64E5"/>
    <w:rsid w:val="005E709D"/>
    <w:rsid w:val="005E7229"/>
    <w:rsid w:val="005E7537"/>
    <w:rsid w:val="005E7E9C"/>
    <w:rsid w:val="005F00BB"/>
    <w:rsid w:val="005F010F"/>
    <w:rsid w:val="005F0ADC"/>
    <w:rsid w:val="005F1E90"/>
    <w:rsid w:val="005F2012"/>
    <w:rsid w:val="005F21E8"/>
    <w:rsid w:val="005F231A"/>
    <w:rsid w:val="005F277B"/>
    <w:rsid w:val="005F298A"/>
    <w:rsid w:val="005F2FD4"/>
    <w:rsid w:val="005F339C"/>
    <w:rsid w:val="005F3732"/>
    <w:rsid w:val="005F3E5C"/>
    <w:rsid w:val="005F3F8F"/>
    <w:rsid w:val="005F419B"/>
    <w:rsid w:val="005F4358"/>
    <w:rsid w:val="005F46AF"/>
    <w:rsid w:val="005F5FA9"/>
    <w:rsid w:val="005F6798"/>
    <w:rsid w:val="005F6CE7"/>
    <w:rsid w:val="005F7ACF"/>
    <w:rsid w:val="006007DF"/>
    <w:rsid w:val="00600A86"/>
    <w:rsid w:val="00600AC2"/>
    <w:rsid w:val="00600F63"/>
    <w:rsid w:val="006013F0"/>
    <w:rsid w:val="006019DB"/>
    <w:rsid w:val="00602405"/>
    <w:rsid w:val="00602829"/>
    <w:rsid w:val="00603057"/>
    <w:rsid w:val="006032F4"/>
    <w:rsid w:val="00603370"/>
    <w:rsid w:val="006033FF"/>
    <w:rsid w:val="00603D24"/>
    <w:rsid w:val="00604674"/>
    <w:rsid w:val="00604AEC"/>
    <w:rsid w:val="006052D6"/>
    <w:rsid w:val="00605981"/>
    <w:rsid w:val="006070E4"/>
    <w:rsid w:val="006071AA"/>
    <w:rsid w:val="00607627"/>
    <w:rsid w:val="0060763D"/>
    <w:rsid w:val="00611511"/>
    <w:rsid w:val="00611778"/>
    <w:rsid w:val="00611A79"/>
    <w:rsid w:val="00611C45"/>
    <w:rsid w:val="00611E03"/>
    <w:rsid w:val="00611F3A"/>
    <w:rsid w:val="0061236E"/>
    <w:rsid w:val="00612FDA"/>
    <w:rsid w:val="006131B0"/>
    <w:rsid w:val="00613801"/>
    <w:rsid w:val="006138A7"/>
    <w:rsid w:val="00613BA7"/>
    <w:rsid w:val="00613C0B"/>
    <w:rsid w:val="00613EF2"/>
    <w:rsid w:val="00613FE8"/>
    <w:rsid w:val="00614255"/>
    <w:rsid w:val="00614B67"/>
    <w:rsid w:val="00615410"/>
    <w:rsid w:val="006154B9"/>
    <w:rsid w:val="0061562B"/>
    <w:rsid w:val="0061591B"/>
    <w:rsid w:val="006160F1"/>
    <w:rsid w:val="0061667A"/>
    <w:rsid w:val="006167C8"/>
    <w:rsid w:val="006169A7"/>
    <w:rsid w:val="006171A7"/>
    <w:rsid w:val="006174C2"/>
    <w:rsid w:val="00620835"/>
    <w:rsid w:val="00620B7A"/>
    <w:rsid w:val="0062176A"/>
    <w:rsid w:val="00621F9A"/>
    <w:rsid w:val="00622F49"/>
    <w:rsid w:val="00623412"/>
    <w:rsid w:val="00623713"/>
    <w:rsid w:val="00623827"/>
    <w:rsid w:val="006238A7"/>
    <w:rsid w:val="0062399E"/>
    <w:rsid w:val="00623A9F"/>
    <w:rsid w:val="00624779"/>
    <w:rsid w:val="006259C8"/>
    <w:rsid w:val="00625B24"/>
    <w:rsid w:val="00626407"/>
    <w:rsid w:val="006269E6"/>
    <w:rsid w:val="00627283"/>
    <w:rsid w:val="0063155D"/>
    <w:rsid w:val="00631CC8"/>
    <w:rsid w:val="00631D08"/>
    <w:rsid w:val="006320C5"/>
    <w:rsid w:val="0063227C"/>
    <w:rsid w:val="00632391"/>
    <w:rsid w:val="00632E15"/>
    <w:rsid w:val="00632E9B"/>
    <w:rsid w:val="006336AA"/>
    <w:rsid w:val="006338F6"/>
    <w:rsid w:val="00633E19"/>
    <w:rsid w:val="00634581"/>
    <w:rsid w:val="00634771"/>
    <w:rsid w:val="00634A1B"/>
    <w:rsid w:val="00634A8E"/>
    <w:rsid w:val="006355D2"/>
    <w:rsid w:val="00635607"/>
    <w:rsid w:val="00636638"/>
    <w:rsid w:val="0063672D"/>
    <w:rsid w:val="00636A09"/>
    <w:rsid w:val="00637ABC"/>
    <w:rsid w:val="00637B24"/>
    <w:rsid w:val="00637D13"/>
    <w:rsid w:val="00640214"/>
    <w:rsid w:val="006404DD"/>
    <w:rsid w:val="006414CE"/>
    <w:rsid w:val="00641AB5"/>
    <w:rsid w:val="00641F55"/>
    <w:rsid w:val="0064212F"/>
    <w:rsid w:val="00642AFA"/>
    <w:rsid w:val="00642CB2"/>
    <w:rsid w:val="0064358E"/>
    <w:rsid w:val="00643B08"/>
    <w:rsid w:val="00644638"/>
    <w:rsid w:val="006447FC"/>
    <w:rsid w:val="00644E4C"/>
    <w:rsid w:val="00645C65"/>
    <w:rsid w:val="00646456"/>
    <w:rsid w:val="00646536"/>
    <w:rsid w:val="00646B89"/>
    <w:rsid w:val="00647486"/>
    <w:rsid w:val="00647A0D"/>
    <w:rsid w:val="006508A2"/>
    <w:rsid w:val="00650C4C"/>
    <w:rsid w:val="00651214"/>
    <w:rsid w:val="006513D4"/>
    <w:rsid w:val="0065178F"/>
    <w:rsid w:val="00652333"/>
    <w:rsid w:val="006523D0"/>
    <w:rsid w:val="00652993"/>
    <w:rsid w:val="00652DE8"/>
    <w:rsid w:val="00652E58"/>
    <w:rsid w:val="00653286"/>
    <w:rsid w:val="0065395D"/>
    <w:rsid w:val="006539BB"/>
    <w:rsid w:val="0065410C"/>
    <w:rsid w:val="006553CE"/>
    <w:rsid w:val="00655A76"/>
    <w:rsid w:val="00655D7C"/>
    <w:rsid w:val="00655DC8"/>
    <w:rsid w:val="00655E53"/>
    <w:rsid w:val="00656297"/>
    <w:rsid w:val="00656D2B"/>
    <w:rsid w:val="00656FED"/>
    <w:rsid w:val="00657B35"/>
    <w:rsid w:val="00660E8E"/>
    <w:rsid w:val="00661227"/>
    <w:rsid w:val="00662766"/>
    <w:rsid w:val="00662F80"/>
    <w:rsid w:val="00663324"/>
    <w:rsid w:val="00663345"/>
    <w:rsid w:val="00663903"/>
    <w:rsid w:val="00663C19"/>
    <w:rsid w:val="00664B30"/>
    <w:rsid w:val="0066553A"/>
    <w:rsid w:val="00665630"/>
    <w:rsid w:val="006658D3"/>
    <w:rsid w:val="00666078"/>
    <w:rsid w:val="006661DC"/>
    <w:rsid w:val="006662CF"/>
    <w:rsid w:val="00667012"/>
    <w:rsid w:val="006670E6"/>
    <w:rsid w:val="0066714C"/>
    <w:rsid w:val="00667CE0"/>
    <w:rsid w:val="0067009B"/>
    <w:rsid w:val="00670584"/>
    <w:rsid w:val="006708FF"/>
    <w:rsid w:val="00671014"/>
    <w:rsid w:val="0067268E"/>
    <w:rsid w:val="00672A3E"/>
    <w:rsid w:val="00673D7B"/>
    <w:rsid w:val="00673DDD"/>
    <w:rsid w:val="00674D1D"/>
    <w:rsid w:val="00675939"/>
    <w:rsid w:val="00675C74"/>
    <w:rsid w:val="00676167"/>
    <w:rsid w:val="006764D8"/>
    <w:rsid w:val="00676AFD"/>
    <w:rsid w:val="00676DEF"/>
    <w:rsid w:val="006772FD"/>
    <w:rsid w:val="00677C34"/>
    <w:rsid w:val="00677C55"/>
    <w:rsid w:val="00677E0E"/>
    <w:rsid w:val="00680780"/>
    <w:rsid w:val="0068090D"/>
    <w:rsid w:val="00680C0B"/>
    <w:rsid w:val="00680DA5"/>
    <w:rsid w:val="00681492"/>
    <w:rsid w:val="0068151F"/>
    <w:rsid w:val="006818A1"/>
    <w:rsid w:val="00681CDC"/>
    <w:rsid w:val="00681D40"/>
    <w:rsid w:val="00682019"/>
    <w:rsid w:val="0068253A"/>
    <w:rsid w:val="0068294D"/>
    <w:rsid w:val="006841E5"/>
    <w:rsid w:val="00684864"/>
    <w:rsid w:val="00685016"/>
    <w:rsid w:val="0068525D"/>
    <w:rsid w:val="0068581D"/>
    <w:rsid w:val="00686064"/>
    <w:rsid w:val="00686328"/>
    <w:rsid w:val="00686377"/>
    <w:rsid w:val="006867E7"/>
    <w:rsid w:val="00686E55"/>
    <w:rsid w:val="00687190"/>
    <w:rsid w:val="00687B80"/>
    <w:rsid w:val="00687CEA"/>
    <w:rsid w:val="00690081"/>
    <w:rsid w:val="006903BB"/>
    <w:rsid w:val="00690A06"/>
    <w:rsid w:val="0069172A"/>
    <w:rsid w:val="006919D0"/>
    <w:rsid w:val="00691A5E"/>
    <w:rsid w:val="00691F17"/>
    <w:rsid w:val="00692402"/>
    <w:rsid w:val="0069321F"/>
    <w:rsid w:val="006944AD"/>
    <w:rsid w:val="0069462B"/>
    <w:rsid w:val="006946AA"/>
    <w:rsid w:val="00694E7F"/>
    <w:rsid w:val="0069574E"/>
    <w:rsid w:val="00695806"/>
    <w:rsid w:val="006A00DC"/>
    <w:rsid w:val="006A04CA"/>
    <w:rsid w:val="006A137E"/>
    <w:rsid w:val="006A1F0D"/>
    <w:rsid w:val="006A20BE"/>
    <w:rsid w:val="006A277D"/>
    <w:rsid w:val="006A2CC9"/>
    <w:rsid w:val="006A35B2"/>
    <w:rsid w:val="006A37E8"/>
    <w:rsid w:val="006A3FAA"/>
    <w:rsid w:val="006A4395"/>
    <w:rsid w:val="006A4BB0"/>
    <w:rsid w:val="006A4C8A"/>
    <w:rsid w:val="006A505C"/>
    <w:rsid w:val="006A50E8"/>
    <w:rsid w:val="006A56E4"/>
    <w:rsid w:val="006A59B8"/>
    <w:rsid w:val="006A62EB"/>
    <w:rsid w:val="006A70DA"/>
    <w:rsid w:val="006A7FDA"/>
    <w:rsid w:val="006B0438"/>
    <w:rsid w:val="006B0712"/>
    <w:rsid w:val="006B0ACC"/>
    <w:rsid w:val="006B0C95"/>
    <w:rsid w:val="006B11DF"/>
    <w:rsid w:val="006B1307"/>
    <w:rsid w:val="006B15BF"/>
    <w:rsid w:val="006B1A75"/>
    <w:rsid w:val="006B279E"/>
    <w:rsid w:val="006B3433"/>
    <w:rsid w:val="006B389F"/>
    <w:rsid w:val="006B3DCB"/>
    <w:rsid w:val="006B4138"/>
    <w:rsid w:val="006B4269"/>
    <w:rsid w:val="006B4991"/>
    <w:rsid w:val="006B4AFD"/>
    <w:rsid w:val="006B4B4B"/>
    <w:rsid w:val="006B5827"/>
    <w:rsid w:val="006B5EDC"/>
    <w:rsid w:val="006B5EFE"/>
    <w:rsid w:val="006B65FA"/>
    <w:rsid w:val="006B69CC"/>
    <w:rsid w:val="006B6A2C"/>
    <w:rsid w:val="006B739D"/>
    <w:rsid w:val="006B7A23"/>
    <w:rsid w:val="006C0140"/>
    <w:rsid w:val="006C0401"/>
    <w:rsid w:val="006C0D2D"/>
    <w:rsid w:val="006C0FC0"/>
    <w:rsid w:val="006C1306"/>
    <w:rsid w:val="006C14F4"/>
    <w:rsid w:val="006C1762"/>
    <w:rsid w:val="006C1A28"/>
    <w:rsid w:val="006C1BF1"/>
    <w:rsid w:val="006C299A"/>
    <w:rsid w:val="006C2A31"/>
    <w:rsid w:val="006C2ACE"/>
    <w:rsid w:val="006C2BBB"/>
    <w:rsid w:val="006C362B"/>
    <w:rsid w:val="006C3872"/>
    <w:rsid w:val="006C3F1C"/>
    <w:rsid w:val="006C52D3"/>
    <w:rsid w:val="006C5A3C"/>
    <w:rsid w:val="006C5B76"/>
    <w:rsid w:val="006C5EA2"/>
    <w:rsid w:val="006C5EF0"/>
    <w:rsid w:val="006C64AF"/>
    <w:rsid w:val="006C7D2D"/>
    <w:rsid w:val="006D0848"/>
    <w:rsid w:val="006D0A01"/>
    <w:rsid w:val="006D1EDC"/>
    <w:rsid w:val="006D21A5"/>
    <w:rsid w:val="006D243E"/>
    <w:rsid w:val="006D24C8"/>
    <w:rsid w:val="006D2731"/>
    <w:rsid w:val="006D27FD"/>
    <w:rsid w:val="006D3815"/>
    <w:rsid w:val="006D4B35"/>
    <w:rsid w:val="006D4BB1"/>
    <w:rsid w:val="006D51AB"/>
    <w:rsid w:val="006D56C5"/>
    <w:rsid w:val="006D5847"/>
    <w:rsid w:val="006D5BE7"/>
    <w:rsid w:val="006D5FD0"/>
    <w:rsid w:val="006D625D"/>
    <w:rsid w:val="006D676A"/>
    <w:rsid w:val="006D6AEC"/>
    <w:rsid w:val="006D6E4D"/>
    <w:rsid w:val="006D6FAB"/>
    <w:rsid w:val="006D71D5"/>
    <w:rsid w:val="006D742B"/>
    <w:rsid w:val="006D7804"/>
    <w:rsid w:val="006D7AE1"/>
    <w:rsid w:val="006E208A"/>
    <w:rsid w:val="006E2305"/>
    <w:rsid w:val="006E235F"/>
    <w:rsid w:val="006E29B1"/>
    <w:rsid w:val="006E2A11"/>
    <w:rsid w:val="006E316E"/>
    <w:rsid w:val="006E3298"/>
    <w:rsid w:val="006E32C8"/>
    <w:rsid w:val="006E3600"/>
    <w:rsid w:val="006E3660"/>
    <w:rsid w:val="006E38DC"/>
    <w:rsid w:val="006E3C92"/>
    <w:rsid w:val="006E42C7"/>
    <w:rsid w:val="006E479F"/>
    <w:rsid w:val="006E4928"/>
    <w:rsid w:val="006E52B3"/>
    <w:rsid w:val="006E52FD"/>
    <w:rsid w:val="006E56E6"/>
    <w:rsid w:val="006E5F24"/>
    <w:rsid w:val="006E6828"/>
    <w:rsid w:val="006E6BF7"/>
    <w:rsid w:val="006E6DBC"/>
    <w:rsid w:val="006E6F5E"/>
    <w:rsid w:val="006E7506"/>
    <w:rsid w:val="006E771B"/>
    <w:rsid w:val="006F008D"/>
    <w:rsid w:val="006F0402"/>
    <w:rsid w:val="006F218A"/>
    <w:rsid w:val="006F22CC"/>
    <w:rsid w:val="006F2DE6"/>
    <w:rsid w:val="006F3843"/>
    <w:rsid w:val="006F5876"/>
    <w:rsid w:val="006F5950"/>
    <w:rsid w:val="006F697A"/>
    <w:rsid w:val="006F6D67"/>
    <w:rsid w:val="006F6DE1"/>
    <w:rsid w:val="006F7304"/>
    <w:rsid w:val="006F74F9"/>
    <w:rsid w:val="006F778C"/>
    <w:rsid w:val="006F7815"/>
    <w:rsid w:val="006F78A0"/>
    <w:rsid w:val="00700802"/>
    <w:rsid w:val="007011A0"/>
    <w:rsid w:val="0070146E"/>
    <w:rsid w:val="0070293D"/>
    <w:rsid w:val="007029EC"/>
    <w:rsid w:val="007037AE"/>
    <w:rsid w:val="007038F9"/>
    <w:rsid w:val="007039AB"/>
    <w:rsid w:val="00703BA8"/>
    <w:rsid w:val="00703C2B"/>
    <w:rsid w:val="00704104"/>
    <w:rsid w:val="00704335"/>
    <w:rsid w:val="007052DC"/>
    <w:rsid w:val="007053C0"/>
    <w:rsid w:val="007063FE"/>
    <w:rsid w:val="0070661D"/>
    <w:rsid w:val="007077A6"/>
    <w:rsid w:val="00707886"/>
    <w:rsid w:val="007078DC"/>
    <w:rsid w:val="00707F32"/>
    <w:rsid w:val="007101D2"/>
    <w:rsid w:val="007107C2"/>
    <w:rsid w:val="00710F7F"/>
    <w:rsid w:val="007115F9"/>
    <w:rsid w:val="007127AE"/>
    <w:rsid w:val="00713330"/>
    <w:rsid w:val="0071341F"/>
    <w:rsid w:val="00713739"/>
    <w:rsid w:val="0071430D"/>
    <w:rsid w:val="007143B9"/>
    <w:rsid w:val="00714551"/>
    <w:rsid w:val="007145A4"/>
    <w:rsid w:val="00714979"/>
    <w:rsid w:val="0071559F"/>
    <w:rsid w:val="00715769"/>
    <w:rsid w:val="00715ACB"/>
    <w:rsid w:val="00715C5A"/>
    <w:rsid w:val="00715E3F"/>
    <w:rsid w:val="0071696F"/>
    <w:rsid w:val="00716C2C"/>
    <w:rsid w:val="00717645"/>
    <w:rsid w:val="00717BC2"/>
    <w:rsid w:val="007204A4"/>
    <w:rsid w:val="00720655"/>
    <w:rsid w:val="007208EB"/>
    <w:rsid w:val="00720F9F"/>
    <w:rsid w:val="00721756"/>
    <w:rsid w:val="00721879"/>
    <w:rsid w:val="00721A58"/>
    <w:rsid w:val="00721CFE"/>
    <w:rsid w:val="00722A41"/>
    <w:rsid w:val="00722BBD"/>
    <w:rsid w:val="00724285"/>
    <w:rsid w:val="00724855"/>
    <w:rsid w:val="00724984"/>
    <w:rsid w:val="00724BDD"/>
    <w:rsid w:val="00725809"/>
    <w:rsid w:val="00726D7A"/>
    <w:rsid w:val="0072759C"/>
    <w:rsid w:val="00727CAE"/>
    <w:rsid w:val="00730301"/>
    <w:rsid w:val="0073070B"/>
    <w:rsid w:val="00730959"/>
    <w:rsid w:val="00730AE2"/>
    <w:rsid w:val="00730CFD"/>
    <w:rsid w:val="00730F45"/>
    <w:rsid w:val="00731C88"/>
    <w:rsid w:val="0073234C"/>
    <w:rsid w:val="00732684"/>
    <w:rsid w:val="0073271B"/>
    <w:rsid w:val="007331F5"/>
    <w:rsid w:val="007335C6"/>
    <w:rsid w:val="007353DD"/>
    <w:rsid w:val="00736091"/>
    <w:rsid w:val="0073653F"/>
    <w:rsid w:val="007366D7"/>
    <w:rsid w:val="00736EB6"/>
    <w:rsid w:val="0073759B"/>
    <w:rsid w:val="007402A5"/>
    <w:rsid w:val="007405C7"/>
    <w:rsid w:val="00740BB5"/>
    <w:rsid w:val="00740ECB"/>
    <w:rsid w:val="00741BE5"/>
    <w:rsid w:val="00741EE2"/>
    <w:rsid w:val="007423BF"/>
    <w:rsid w:val="0074261E"/>
    <w:rsid w:val="00742C53"/>
    <w:rsid w:val="007431E5"/>
    <w:rsid w:val="00743451"/>
    <w:rsid w:val="007439F2"/>
    <w:rsid w:val="00743A23"/>
    <w:rsid w:val="00744073"/>
    <w:rsid w:val="007465F1"/>
    <w:rsid w:val="007466FA"/>
    <w:rsid w:val="007470B1"/>
    <w:rsid w:val="00747D26"/>
    <w:rsid w:val="00747DF7"/>
    <w:rsid w:val="0075062F"/>
    <w:rsid w:val="00750933"/>
    <w:rsid w:val="00750A0B"/>
    <w:rsid w:val="007511C8"/>
    <w:rsid w:val="00751313"/>
    <w:rsid w:val="00751AF7"/>
    <w:rsid w:val="007524EB"/>
    <w:rsid w:val="00753344"/>
    <w:rsid w:val="007539BB"/>
    <w:rsid w:val="00753F12"/>
    <w:rsid w:val="00753FED"/>
    <w:rsid w:val="00754088"/>
    <w:rsid w:val="007546F7"/>
    <w:rsid w:val="0075483F"/>
    <w:rsid w:val="00754CB4"/>
    <w:rsid w:val="00755230"/>
    <w:rsid w:val="007558FD"/>
    <w:rsid w:val="00755958"/>
    <w:rsid w:val="00755F5F"/>
    <w:rsid w:val="00756725"/>
    <w:rsid w:val="00756D01"/>
    <w:rsid w:val="00757090"/>
    <w:rsid w:val="007570C4"/>
    <w:rsid w:val="00757557"/>
    <w:rsid w:val="00757C5A"/>
    <w:rsid w:val="007605AE"/>
    <w:rsid w:val="0076093E"/>
    <w:rsid w:val="00760CDE"/>
    <w:rsid w:val="007616EF"/>
    <w:rsid w:val="0076238C"/>
    <w:rsid w:val="00762610"/>
    <w:rsid w:val="00762C03"/>
    <w:rsid w:val="00763550"/>
    <w:rsid w:val="00763A69"/>
    <w:rsid w:val="007645A9"/>
    <w:rsid w:val="00764F9A"/>
    <w:rsid w:val="00765F33"/>
    <w:rsid w:val="00766663"/>
    <w:rsid w:val="00766A8B"/>
    <w:rsid w:val="00766BCC"/>
    <w:rsid w:val="00767809"/>
    <w:rsid w:val="00767C7C"/>
    <w:rsid w:val="00767CCC"/>
    <w:rsid w:val="00771198"/>
    <w:rsid w:val="0077139D"/>
    <w:rsid w:val="00771922"/>
    <w:rsid w:val="00771C65"/>
    <w:rsid w:val="00771CE7"/>
    <w:rsid w:val="007720F8"/>
    <w:rsid w:val="0077233E"/>
    <w:rsid w:val="00772A4F"/>
    <w:rsid w:val="00772CC0"/>
    <w:rsid w:val="00772CCB"/>
    <w:rsid w:val="0077347B"/>
    <w:rsid w:val="00773960"/>
    <w:rsid w:val="00773CF6"/>
    <w:rsid w:val="00773E84"/>
    <w:rsid w:val="0077445E"/>
    <w:rsid w:val="00774574"/>
    <w:rsid w:val="007745D3"/>
    <w:rsid w:val="00774839"/>
    <w:rsid w:val="007752CE"/>
    <w:rsid w:val="00775E18"/>
    <w:rsid w:val="00775E8C"/>
    <w:rsid w:val="00776B56"/>
    <w:rsid w:val="00776C5C"/>
    <w:rsid w:val="00777115"/>
    <w:rsid w:val="007774F8"/>
    <w:rsid w:val="00777B11"/>
    <w:rsid w:val="00780205"/>
    <w:rsid w:val="007808CB"/>
    <w:rsid w:val="0078093C"/>
    <w:rsid w:val="0078104D"/>
    <w:rsid w:val="007812DC"/>
    <w:rsid w:val="0078151D"/>
    <w:rsid w:val="00781A79"/>
    <w:rsid w:val="00781B93"/>
    <w:rsid w:val="007824D6"/>
    <w:rsid w:val="0078263F"/>
    <w:rsid w:val="00782BDE"/>
    <w:rsid w:val="00783082"/>
    <w:rsid w:val="00784B2F"/>
    <w:rsid w:val="00784BB5"/>
    <w:rsid w:val="00784E4F"/>
    <w:rsid w:val="00785512"/>
    <w:rsid w:val="007855B6"/>
    <w:rsid w:val="00785797"/>
    <w:rsid w:val="007857BD"/>
    <w:rsid w:val="00785B72"/>
    <w:rsid w:val="00785D4D"/>
    <w:rsid w:val="00786AA6"/>
    <w:rsid w:val="00786C4C"/>
    <w:rsid w:val="00786DD5"/>
    <w:rsid w:val="00786E02"/>
    <w:rsid w:val="007873B7"/>
    <w:rsid w:val="00787482"/>
    <w:rsid w:val="00787881"/>
    <w:rsid w:val="00787D48"/>
    <w:rsid w:val="00787F0E"/>
    <w:rsid w:val="00787F98"/>
    <w:rsid w:val="00790851"/>
    <w:rsid w:val="0079096B"/>
    <w:rsid w:val="00790C53"/>
    <w:rsid w:val="00790EF2"/>
    <w:rsid w:val="00792479"/>
    <w:rsid w:val="00792588"/>
    <w:rsid w:val="007927A2"/>
    <w:rsid w:val="007937C9"/>
    <w:rsid w:val="00793D82"/>
    <w:rsid w:val="00794092"/>
    <w:rsid w:val="00794CDA"/>
    <w:rsid w:val="00794E35"/>
    <w:rsid w:val="0079511F"/>
    <w:rsid w:val="00796156"/>
    <w:rsid w:val="0079644D"/>
    <w:rsid w:val="00796821"/>
    <w:rsid w:val="007968BF"/>
    <w:rsid w:val="00796A09"/>
    <w:rsid w:val="007A0C46"/>
    <w:rsid w:val="007A0CD9"/>
    <w:rsid w:val="007A2630"/>
    <w:rsid w:val="007A2EAA"/>
    <w:rsid w:val="007A3C30"/>
    <w:rsid w:val="007A40D2"/>
    <w:rsid w:val="007A44AF"/>
    <w:rsid w:val="007A4823"/>
    <w:rsid w:val="007A4E9A"/>
    <w:rsid w:val="007A4EEA"/>
    <w:rsid w:val="007A532C"/>
    <w:rsid w:val="007A56B8"/>
    <w:rsid w:val="007A62A0"/>
    <w:rsid w:val="007A674C"/>
    <w:rsid w:val="007A6F85"/>
    <w:rsid w:val="007A7292"/>
    <w:rsid w:val="007A7C0E"/>
    <w:rsid w:val="007A7C37"/>
    <w:rsid w:val="007A7EAA"/>
    <w:rsid w:val="007B002D"/>
    <w:rsid w:val="007B0ABC"/>
    <w:rsid w:val="007B0B1B"/>
    <w:rsid w:val="007B110C"/>
    <w:rsid w:val="007B13D5"/>
    <w:rsid w:val="007B3097"/>
    <w:rsid w:val="007B3406"/>
    <w:rsid w:val="007B3964"/>
    <w:rsid w:val="007B490F"/>
    <w:rsid w:val="007B4C92"/>
    <w:rsid w:val="007B4E84"/>
    <w:rsid w:val="007B5E05"/>
    <w:rsid w:val="007B5F98"/>
    <w:rsid w:val="007B678B"/>
    <w:rsid w:val="007B68EB"/>
    <w:rsid w:val="007B6BAC"/>
    <w:rsid w:val="007B6D14"/>
    <w:rsid w:val="007B6E5F"/>
    <w:rsid w:val="007B6F09"/>
    <w:rsid w:val="007B732B"/>
    <w:rsid w:val="007B7339"/>
    <w:rsid w:val="007B7A6F"/>
    <w:rsid w:val="007B7E8F"/>
    <w:rsid w:val="007C023F"/>
    <w:rsid w:val="007C02C8"/>
    <w:rsid w:val="007C1192"/>
    <w:rsid w:val="007C1E60"/>
    <w:rsid w:val="007C22F2"/>
    <w:rsid w:val="007C24AC"/>
    <w:rsid w:val="007C2594"/>
    <w:rsid w:val="007C2FD6"/>
    <w:rsid w:val="007C4650"/>
    <w:rsid w:val="007C48C6"/>
    <w:rsid w:val="007C4C04"/>
    <w:rsid w:val="007C5A14"/>
    <w:rsid w:val="007C5CA4"/>
    <w:rsid w:val="007C5D0E"/>
    <w:rsid w:val="007C5F4B"/>
    <w:rsid w:val="007C6937"/>
    <w:rsid w:val="007C6B6E"/>
    <w:rsid w:val="007C6D4A"/>
    <w:rsid w:val="007C6DD2"/>
    <w:rsid w:val="007C7166"/>
    <w:rsid w:val="007C7440"/>
    <w:rsid w:val="007D049D"/>
    <w:rsid w:val="007D170D"/>
    <w:rsid w:val="007D18A0"/>
    <w:rsid w:val="007D1B2A"/>
    <w:rsid w:val="007D1DD9"/>
    <w:rsid w:val="007D1E63"/>
    <w:rsid w:val="007D2149"/>
    <w:rsid w:val="007D237C"/>
    <w:rsid w:val="007D2534"/>
    <w:rsid w:val="007D2D92"/>
    <w:rsid w:val="007D312B"/>
    <w:rsid w:val="007D3727"/>
    <w:rsid w:val="007D437F"/>
    <w:rsid w:val="007D4733"/>
    <w:rsid w:val="007D4A8B"/>
    <w:rsid w:val="007D53A4"/>
    <w:rsid w:val="007D5779"/>
    <w:rsid w:val="007D57F8"/>
    <w:rsid w:val="007D5C30"/>
    <w:rsid w:val="007D760E"/>
    <w:rsid w:val="007E0A52"/>
    <w:rsid w:val="007E0B41"/>
    <w:rsid w:val="007E0D73"/>
    <w:rsid w:val="007E1886"/>
    <w:rsid w:val="007E37E6"/>
    <w:rsid w:val="007E393D"/>
    <w:rsid w:val="007E4C74"/>
    <w:rsid w:val="007E4DE9"/>
    <w:rsid w:val="007E4E4B"/>
    <w:rsid w:val="007E53A6"/>
    <w:rsid w:val="007E555D"/>
    <w:rsid w:val="007E5F80"/>
    <w:rsid w:val="007E6552"/>
    <w:rsid w:val="007E6C12"/>
    <w:rsid w:val="007E7104"/>
    <w:rsid w:val="007E7A8C"/>
    <w:rsid w:val="007E7EF4"/>
    <w:rsid w:val="007F0101"/>
    <w:rsid w:val="007F0215"/>
    <w:rsid w:val="007F0358"/>
    <w:rsid w:val="007F0A83"/>
    <w:rsid w:val="007F0A8C"/>
    <w:rsid w:val="007F107C"/>
    <w:rsid w:val="007F15AA"/>
    <w:rsid w:val="007F1A9A"/>
    <w:rsid w:val="007F1EDD"/>
    <w:rsid w:val="007F1FFE"/>
    <w:rsid w:val="007F2A03"/>
    <w:rsid w:val="007F2B71"/>
    <w:rsid w:val="007F2F5A"/>
    <w:rsid w:val="007F3086"/>
    <w:rsid w:val="007F3173"/>
    <w:rsid w:val="007F32BF"/>
    <w:rsid w:val="007F3734"/>
    <w:rsid w:val="007F3ED7"/>
    <w:rsid w:val="007F423A"/>
    <w:rsid w:val="007F4C9F"/>
    <w:rsid w:val="007F4DA2"/>
    <w:rsid w:val="007F4FA3"/>
    <w:rsid w:val="007F5574"/>
    <w:rsid w:val="007F589B"/>
    <w:rsid w:val="007F63E6"/>
    <w:rsid w:val="007F6507"/>
    <w:rsid w:val="007F69DA"/>
    <w:rsid w:val="007F6C4E"/>
    <w:rsid w:val="007F6EFE"/>
    <w:rsid w:val="007F7653"/>
    <w:rsid w:val="007F7916"/>
    <w:rsid w:val="008000F7"/>
    <w:rsid w:val="00800480"/>
    <w:rsid w:val="00800CF2"/>
    <w:rsid w:val="00800D99"/>
    <w:rsid w:val="00801225"/>
    <w:rsid w:val="00801662"/>
    <w:rsid w:val="008018E1"/>
    <w:rsid w:val="00801B9E"/>
    <w:rsid w:val="00802B1A"/>
    <w:rsid w:val="00802B40"/>
    <w:rsid w:val="00802BD9"/>
    <w:rsid w:val="00802E74"/>
    <w:rsid w:val="00803AA6"/>
    <w:rsid w:val="00803C8E"/>
    <w:rsid w:val="008057C7"/>
    <w:rsid w:val="008057DE"/>
    <w:rsid w:val="00805EA7"/>
    <w:rsid w:val="0080605D"/>
    <w:rsid w:val="008065D0"/>
    <w:rsid w:val="00806ED1"/>
    <w:rsid w:val="0080757B"/>
    <w:rsid w:val="008076C8"/>
    <w:rsid w:val="00807C5D"/>
    <w:rsid w:val="00807C8B"/>
    <w:rsid w:val="0081053D"/>
    <w:rsid w:val="00810E9D"/>
    <w:rsid w:val="00810F95"/>
    <w:rsid w:val="008115B9"/>
    <w:rsid w:val="00811CBD"/>
    <w:rsid w:val="00812448"/>
    <w:rsid w:val="00812E1E"/>
    <w:rsid w:val="00812F23"/>
    <w:rsid w:val="00813333"/>
    <w:rsid w:val="0081389E"/>
    <w:rsid w:val="00813AC7"/>
    <w:rsid w:val="00813BAC"/>
    <w:rsid w:val="008143F2"/>
    <w:rsid w:val="00814538"/>
    <w:rsid w:val="00814ADC"/>
    <w:rsid w:val="00815146"/>
    <w:rsid w:val="00815A28"/>
    <w:rsid w:val="008165C8"/>
    <w:rsid w:val="00816813"/>
    <w:rsid w:val="00816B1D"/>
    <w:rsid w:val="00816CA4"/>
    <w:rsid w:val="00817215"/>
    <w:rsid w:val="0081764E"/>
    <w:rsid w:val="00817752"/>
    <w:rsid w:val="00817DD6"/>
    <w:rsid w:val="00817F1F"/>
    <w:rsid w:val="00817F4B"/>
    <w:rsid w:val="00820B42"/>
    <w:rsid w:val="008211FF"/>
    <w:rsid w:val="008215CF"/>
    <w:rsid w:val="00821B59"/>
    <w:rsid w:val="00821C05"/>
    <w:rsid w:val="008220D9"/>
    <w:rsid w:val="00822116"/>
    <w:rsid w:val="00822454"/>
    <w:rsid w:val="00822893"/>
    <w:rsid w:val="00822ACA"/>
    <w:rsid w:val="00822C61"/>
    <w:rsid w:val="0082357A"/>
    <w:rsid w:val="00823AC1"/>
    <w:rsid w:val="0082457A"/>
    <w:rsid w:val="00824834"/>
    <w:rsid w:val="00824BC6"/>
    <w:rsid w:val="008251DB"/>
    <w:rsid w:val="0082569A"/>
    <w:rsid w:val="00825B9F"/>
    <w:rsid w:val="00825DF2"/>
    <w:rsid w:val="00826450"/>
    <w:rsid w:val="008266F1"/>
    <w:rsid w:val="0082693F"/>
    <w:rsid w:val="00827091"/>
    <w:rsid w:val="00827B9D"/>
    <w:rsid w:val="008302AA"/>
    <w:rsid w:val="008304FC"/>
    <w:rsid w:val="0083065C"/>
    <w:rsid w:val="00830740"/>
    <w:rsid w:val="008313EB"/>
    <w:rsid w:val="00831570"/>
    <w:rsid w:val="008315ED"/>
    <w:rsid w:val="00831708"/>
    <w:rsid w:val="008318B8"/>
    <w:rsid w:val="008319B6"/>
    <w:rsid w:val="0083230B"/>
    <w:rsid w:val="00832811"/>
    <w:rsid w:val="00832818"/>
    <w:rsid w:val="00832C22"/>
    <w:rsid w:val="008330FE"/>
    <w:rsid w:val="0083392C"/>
    <w:rsid w:val="00833B06"/>
    <w:rsid w:val="008348E9"/>
    <w:rsid w:val="00835757"/>
    <w:rsid w:val="00837052"/>
    <w:rsid w:val="00837499"/>
    <w:rsid w:val="0083771E"/>
    <w:rsid w:val="0083778D"/>
    <w:rsid w:val="00837BD2"/>
    <w:rsid w:val="00837C79"/>
    <w:rsid w:val="00840B34"/>
    <w:rsid w:val="00840DD4"/>
    <w:rsid w:val="00841103"/>
    <w:rsid w:val="00841EC8"/>
    <w:rsid w:val="00841F23"/>
    <w:rsid w:val="00842231"/>
    <w:rsid w:val="00843B95"/>
    <w:rsid w:val="00844325"/>
    <w:rsid w:val="008448F0"/>
    <w:rsid w:val="00844FE4"/>
    <w:rsid w:val="008456BF"/>
    <w:rsid w:val="00845DF5"/>
    <w:rsid w:val="00845E01"/>
    <w:rsid w:val="008468CF"/>
    <w:rsid w:val="008474B4"/>
    <w:rsid w:val="008474E6"/>
    <w:rsid w:val="00847B51"/>
    <w:rsid w:val="0085009B"/>
    <w:rsid w:val="00850620"/>
    <w:rsid w:val="008506C4"/>
    <w:rsid w:val="0085127F"/>
    <w:rsid w:val="008519ED"/>
    <w:rsid w:val="00851F08"/>
    <w:rsid w:val="008521FF"/>
    <w:rsid w:val="00852D77"/>
    <w:rsid w:val="0085485B"/>
    <w:rsid w:val="00854CC8"/>
    <w:rsid w:val="0085572D"/>
    <w:rsid w:val="00855A19"/>
    <w:rsid w:val="00855C54"/>
    <w:rsid w:val="00855D15"/>
    <w:rsid w:val="00856AB6"/>
    <w:rsid w:val="00857018"/>
    <w:rsid w:val="00857CC0"/>
    <w:rsid w:val="0086097D"/>
    <w:rsid w:val="00860A1C"/>
    <w:rsid w:val="008620A8"/>
    <w:rsid w:val="008620FD"/>
    <w:rsid w:val="00862168"/>
    <w:rsid w:val="00862A67"/>
    <w:rsid w:val="00863BB9"/>
    <w:rsid w:val="00863E0A"/>
    <w:rsid w:val="0086427F"/>
    <w:rsid w:val="008644F8"/>
    <w:rsid w:val="008647A3"/>
    <w:rsid w:val="00864CFC"/>
    <w:rsid w:val="00864E6F"/>
    <w:rsid w:val="00865491"/>
    <w:rsid w:val="00866020"/>
    <w:rsid w:val="00866A28"/>
    <w:rsid w:val="00867538"/>
    <w:rsid w:val="0086781C"/>
    <w:rsid w:val="00867A85"/>
    <w:rsid w:val="00871BA7"/>
    <w:rsid w:val="00871D36"/>
    <w:rsid w:val="0087273E"/>
    <w:rsid w:val="00872F0B"/>
    <w:rsid w:val="00873010"/>
    <w:rsid w:val="008730E5"/>
    <w:rsid w:val="00873296"/>
    <w:rsid w:val="008732B2"/>
    <w:rsid w:val="0087345C"/>
    <w:rsid w:val="008734B0"/>
    <w:rsid w:val="008735C4"/>
    <w:rsid w:val="00874C1E"/>
    <w:rsid w:val="0087593D"/>
    <w:rsid w:val="008764EF"/>
    <w:rsid w:val="0087659F"/>
    <w:rsid w:val="00876985"/>
    <w:rsid w:val="00877433"/>
    <w:rsid w:val="008776FB"/>
    <w:rsid w:val="00877B95"/>
    <w:rsid w:val="00877C5C"/>
    <w:rsid w:val="008801CB"/>
    <w:rsid w:val="00880CFB"/>
    <w:rsid w:val="0088162A"/>
    <w:rsid w:val="0088179B"/>
    <w:rsid w:val="008822C9"/>
    <w:rsid w:val="00882497"/>
    <w:rsid w:val="00882637"/>
    <w:rsid w:val="00882B2E"/>
    <w:rsid w:val="008835DB"/>
    <w:rsid w:val="008841F1"/>
    <w:rsid w:val="0088461D"/>
    <w:rsid w:val="00884747"/>
    <w:rsid w:val="008847B5"/>
    <w:rsid w:val="00884A4E"/>
    <w:rsid w:val="008851ED"/>
    <w:rsid w:val="00885551"/>
    <w:rsid w:val="00885DF1"/>
    <w:rsid w:val="00885F6C"/>
    <w:rsid w:val="00886585"/>
    <w:rsid w:val="008865E7"/>
    <w:rsid w:val="00886CC8"/>
    <w:rsid w:val="00886D56"/>
    <w:rsid w:val="008875AC"/>
    <w:rsid w:val="0088795C"/>
    <w:rsid w:val="00887B98"/>
    <w:rsid w:val="00887DBB"/>
    <w:rsid w:val="00890721"/>
    <w:rsid w:val="00891C62"/>
    <w:rsid w:val="00891F58"/>
    <w:rsid w:val="00891F95"/>
    <w:rsid w:val="008921B7"/>
    <w:rsid w:val="00892765"/>
    <w:rsid w:val="00892DE1"/>
    <w:rsid w:val="008931D4"/>
    <w:rsid w:val="0089475A"/>
    <w:rsid w:val="00894870"/>
    <w:rsid w:val="00894E1F"/>
    <w:rsid w:val="008950A5"/>
    <w:rsid w:val="00895B24"/>
    <w:rsid w:val="0089620E"/>
    <w:rsid w:val="008965F1"/>
    <w:rsid w:val="00896776"/>
    <w:rsid w:val="00897058"/>
    <w:rsid w:val="0089714B"/>
    <w:rsid w:val="008A0CC8"/>
    <w:rsid w:val="008A0D4A"/>
    <w:rsid w:val="008A10E3"/>
    <w:rsid w:val="008A1D78"/>
    <w:rsid w:val="008A200C"/>
    <w:rsid w:val="008A24E8"/>
    <w:rsid w:val="008A28A4"/>
    <w:rsid w:val="008A2925"/>
    <w:rsid w:val="008A52D5"/>
    <w:rsid w:val="008A5BA2"/>
    <w:rsid w:val="008A5D77"/>
    <w:rsid w:val="008A610B"/>
    <w:rsid w:val="008A66B2"/>
    <w:rsid w:val="008A68DB"/>
    <w:rsid w:val="008A6D90"/>
    <w:rsid w:val="008A6F39"/>
    <w:rsid w:val="008A7226"/>
    <w:rsid w:val="008A7B01"/>
    <w:rsid w:val="008A7D30"/>
    <w:rsid w:val="008B004C"/>
    <w:rsid w:val="008B02D0"/>
    <w:rsid w:val="008B057E"/>
    <w:rsid w:val="008B0ADF"/>
    <w:rsid w:val="008B0D19"/>
    <w:rsid w:val="008B1207"/>
    <w:rsid w:val="008B15B0"/>
    <w:rsid w:val="008B1A45"/>
    <w:rsid w:val="008B1E3A"/>
    <w:rsid w:val="008B211F"/>
    <w:rsid w:val="008B2E3E"/>
    <w:rsid w:val="008B4E20"/>
    <w:rsid w:val="008B5128"/>
    <w:rsid w:val="008B52ED"/>
    <w:rsid w:val="008B553C"/>
    <w:rsid w:val="008B56ED"/>
    <w:rsid w:val="008B591B"/>
    <w:rsid w:val="008B59D8"/>
    <w:rsid w:val="008B6785"/>
    <w:rsid w:val="008B68CB"/>
    <w:rsid w:val="008B6B28"/>
    <w:rsid w:val="008B6D4B"/>
    <w:rsid w:val="008B7398"/>
    <w:rsid w:val="008B7690"/>
    <w:rsid w:val="008B7C09"/>
    <w:rsid w:val="008B7D2B"/>
    <w:rsid w:val="008C0BAC"/>
    <w:rsid w:val="008C0C60"/>
    <w:rsid w:val="008C0DAB"/>
    <w:rsid w:val="008C131A"/>
    <w:rsid w:val="008C1BB9"/>
    <w:rsid w:val="008C1DEF"/>
    <w:rsid w:val="008C230C"/>
    <w:rsid w:val="008C2453"/>
    <w:rsid w:val="008C2EE3"/>
    <w:rsid w:val="008C3436"/>
    <w:rsid w:val="008C3C5D"/>
    <w:rsid w:val="008C42B3"/>
    <w:rsid w:val="008C43DC"/>
    <w:rsid w:val="008C4505"/>
    <w:rsid w:val="008C5457"/>
    <w:rsid w:val="008C5D72"/>
    <w:rsid w:val="008C5E32"/>
    <w:rsid w:val="008D005A"/>
    <w:rsid w:val="008D05E5"/>
    <w:rsid w:val="008D0C70"/>
    <w:rsid w:val="008D17DE"/>
    <w:rsid w:val="008D1E25"/>
    <w:rsid w:val="008D25D1"/>
    <w:rsid w:val="008D288D"/>
    <w:rsid w:val="008D290D"/>
    <w:rsid w:val="008D2C25"/>
    <w:rsid w:val="008D3046"/>
    <w:rsid w:val="008D36C0"/>
    <w:rsid w:val="008D39B4"/>
    <w:rsid w:val="008D3EB3"/>
    <w:rsid w:val="008D40F0"/>
    <w:rsid w:val="008D41AB"/>
    <w:rsid w:val="008D44B8"/>
    <w:rsid w:val="008D49B4"/>
    <w:rsid w:val="008D50F0"/>
    <w:rsid w:val="008D6A92"/>
    <w:rsid w:val="008D70F2"/>
    <w:rsid w:val="008D723E"/>
    <w:rsid w:val="008D7FF2"/>
    <w:rsid w:val="008E1EBF"/>
    <w:rsid w:val="008E1FE4"/>
    <w:rsid w:val="008E2174"/>
    <w:rsid w:val="008E221C"/>
    <w:rsid w:val="008E2463"/>
    <w:rsid w:val="008E24C6"/>
    <w:rsid w:val="008E299D"/>
    <w:rsid w:val="008E2F0E"/>
    <w:rsid w:val="008E415A"/>
    <w:rsid w:val="008E43FD"/>
    <w:rsid w:val="008E4C91"/>
    <w:rsid w:val="008E51A1"/>
    <w:rsid w:val="008E5C4A"/>
    <w:rsid w:val="008E6C41"/>
    <w:rsid w:val="008E7320"/>
    <w:rsid w:val="008E733A"/>
    <w:rsid w:val="008E7CFB"/>
    <w:rsid w:val="008F0C5D"/>
    <w:rsid w:val="008F1216"/>
    <w:rsid w:val="008F1BD8"/>
    <w:rsid w:val="008F1F17"/>
    <w:rsid w:val="008F25A6"/>
    <w:rsid w:val="008F3043"/>
    <w:rsid w:val="008F33C6"/>
    <w:rsid w:val="008F3804"/>
    <w:rsid w:val="008F3AEE"/>
    <w:rsid w:val="008F3C13"/>
    <w:rsid w:val="008F431A"/>
    <w:rsid w:val="008F4C12"/>
    <w:rsid w:val="008F4D54"/>
    <w:rsid w:val="008F4E52"/>
    <w:rsid w:val="008F518F"/>
    <w:rsid w:val="008F5230"/>
    <w:rsid w:val="008F52C9"/>
    <w:rsid w:val="008F556A"/>
    <w:rsid w:val="008F575E"/>
    <w:rsid w:val="008F6411"/>
    <w:rsid w:val="008F6831"/>
    <w:rsid w:val="008F6EA9"/>
    <w:rsid w:val="008F6F58"/>
    <w:rsid w:val="008F7042"/>
    <w:rsid w:val="008F7292"/>
    <w:rsid w:val="008F76E6"/>
    <w:rsid w:val="008F798E"/>
    <w:rsid w:val="0090065F"/>
    <w:rsid w:val="00901015"/>
    <w:rsid w:val="0090110B"/>
    <w:rsid w:val="0090226F"/>
    <w:rsid w:val="00902A49"/>
    <w:rsid w:val="00902AE7"/>
    <w:rsid w:val="00903166"/>
    <w:rsid w:val="0090379E"/>
    <w:rsid w:val="0090426E"/>
    <w:rsid w:val="009045C5"/>
    <w:rsid w:val="00905451"/>
    <w:rsid w:val="00905D6B"/>
    <w:rsid w:val="00905F31"/>
    <w:rsid w:val="00906137"/>
    <w:rsid w:val="00906462"/>
    <w:rsid w:val="0090690B"/>
    <w:rsid w:val="00906E69"/>
    <w:rsid w:val="0090716E"/>
    <w:rsid w:val="0090798A"/>
    <w:rsid w:val="00907AB4"/>
    <w:rsid w:val="0091069B"/>
    <w:rsid w:val="0091078A"/>
    <w:rsid w:val="00910811"/>
    <w:rsid w:val="00910A60"/>
    <w:rsid w:val="00910B3C"/>
    <w:rsid w:val="00910E68"/>
    <w:rsid w:val="0091125A"/>
    <w:rsid w:val="009114D8"/>
    <w:rsid w:val="00912830"/>
    <w:rsid w:val="0091364C"/>
    <w:rsid w:val="00913B28"/>
    <w:rsid w:val="009145DC"/>
    <w:rsid w:val="00914787"/>
    <w:rsid w:val="00914E4C"/>
    <w:rsid w:val="009154F9"/>
    <w:rsid w:val="009155D0"/>
    <w:rsid w:val="009156A7"/>
    <w:rsid w:val="00915C45"/>
    <w:rsid w:val="00915C4C"/>
    <w:rsid w:val="00915E83"/>
    <w:rsid w:val="00915EB2"/>
    <w:rsid w:val="0091610F"/>
    <w:rsid w:val="009173F7"/>
    <w:rsid w:val="00917554"/>
    <w:rsid w:val="009175C4"/>
    <w:rsid w:val="00917D30"/>
    <w:rsid w:val="009200F0"/>
    <w:rsid w:val="00920201"/>
    <w:rsid w:val="00920B7D"/>
    <w:rsid w:val="00920FB8"/>
    <w:rsid w:val="009210A3"/>
    <w:rsid w:val="009218DB"/>
    <w:rsid w:val="00921D6A"/>
    <w:rsid w:val="00921D8E"/>
    <w:rsid w:val="00921E58"/>
    <w:rsid w:val="0092349A"/>
    <w:rsid w:val="009236DB"/>
    <w:rsid w:val="00924256"/>
    <w:rsid w:val="00924B74"/>
    <w:rsid w:val="00924E4D"/>
    <w:rsid w:val="00925204"/>
    <w:rsid w:val="009276EC"/>
    <w:rsid w:val="00927B85"/>
    <w:rsid w:val="00927C1E"/>
    <w:rsid w:val="00927DAD"/>
    <w:rsid w:val="00927E5E"/>
    <w:rsid w:val="00927E8F"/>
    <w:rsid w:val="00930B4E"/>
    <w:rsid w:val="00930E3E"/>
    <w:rsid w:val="00931295"/>
    <w:rsid w:val="0093175D"/>
    <w:rsid w:val="00931995"/>
    <w:rsid w:val="0093284F"/>
    <w:rsid w:val="00932E63"/>
    <w:rsid w:val="00934EA6"/>
    <w:rsid w:val="00935438"/>
    <w:rsid w:val="0093587A"/>
    <w:rsid w:val="009363DA"/>
    <w:rsid w:val="00936BEF"/>
    <w:rsid w:val="00936D76"/>
    <w:rsid w:val="00936F80"/>
    <w:rsid w:val="0093730A"/>
    <w:rsid w:val="009377D9"/>
    <w:rsid w:val="00940579"/>
    <w:rsid w:val="00940F4F"/>
    <w:rsid w:val="00941E77"/>
    <w:rsid w:val="00941F02"/>
    <w:rsid w:val="0094287A"/>
    <w:rsid w:val="00943B2D"/>
    <w:rsid w:val="0094417F"/>
    <w:rsid w:val="00944EB8"/>
    <w:rsid w:val="00944FC4"/>
    <w:rsid w:val="00944FF1"/>
    <w:rsid w:val="00945832"/>
    <w:rsid w:val="00945867"/>
    <w:rsid w:val="009460DF"/>
    <w:rsid w:val="0094697F"/>
    <w:rsid w:val="00946F9C"/>
    <w:rsid w:val="00947698"/>
    <w:rsid w:val="00947F6E"/>
    <w:rsid w:val="00950617"/>
    <w:rsid w:val="009509D7"/>
    <w:rsid w:val="00950AD1"/>
    <w:rsid w:val="00951510"/>
    <w:rsid w:val="009516CA"/>
    <w:rsid w:val="00952566"/>
    <w:rsid w:val="0095264B"/>
    <w:rsid w:val="009529E5"/>
    <w:rsid w:val="009530EB"/>
    <w:rsid w:val="009531A2"/>
    <w:rsid w:val="0095321D"/>
    <w:rsid w:val="009534FD"/>
    <w:rsid w:val="00953F58"/>
    <w:rsid w:val="00953F9A"/>
    <w:rsid w:val="009541A4"/>
    <w:rsid w:val="00954318"/>
    <w:rsid w:val="009546C2"/>
    <w:rsid w:val="0095484A"/>
    <w:rsid w:val="00955CC8"/>
    <w:rsid w:val="00955D74"/>
    <w:rsid w:val="009560E3"/>
    <w:rsid w:val="009561F0"/>
    <w:rsid w:val="009562ED"/>
    <w:rsid w:val="00956751"/>
    <w:rsid w:val="00956C0A"/>
    <w:rsid w:val="009574E0"/>
    <w:rsid w:val="0095795F"/>
    <w:rsid w:val="0096099A"/>
    <w:rsid w:val="009615C1"/>
    <w:rsid w:val="00962044"/>
    <w:rsid w:val="009625DE"/>
    <w:rsid w:val="0096262C"/>
    <w:rsid w:val="00962BB7"/>
    <w:rsid w:val="00962D6D"/>
    <w:rsid w:val="00963016"/>
    <w:rsid w:val="00963C27"/>
    <w:rsid w:val="00964A18"/>
    <w:rsid w:val="00964DE2"/>
    <w:rsid w:val="009652CB"/>
    <w:rsid w:val="0096586C"/>
    <w:rsid w:val="009663DF"/>
    <w:rsid w:val="0096741D"/>
    <w:rsid w:val="009678C6"/>
    <w:rsid w:val="00967CE0"/>
    <w:rsid w:val="00970537"/>
    <w:rsid w:val="009712BE"/>
    <w:rsid w:val="00971430"/>
    <w:rsid w:val="00971720"/>
    <w:rsid w:val="00971C12"/>
    <w:rsid w:val="00971E51"/>
    <w:rsid w:val="00971F77"/>
    <w:rsid w:val="00972230"/>
    <w:rsid w:val="009722E7"/>
    <w:rsid w:val="009723FA"/>
    <w:rsid w:val="009728D7"/>
    <w:rsid w:val="00972C19"/>
    <w:rsid w:val="00972DC2"/>
    <w:rsid w:val="00973762"/>
    <w:rsid w:val="0097383D"/>
    <w:rsid w:val="00973A70"/>
    <w:rsid w:val="00973BCA"/>
    <w:rsid w:val="00974A38"/>
    <w:rsid w:val="00974BD8"/>
    <w:rsid w:val="00974EE1"/>
    <w:rsid w:val="009754AF"/>
    <w:rsid w:val="00976128"/>
    <w:rsid w:val="0097642E"/>
    <w:rsid w:val="00976438"/>
    <w:rsid w:val="00976DBA"/>
    <w:rsid w:val="00976E4F"/>
    <w:rsid w:val="00977013"/>
    <w:rsid w:val="0097741D"/>
    <w:rsid w:val="00977CCA"/>
    <w:rsid w:val="00977DB9"/>
    <w:rsid w:val="009804F5"/>
    <w:rsid w:val="009808E3"/>
    <w:rsid w:val="00981EE2"/>
    <w:rsid w:val="00982E0C"/>
    <w:rsid w:val="00982F2C"/>
    <w:rsid w:val="00983060"/>
    <w:rsid w:val="00983CEC"/>
    <w:rsid w:val="009846D9"/>
    <w:rsid w:val="0098475E"/>
    <w:rsid w:val="0098481B"/>
    <w:rsid w:val="0098519C"/>
    <w:rsid w:val="00985C11"/>
    <w:rsid w:val="009862EF"/>
    <w:rsid w:val="0098663B"/>
    <w:rsid w:val="00986782"/>
    <w:rsid w:val="00986DDC"/>
    <w:rsid w:val="0098782A"/>
    <w:rsid w:val="00990231"/>
    <w:rsid w:val="0099116F"/>
    <w:rsid w:val="0099185C"/>
    <w:rsid w:val="00991B22"/>
    <w:rsid w:val="009922F5"/>
    <w:rsid w:val="009924A8"/>
    <w:rsid w:val="00992616"/>
    <w:rsid w:val="00993954"/>
    <w:rsid w:val="00995CF2"/>
    <w:rsid w:val="00995D0B"/>
    <w:rsid w:val="00996497"/>
    <w:rsid w:val="00996BB8"/>
    <w:rsid w:val="00996F20"/>
    <w:rsid w:val="0099758D"/>
    <w:rsid w:val="009975BB"/>
    <w:rsid w:val="00997881"/>
    <w:rsid w:val="009A00BE"/>
    <w:rsid w:val="009A04A0"/>
    <w:rsid w:val="009A0575"/>
    <w:rsid w:val="009A07B8"/>
    <w:rsid w:val="009A1311"/>
    <w:rsid w:val="009A1937"/>
    <w:rsid w:val="009A20E2"/>
    <w:rsid w:val="009A291C"/>
    <w:rsid w:val="009A2BA3"/>
    <w:rsid w:val="009A2CBD"/>
    <w:rsid w:val="009A312F"/>
    <w:rsid w:val="009A31BE"/>
    <w:rsid w:val="009A37E3"/>
    <w:rsid w:val="009A3CE9"/>
    <w:rsid w:val="009A4065"/>
    <w:rsid w:val="009A4381"/>
    <w:rsid w:val="009A50A8"/>
    <w:rsid w:val="009A64BF"/>
    <w:rsid w:val="009A654C"/>
    <w:rsid w:val="009A6673"/>
    <w:rsid w:val="009A700F"/>
    <w:rsid w:val="009A7236"/>
    <w:rsid w:val="009A7534"/>
    <w:rsid w:val="009A780B"/>
    <w:rsid w:val="009B0101"/>
    <w:rsid w:val="009B01E9"/>
    <w:rsid w:val="009B0600"/>
    <w:rsid w:val="009B0BF5"/>
    <w:rsid w:val="009B0EB1"/>
    <w:rsid w:val="009B19C7"/>
    <w:rsid w:val="009B1DFB"/>
    <w:rsid w:val="009B2A5C"/>
    <w:rsid w:val="009B2BF2"/>
    <w:rsid w:val="009B2F33"/>
    <w:rsid w:val="009B36B0"/>
    <w:rsid w:val="009B3A96"/>
    <w:rsid w:val="009B42A3"/>
    <w:rsid w:val="009B44A0"/>
    <w:rsid w:val="009B4B72"/>
    <w:rsid w:val="009B4F2F"/>
    <w:rsid w:val="009B4FC2"/>
    <w:rsid w:val="009B4FFC"/>
    <w:rsid w:val="009B5061"/>
    <w:rsid w:val="009B5B2C"/>
    <w:rsid w:val="009B7AA6"/>
    <w:rsid w:val="009B7B95"/>
    <w:rsid w:val="009C046E"/>
    <w:rsid w:val="009C0BA1"/>
    <w:rsid w:val="009C0C53"/>
    <w:rsid w:val="009C12B5"/>
    <w:rsid w:val="009C2315"/>
    <w:rsid w:val="009C271C"/>
    <w:rsid w:val="009C27EF"/>
    <w:rsid w:val="009C310E"/>
    <w:rsid w:val="009C378F"/>
    <w:rsid w:val="009C3F58"/>
    <w:rsid w:val="009C493B"/>
    <w:rsid w:val="009C4BB0"/>
    <w:rsid w:val="009C4C9E"/>
    <w:rsid w:val="009C4D7E"/>
    <w:rsid w:val="009C4DB5"/>
    <w:rsid w:val="009C508D"/>
    <w:rsid w:val="009C53A0"/>
    <w:rsid w:val="009C5BE5"/>
    <w:rsid w:val="009C6038"/>
    <w:rsid w:val="009C61CE"/>
    <w:rsid w:val="009C777B"/>
    <w:rsid w:val="009D0255"/>
    <w:rsid w:val="009D041B"/>
    <w:rsid w:val="009D0AAE"/>
    <w:rsid w:val="009D0DAD"/>
    <w:rsid w:val="009D1189"/>
    <w:rsid w:val="009D1858"/>
    <w:rsid w:val="009D2A39"/>
    <w:rsid w:val="009D3446"/>
    <w:rsid w:val="009D4046"/>
    <w:rsid w:val="009D50E5"/>
    <w:rsid w:val="009D5AE8"/>
    <w:rsid w:val="009D5FFA"/>
    <w:rsid w:val="009D757F"/>
    <w:rsid w:val="009D7654"/>
    <w:rsid w:val="009D7A56"/>
    <w:rsid w:val="009D7B0E"/>
    <w:rsid w:val="009D7C6E"/>
    <w:rsid w:val="009E0A6F"/>
    <w:rsid w:val="009E0AA0"/>
    <w:rsid w:val="009E0C43"/>
    <w:rsid w:val="009E0E80"/>
    <w:rsid w:val="009E196A"/>
    <w:rsid w:val="009E1D20"/>
    <w:rsid w:val="009E1F0C"/>
    <w:rsid w:val="009E2056"/>
    <w:rsid w:val="009E215E"/>
    <w:rsid w:val="009E24A6"/>
    <w:rsid w:val="009E325C"/>
    <w:rsid w:val="009E3650"/>
    <w:rsid w:val="009E3720"/>
    <w:rsid w:val="009E3E8D"/>
    <w:rsid w:val="009E41D4"/>
    <w:rsid w:val="009E42EE"/>
    <w:rsid w:val="009E4699"/>
    <w:rsid w:val="009E4B33"/>
    <w:rsid w:val="009E5031"/>
    <w:rsid w:val="009E5714"/>
    <w:rsid w:val="009E57E9"/>
    <w:rsid w:val="009E5B45"/>
    <w:rsid w:val="009E62B7"/>
    <w:rsid w:val="009E6419"/>
    <w:rsid w:val="009E6DEE"/>
    <w:rsid w:val="009E73E3"/>
    <w:rsid w:val="009E7893"/>
    <w:rsid w:val="009F0080"/>
    <w:rsid w:val="009F0536"/>
    <w:rsid w:val="009F08CE"/>
    <w:rsid w:val="009F0A53"/>
    <w:rsid w:val="009F0ECE"/>
    <w:rsid w:val="009F15AD"/>
    <w:rsid w:val="009F19CB"/>
    <w:rsid w:val="009F1F92"/>
    <w:rsid w:val="009F24FF"/>
    <w:rsid w:val="009F3170"/>
    <w:rsid w:val="009F32FC"/>
    <w:rsid w:val="009F35C8"/>
    <w:rsid w:val="009F42E3"/>
    <w:rsid w:val="009F4807"/>
    <w:rsid w:val="009F4E3A"/>
    <w:rsid w:val="009F538E"/>
    <w:rsid w:val="009F5573"/>
    <w:rsid w:val="009F58AD"/>
    <w:rsid w:val="009F5908"/>
    <w:rsid w:val="009F6080"/>
    <w:rsid w:val="009F61C1"/>
    <w:rsid w:val="009F6800"/>
    <w:rsid w:val="009F72D1"/>
    <w:rsid w:val="009F772B"/>
    <w:rsid w:val="009F7900"/>
    <w:rsid w:val="009F7AA6"/>
    <w:rsid w:val="009F7DA8"/>
    <w:rsid w:val="00A00B1E"/>
    <w:rsid w:val="00A00DC4"/>
    <w:rsid w:val="00A019D4"/>
    <w:rsid w:val="00A01F7A"/>
    <w:rsid w:val="00A02095"/>
    <w:rsid w:val="00A0209A"/>
    <w:rsid w:val="00A023D4"/>
    <w:rsid w:val="00A0264E"/>
    <w:rsid w:val="00A02A2F"/>
    <w:rsid w:val="00A03B84"/>
    <w:rsid w:val="00A04501"/>
    <w:rsid w:val="00A04DCB"/>
    <w:rsid w:val="00A05B05"/>
    <w:rsid w:val="00A05FB6"/>
    <w:rsid w:val="00A060CD"/>
    <w:rsid w:val="00A0664E"/>
    <w:rsid w:val="00A0702D"/>
    <w:rsid w:val="00A07850"/>
    <w:rsid w:val="00A1068A"/>
    <w:rsid w:val="00A10829"/>
    <w:rsid w:val="00A10D2D"/>
    <w:rsid w:val="00A11374"/>
    <w:rsid w:val="00A1170B"/>
    <w:rsid w:val="00A11764"/>
    <w:rsid w:val="00A12098"/>
    <w:rsid w:val="00A1294C"/>
    <w:rsid w:val="00A1439A"/>
    <w:rsid w:val="00A14485"/>
    <w:rsid w:val="00A1458B"/>
    <w:rsid w:val="00A149D9"/>
    <w:rsid w:val="00A15384"/>
    <w:rsid w:val="00A154BE"/>
    <w:rsid w:val="00A15D13"/>
    <w:rsid w:val="00A163B4"/>
    <w:rsid w:val="00A16416"/>
    <w:rsid w:val="00A16679"/>
    <w:rsid w:val="00A1711E"/>
    <w:rsid w:val="00A17649"/>
    <w:rsid w:val="00A17851"/>
    <w:rsid w:val="00A178A1"/>
    <w:rsid w:val="00A17ACD"/>
    <w:rsid w:val="00A21E45"/>
    <w:rsid w:val="00A22D11"/>
    <w:rsid w:val="00A233B8"/>
    <w:rsid w:val="00A2374E"/>
    <w:rsid w:val="00A239DE"/>
    <w:rsid w:val="00A24716"/>
    <w:rsid w:val="00A24C59"/>
    <w:rsid w:val="00A24EE9"/>
    <w:rsid w:val="00A2543C"/>
    <w:rsid w:val="00A26899"/>
    <w:rsid w:val="00A268AD"/>
    <w:rsid w:val="00A26EC4"/>
    <w:rsid w:val="00A27318"/>
    <w:rsid w:val="00A27501"/>
    <w:rsid w:val="00A2799D"/>
    <w:rsid w:val="00A27C75"/>
    <w:rsid w:val="00A27F50"/>
    <w:rsid w:val="00A27FD0"/>
    <w:rsid w:val="00A30297"/>
    <w:rsid w:val="00A302BF"/>
    <w:rsid w:val="00A306D8"/>
    <w:rsid w:val="00A30FFF"/>
    <w:rsid w:val="00A31568"/>
    <w:rsid w:val="00A31742"/>
    <w:rsid w:val="00A32D40"/>
    <w:rsid w:val="00A3375A"/>
    <w:rsid w:val="00A3422F"/>
    <w:rsid w:val="00A34684"/>
    <w:rsid w:val="00A347AE"/>
    <w:rsid w:val="00A35520"/>
    <w:rsid w:val="00A35C42"/>
    <w:rsid w:val="00A36475"/>
    <w:rsid w:val="00A365C7"/>
    <w:rsid w:val="00A37007"/>
    <w:rsid w:val="00A373D4"/>
    <w:rsid w:val="00A37F35"/>
    <w:rsid w:val="00A40B5B"/>
    <w:rsid w:val="00A41646"/>
    <w:rsid w:val="00A41C15"/>
    <w:rsid w:val="00A42BAD"/>
    <w:rsid w:val="00A42EA4"/>
    <w:rsid w:val="00A444A9"/>
    <w:rsid w:val="00A44A1B"/>
    <w:rsid w:val="00A4503B"/>
    <w:rsid w:val="00A45A37"/>
    <w:rsid w:val="00A46118"/>
    <w:rsid w:val="00A462EF"/>
    <w:rsid w:val="00A46454"/>
    <w:rsid w:val="00A4653C"/>
    <w:rsid w:val="00A466F6"/>
    <w:rsid w:val="00A46880"/>
    <w:rsid w:val="00A50A51"/>
    <w:rsid w:val="00A50EA9"/>
    <w:rsid w:val="00A50FD4"/>
    <w:rsid w:val="00A51BF9"/>
    <w:rsid w:val="00A51CDC"/>
    <w:rsid w:val="00A52997"/>
    <w:rsid w:val="00A531E3"/>
    <w:rsid w:val="00A53815"/>
    <w:rsid w:val="00A53B30"/>
    <w:rsid w:val="00A54FFB"/>
    <w:rsid w:val="00A559A7"/>
    <w:rsid w:val="00A55FFC"/>
    <w:rsid w:val="00A5612C"/>
    <w:rsid w:val="00A56147"/>
    <w:rsid w:val="00A56B19"/>
    <w:rsid w:val="00A56C30"/>
    <w:rsid w:val="00A571AF"/>
    <w:rsid w:val="00A57809"/>
    <w:rsid w:val="00A6039F"/>
    <w:rsid w:val="00A60C29"/>
    <w:rsid w:val="00A60E1A"/>
    <w:rsid w:val="00A6104A"/>
    <w:rsid w:val="00A61E3D"/>
    <w:rsid w:val="00A62BEF"/>
    <w:rsid w:val="00A636C0"/>
    <w:rsid w:val="00A642B5"/>
    <w:rsid w:val="00A65C46"/>
    <w:rsid w:val="00A661F9"/>
    <w:rsid w:val="00A6684E"/>
    <w:rsid w:val="00A66E07"/>
    <w:rsid w:val="00A66E57"/>
    <w:rsid w:val="00A67EC5"/>
    <w:rsid w:val="00A67F06"/>
    <w:rsid w:val="00A70B04"/>
    <w:rsid w:val="00A70FEA"/>
    <w:rsid w:val="00A715B7"/>
    <w:rsid w:val="00A71B87"/>
    <w:rsid w:val="00A7208D"/>
    <w:rsid w:val="00A72326"/>
    <w:rsid w:val="00A7268C"/>
    <w:rsid w:val="00A72AB0"/>
    <w:rsid w:val="00A730E0"/>
    <w:rsid w:val="00A73808"/>
    <w:rsid w:val="00A74EAD"/>
    <w:rsid w:val="00A7530A"/>
    <w:rsid w:val="00A753FA"/>
    <w:rsid w:val="00A75AF6"/>
    <w:rsid w:val="00A75C06"/>
    <w:rsid w:val="00A761E1"/>
    <w:rsid w:val="00A763F9"/>
    <w:rsid w:val="00A7721A"/>
    <w:rsid w:val="00A7780D"/>
    <w:rsid w:val="00A77A7E"/>
    <w:rsid w:val="00A77EF6"/>
    <w:rsid w:val="00A81021"/>
    <w:rsid w:val="00A81D57"/>
    <w:rsid w:val="00A82464"/>
    <w:rsid w:val="00A829EA"/>
    <w:rsid w:val="00A82ACD"/>
    <w:rsid w:val="00A82E7F"/>
    <w:rsid w:val="00A83266"/>
    <w:rsid w:val="00A83677"/>
    <w:rsid w:val="00A83F7E"/>
    <w:rsid w:val="00A841CC"/>
    <w:rsid w:val="00A852D1"/>
    <w:rsid w:val="00A85350"/>
    <w:rsid w:val="00A8566F"/>
    <w:rsid w:val="00A865FA"/>
    <w:rsid w:val="00A86935"/>
    <w:rsid w:val="00A86C42"/>
    <w:rsid w:val="00A86D7F"/>
    <w:rsid w:val="00A87839"/>
    <w:rsid w:val="00A87BD6"/>
    <w:rsid w:val="00A87DBC"/>
    <w:rsid w:val="00A87FE6"/>
    <w:rsid w:val="00A901EB"/>
    <w:rsid w:val="00A90878"/>
    <w:rsid w:val="00A914B2"/>
    <w:rsid w:val="00A915EC"/>
    <w:rsid w:val="00A9213F"/>
    <w:rsid w:val="00A92495"/>
    <w:rsid w:val="00A92648"/>
    <w:rsid w:val="00A928E1"/>
    <w:rsid w:val="00A93063"/>
    <w:rsid w:val="00A9388A"/>
    <w:rsid w:val="00A941AF"/>
    <w:rsid w:val="00A948D6"/>
    <w:rsid w:val="00A95260"/>
    <w:rsid w:val="00A95265"/>
    <w:rsid w:val="00A961EB"/>
    <w:rsid w:val="00A962C5"/>
    <w:rsid w:val="00A965EC"/>
    <w:rsid w:val="00A966DA"/>
    <w:rsid w:val="00A96B8E"/>
    <w:rsid w:val="00A96E76"/>
    <w:rsid w:val="00A97938"/>
    <w:rsid w:val="00A97C54"/>
    <w:rsid w:val="00A97CA4"/>
    <w:rsid w:val="00AA0421"/>
    <w:rsid w:val="00AA05FA"/>
    <w:rsid w:val="00AA06AD"/>
    <w:rsid w:val="00AA0806"/>
    <w:rsid w:val="00AA088C"/>
    <w:rsid w:val="00AA191D"/>
    <w:rsid w:val="00AA1B37"/>
    <w:rsid w:val="00AA2789"/>
    <w:rsid w:val="00AA2B0D"/>
    <w:rsid w:val="00AA2DA4"/>
    <w:rsid w:val="00AA4CE7"/>
    <w:rsid w:val="00AA4F6A"/>
    <w:rsid w:val="00AA51D4"/>
    <w:rsid w:val="00AA52D7"/>
    <w:rsid w:val="00AA54C6"/>
    <w:rsid w:val="00AA5AE7"/>
    <w:rsid w:val="00AA691F"/>
    <w:rsid w:val="00AA79DB"/>
    <w:rsid w:val="00AA7DDE"/>
    <w:rsid w:val="00AA7F07"/>
    <w:rsid w:val="00AB021A"/>
    <w:rsid w:val="00AB0D8C"/>
    <w:rsid w:val="00AB17A5"/>
    <w:rsid w:val="00AB1DA0"/>
    <w:rsid w:val="00AB2574"/>
    <w:rsid w:val="00AB2585"/>
    <w:rsid w:val="00AB283A"/>
    <w:rsid w:val="00AB2CDE"/>
    <w:rsid w:val="00AB2E00"/>
    <w:rsid w:val="00AB31BC"/>
    <w:rsid w:val="00AB39C5"/>
    <w:rsid w:val="00AB3F5D"/>
    <w:rsid w:val="00AB42CE"/>
    <w:rsid w:val="00AB474A"/>
    <w:rsid w:val="00AB5265"/>
    <w:rsid w:val="00AB59F3"/>
    <w:rsid w:val="00AB5D07"/>
    <w:rsid w:val="00AB5F16"/>
    <w:rsid w:val="00AB649F"/>
    <w:rsid w:val="00AB6715"/>
    <w:rsid w:val="00AB6BC1"/>
    <w:rsid w:val="00AB6DB2"/>
    <w:rsid w:val="00AB6E0A"/>
    <w:rsid w:val="00AB6F84"/>
    <w:rsid w:val="00AB75D9"/>
    <w:rsid w:val="00AB79D3"/>
    <w:rsid w:val="00AB7CD1"/>
    <w:rsid w:val="00AB7FE1"/>
    <w:rsid w:val="00AC03E3"/>
    <w:rsid w:val="00AC0763"/>
    <w:rsid w:val="00AC0BCB"/>
    <w:rsid w:val="00AC0F7E"/>
    <w:rsid w:val="00AC10FB"/>
    <w:rsid w:val="00AC1435"/>
    <w:rsid w:val="00AC206F"/>
    <w:rsid w:val="00AC2934"/>
    <w:rsid w:val="00AC3764"/>
    <w:rsid w:val="00AC421D"/>
    <w:rsid w:val="00AC440B"/>
    <w:rsid w:val="00AC5101"/>
    <w:rsid w:val="00AC532F"/>
    <w:rsid w:val="00AC5D69"/>
    <w:rsid w:val="00AC612A"/>
    <w:rsid w:val="00AC6150"/>
    <w:rsid w:val="00AC72EE"/>
    <w:rsid w:val="00AC75DF"/>
    <w:rsid w:val="00AC7816"/>
    <w:rsid w:val="00AC7913"/>
    <w:rsid w:val="00AC7D08"/>
    <w:rsid w:val="00AD0B2C"/>
    <w:rsid w:val="00AD16FE"/>
    <w:rsid w:val="00AD2347"/>
    <w:rsid w:val="00AD2D5D"/>
    <w:rsid w:val="00AD330A"/>
    <w:rsid w:val="00AD356E"/>
    <w:rsid w:val="00AD4218"/>
    <w:rsid w:val="00AD4298"/>
    <w:rsid w:val="00AD4B0F"/>
    <w:rsid w:val="00AD4CA7"/>
    <w:rsid w:val="00AD4E70"/>
    <w:rsid w:val="00AD5FDB"/>
    <w:rsid w:val="00AD61A4"/>
    <w:rsid w:val="00AD61AA"/>
    <w:rsid w:val="00AD6357"/>
    <w:rsid w:val="00AD65EE"/>
    <w:rsid w:val="00AD6849"/>
    <w:rsid w:val="00AD6E37"/>
    <w:rsid w:val="00AD7575"/>
    <w:rsid w:val="00AD788E"/>
    <w:rsid w:val="00AD7CB3"/>
    <w:rsid w:val="00AE002D"/>
    <w:rsid w:val="00AE0B45"/>
    <w:rsid w:val="00AE1D0B"/>
    <w:rsid w:val="00AE23D4"/>
    <w:rsid w:val="00AE241C"/>
    <w:rsid w:val="00AE272D"/>
    <w:rsid w:val="00AE28B2"/>
    <w:rsid w:val="00AE3476"/>
    <w:rsid w:val="00AE39EF"/>
    <w:rsid w:val="00AE3C61"/>
    <w:rsid w:val="00AE3CA9"/>
    <w:rsid w:val="00AE4559"/>
    <w:rsid w:val="00AE4D6B"/>
    <w:rsid w:val="00AE55A1"/>
    <w:rsid w:val="00AE5705"/>
    <w:rsid w:val="00AE5EEF"/>
    <w:rsid w:val="00AE5F0B"/>
    <w:rsid w:val="00AE5F52"/>
    <w:rsid w:val="00AE65E5"/>
    <w:rsid w:val="00AE66A4"/>
    <w:rsid w:val="00AE6D0F"/>
    <w:rsid w:val="00AE7301"/>
    <w:rsid w:val="00AE7721"/>
    <w:rsid w:val="00AE7DE0"/>
    <w:rsid w:val="00AF032B"/>
    <w:rsid w:val="00AF0BB3"/>
    <w:rsid w:val="00AF103D"/>
    <w:rsid w:val="00AF129F"/>
    <w:rsid w:val="00AF16D2"/>
    <w:rsid w:val="00AF1801"/>
    <w:rsid w:val="00AF18EC"/>
    <w:rsid w:val="00AF1A77"/>
    <w:rsid w:val="00AF24F8"/>
    <w:rsid w:val="00AF2E31"/>
    <w:rsid w:val="00AF3F2E"/>
    <w:rsid w:val="00AF4922"/>
    <w:rsid w:val="00AF4FC5"/>
    <w:rsid w:val="00AF5043"/>
    <w:rsid w:val="00AF5698"/>
    <w:rsid w:val="00AF5804"/>
    <w:rsid w:val="00AF5D01"/>
    <w:rsid w:val="00AF61BD"/>
    <w:rsid w:val="00AF66FA"/>
    <w:rsid w:val="00AF76CE"/>
    <w:rsid w:val="00B00817"/>
    <w:rsid w:val="00B00E55"/>
    <w:rsid w:val="00B01882"/>
    <w:rsid w:val="00B018A0"/>
    <w:rsid w:val="00B019D9"/>
    <w:rsid w:val="00B02021"/>
    <w:rsid w:val="00B02247"/>
    <w:rsid w:val="00B02B66"/>
    <w:rsid w:val="00B0369E"/>
    <w:rsid w:val="00B05202"/>
    <w:rsid w:val="00B05677"/>
    <w:rsid w:val="00B05A29"/>
    <w:rsid w:val="00B05A84"/>
    <w:rsid w:val="00B05D47"/>
    <w:rsid w:val="00B064F8"/>
    <w:rsid w:val="00B0688E"/>
    <w:rsid w:val="00B0692E"/>
    <w:rsid w:val="00B07ED2"/>
    <w:rsid w:val="00B119C0"/>
    <w:rsid w:val="00B11CF0"/>
    <w:rsid w:val="00B11FCB"/>
    <w:rsid w:val="00B1219C"/>
    <w:rsid w:val="00B1239C"/>
    <w:rsid w:val="00B123F3"/>
    <w:rsid w:val="00B12893"/>
    <w:rsid w:val="00B12C19"/>
    <w:rsid w:val="00B12CDB"/>
    <w:rsid w:val="00B131F1"/>
    <w:rsid w:val="00B139E3"/>
    <w:rsid w:val="00B141F1"/>
    <w:rsid w:val="00B14617"/>
    <w:rsid w:val="00B14B91"/>
    <w:rsid w:val="00B14DF9"/>
    <w:rsid w:val="00B15538"/>
    <w:rsid w:val="00B155D8"/>
    <w:rsid w:val="00B15A02"/>
    <w:rsid w:val="00B15BAC"/>
    <w:rsid w:val="00B15D28"/>
    <w:rsid w:val="00B1646B"/>
    <w:rsid w:val="00B16C39"/>
    <w:rsid w:val="00B17AD1"/>
    <w:rsid w:val="00B17F92"/>
    <w:rsid w:val="00B20247"/>
    <w:rsid w:val="00B22A93"/>
    <w:rsid w:val="00B24BEA"/>
    <w:rsid w:val="00B25CD7"/>
    <w:rsid w:val="00B267D6"/>
    <w:rsid w:val="00B27087"/>
    <w:rsid w:val="00B27618"/>
    <w:rsid w:val="00B27966"/>
    <w:rsid w:val="00B30F6C"/>
    <w:rsid w:val="00B319A7"/>
    <w:rsid w:val="00B31D26"/>
    <w:rsid w:val="00B31FE2"/>
    <w:rsid w:val="00B32931"/>
    <w:rsid w:val="00B32A5F"/>
    <w:rsid w:val="00B32E37"/>
    <w:rsid w:val="00B3312F"/>
    <w:rsid w:val="00B33355"/>
    <w:rsid w:val="00B33693"/>
    <w:rsid w:val="00B337DD"/>
    <w:rsid w:val="00B33ACA"/>
    <w:rsid w:val="00B33BA0"/>
    <w:rsid w:val="00B33CFE"/>
    <w:rsid w:val="00B3458F"/>
    <w:rsid w:val="00B346A2"/>
    <w:rsid w:val="00B347F2"/>
    <w:rsid w:val="00B34F11"/>
    <w:rsid w:val="00B3515C"/>
    <w:rsid w:val="00B3571E"/>
    <w:rsid w:val="00B3648A"/>
    <w:rsid w:val="00B3654D"/>
    <w:rsid w:val="00B365DA"/>
    <w:rsid w:val="00B36890"/>
    <w:rsid w:val="00B36CEA"/>
    <w:rsid w:val="00B36DAA"/>
    <w:rsid w:val="00B37085"/>
    <w:rsid w:val="00B37BE9"/>
    <w:rsid w:val="00B4019F"/>
    <w:rsid w:val="00B40299"/>
    <w:rsid w:val="00B40407"/>
    <w:rsid w:val="00B4065F"/>
    <w:rsid w:val="00B40B8E"/>
    <w:rsid w:val="00B4150B"/>
    <w:rsid w:val="00B41A64"/>
    <w:rsid w:val="00B42135"/>
    <w:rsid w:val="00B432E6"/>
    <w:rsid w:val="00B437DF"/>
    <w:rsid w:val="00B44577"/>
    <w:rsid w:val="00B451AE"/>
    <w:rsid w:val="00B45BC5"/>
    <w:rsid w:val="00B45C03"/>
    <w:rsid w:val="00B45DCE"/>
    <w:rsid w:val="00B46081"/>
    <w:rsid w:val="00B46265"/>
    <w:rsid w:val="00B463A0"/>
    <w:rsid w:val="00B463A3"/>
    <w:rsid w:val="00B469DE"/>
    <w:rsid w:val="00B46E35"/>
    <w:rsid w:val="00B476DC"/>
    <w:rsid w:val="00B47F32"/>
    <w:rsid w:val="00B47FAE"/>
    <w:rsid w:val="00B5033E"/>
    <w:rsid w:val="00B51197"/>
    <w:rsid w:val="00B511C9"/>
    <w:rsid w:val="00B514CB"/>
    <w:rsid w:val="00B51642"/>
    <w:rsid w:val="00B51D9B"/>
    <w:rsid w:val="00B53174"/>
    <w:rsid w:val="00B535E8"/>
    <w:rsid w:val="00B53665"/>
    <w:rsid w:val="00B53862"/>
    <w:rsid w:val="00B538C0"/>
    <w:rsid w:val="00B53C05"/>
    <w:rsid w:val="00B5429E"/>
    <w:rsid w:val="00B54384"/>
    <w:rsid w:val="00B552D6"/>
    <w:rsid w:val="00B55827"/>
    <w:rsid w:val="00B560CF"/>
    <w:rsid w:val="00B563C9"/>
    <w:rsid w:val="00B567FE"/>
    <w:rsid w:val="00B5684A"/>
    <w:rsid w:val="00B57433"/>
    <w:rsid w:val="00B57BA7"/>
    <w:rsid w:val="00B60343"/>
    <w:rsid w:val="00B60590"/>
    <w:rsid w:val="00B61E22"/>
    <w:rsid w:val="00B61F33"/>
    <w:rsid w:val="00B6215C"/>
    <w:rsid w:val="00B627FF"/>
    <w:rsid w:val="00B63016"/>
    <w:rsid w:val="00B63629"/>
    <w:rsid w:val="00B63942"/>
    <w:rsid w:val="00B64C99"/>
    <w:rsid w:val="00B65779"/>
    <w:rsid w:val="00B65870"/>
    <w:rsid w:val="00B659DE"/>
    <w:rsid w:val="00B66222"/>
    <w:rsid w:val="00B663E6"/>
    <w:rsid w:val="00B66D61"/>
    <w:rsid w:val="00B67CFC"/>
    <w:rsid w:val="00B67ECF"/>
    <w:rsid w:val="00B70122"/>
    <w:rsid w:val="00B70446"/>
    <w:rsid w:val="00B70730"/>
    <w:rsid w:val="00B70D7E"/>
    <w:rsid w:val="00B71756"/>
    <w:rsid w:val="00B735FA"/>
    <w:rsid w:val="00B74191"/>
    <w:rsid w:val="00B748F0"/>
    <w:rsid w:val="00B7564F"/>
    <w:rsid w:val="00B756E3"/>
    <w:rsid w:val="00B75C3F"/>
    <w:rsid w:val="00B76788"/>
    <w:rsid w:val="00B76DAF"/>
    <w:rsid w:val="00B773C7"/>
    <w:rsid w:val="00B77446"/>
    <w:rsid w:val="00B775D4"/>
    <w:rsid w:val="00B77C7E"/>
    <w:rsid w:val="00B8036F"/>
    <w:rsid w:val="00B80C71"/>
    <w:rsid w:val="00B81255"/>
    <w:rsid w:val="00B81508"/>
    <w:rsid w:val="00B81C9A"/>
    <w:rsid w:val="00B822B4"/>
    <w:rsid w:val="00B82465"/>
    <w:rsid w:val="00B82813"/>
    <w:rsid w:val="00B83226"/>
    <w:rsid w:val="00B8338D"/>
    <w:rsid w:val="00B83707"/>
    <w:rsid w:val="00B843F1"/>
    <w:rsid w:val="00B858C9"/>
    <w:rsid w:val="00B85BB3"/>
    <w:rsid w:val="00B85D0D"/>
    <w:rsid w:val="00B85D5B"/>
    <w:rsid w:val="00B85FA0"/>
    <w:rsid w:val="00B861CC"/>
    <w:rsid w:val="00B876A9"/>
    <w:rsid w:val="00B9010E"/>
    <w:rsid w:val="00B9024E"/>
    <w:rsid w:val="00B904A9"/>
    <w:rsid w:val="00B908E9"/>
    <w:rsid w:val="00B90944"/>
    <w:rsid w:val="00B909F0"/>
    <w:rsid w:val="00B9289F"/>
    <w:rsid w:val="00B92CAB"/>
    <w:rsid w:val="00B9383D"/>
    <w:rsid w:val="00B945F9"/>
    <w:rsid w:val="00B94975"/>
    <w:rsid w:val="00B94C43"/>
    <w:rsid w:val="00B94C59"/>
    <w:rsid w:val="00B956D5"/>
    <w:rsid w:val="00B95D5B"/>
    <w:rsid w:val="00B95F48"/>
    <w:rsid w:val="00B96178"/>
    <w:rsid w:val="00B96721"/>
    <w:rsid w:val="00B96896"/>
    <w:rsid w:val="00B96ABF"/>
    <w:rsid w:val="00B96BA4"/>
    <w:rsid w:val="00BA0333"/>
    <w:rsid w:val="00BA033B"/>
    <w:rsid w:val="00BA082D"/>
    <w:rsid w:val="00BA0983"/>
    <w:rsid w:val="00BA0C86"/>
    <w:rsid w:val="00BA0E92"/>
    <w:rsid w:val="00BA0EE6"/>
    <w:rsid w:val="00BA178F"/>
    <w:rsid w:val="00BA1F60"/>
    <w:rsid w:val="00BA201F"/>
    <w:rsid w:val="00BA20C4"/>
    <w:rsid w:val="00BA2331"/>
    <w:rsid w:val="00BA24D3"/>
    <w:rsid w:val="00BA2A84"/>
    <w:rsid w:val="00BA2BCF"/>
    <w:rsid w:val="00BA2FCC"/>
    <w:rsid w:val="00BA3122"/>
    <w:rsid w:val="00BA3909"/>
    <w:rsid w:val="00BA3BB7"/>
    <w:rsid w:val="00BA3C4F"/>
    <w:rsid w:val="00BA457C"/>
    <w:rsid w:val="00BA46C3"/>
    <w:rsid w:val="00BA5162"/>
    <w:rsid w:val="00BA5250"/>
    <w:rsid w:val="00BA53CF"/>
    <w:rsid w:val="00BA6539"/>
    <w:rsid w:val="00BA664F"/>
    <w:rsid w:val="00BA6ED1"/>
    <w:rsid w:val="00BA7A80"/>
    <w:rsid w:val="00BA7B36"/>
    <w:rsid w:val="00BA7F84"/>
    <w:rsid w:val="00BB0350"/>
    <w:rsid w:val="00BB03EC"/>
    <w:rsid w:val="00BB083A"/>
    <w:rsid w:val="00BB0C7B"/>
    <w:rsid w:val="00BB0E8E"/>
    <w:rsid w:val="00BB0FB3"/>
    <w:rsid w:val="00BB182A"/>
    <w:rsid w:val="00BB1C80"/>
    <w:rsid w:val="00BB1E13"/>
    <w:rsid w:val="00BB2296"/>
    <w:rsid w:val="00BB2585"/>
    <w:rsid w:val="00BB32A5"/>
    <w:rsid w:val="00BB3C87"/>
    <w:rsid w:val="00BB3FD2"/>
    <w:rsid w:val="00BB4356"/>
    <w:rsid w:val="00BB5043"/>
    <w:rsid w:val="00BB5380"/>
    <w:rsid w:val="00BB58E9"/>
    <w:rsid w:val="00BB58F8"/>
    <w:rsid w:val="00BB5BEE"/>
    <w:rsid w:val="00BB6402"/>
    <w:rsid w:val="00BB6D15"/>
    <w:rsid w:val="00BB708C"/>
    <w:rsid w:val="00BB7A5A"/>
    <w:rsid w:val="00BC012E"/>
    <w:rsid w:val="00BC022E"/>
    <w:rsid w:val="00BC0A68"/>
    <w:rsid w:val="00BC102C"/>
    <w:rsid w:val="00BC11D4"/>
    <w:rsid w:val="00BC1DDE"/>
    <w:rsid w:val="00BC2066"/>
    <w:rsid w:val="00BC3270"/>
    <w:rsid w:val="00BC3975"/>
    <w:rsid w:val="00BC3E51"/>
    <w:rsid w:val="00BC4488"/>
    <w:rsid w:val="00BC4B3D"/>
    <w:rsid w:val="00BC4BF6"/>
    <w:rsid w:val="00BC5B24"/>
    <w:rsid w:val="00BC628C"/>
    <w:rsid w:val="00BC66EB"/>
    <w:rsid w:val="00BC6BB1"/>
    <w:rsid w:val="00BC6F9F"/>
    <w:rsid w:val="00BC760A"/>
    <w:rsid w:val="00BC76E9"/>
    <w:rsid w:val="00BC7CF1"/>
    <w:rsid w:val="00BD043E"/>
    <w:rsid w:val="00BD0D8B"/>
    <w:rsid w:val="00BD0F2E"/>
    <w:rsid w:val="00BD18C9"/>
    <w:rsid w:val="00BD36B2"/>
    <w:rsid w:val="00BD381D"/>
    <w:rsid w:val="00BD434F"/>
    <w:rsid w:val="00BD46FA"/>
    <w:rsid w:val="00BD47F5"/>
    <w:rsid w:val="00BD4B76"/>
    <w:rsid w:val="00BD50E7"/>
    <w:rsid w:val="00BD58C0"/>
    <w:rsid w:val="00BD6901"/>
    <w:rsid w:val="00BD79EA"/>
    <w:rsid w:val="00BD7BCD"/>
    <w:rsid w:val="00BE004F"/>
    <w:rsid w:val="00BE04A4"/>
    <w:rsid w:val="00BE0760"/>
    <w:rsid w:val="00BE0D8C"/>
    <w:rsid w:val="00BE106E"/>
    <w:rsid w:val="00BE1234"/>
    <w:rsid w:val="00BE12ED"/>
    <w:rsid w:val="00BE16DC"/>
    <w:rsid w:val="00BE1EB7"/>
    <w:rsid w:val="00BE2588"/>
    <w:rsid w:val="00BE31C6"/>
    <w:rsid w:val="00BE3432"/>
    <w:rsid w:val="00BE3E67"/>
    <w:rsid w:val="00BE4151"/>
    <w:rsid w:val="00BE43A3"/>
    <w:rsid w:val="00BE451E"/>
    <w:rsid w:val="00BE4919"/>
    <w:rsid w:val="00BE64C7"/>
    <w:rsid w:val="00BE6C1F"/>
    <w:rsid w:val="00BE7084"/>
    <w:rsid w:val="00BE74BF"/>
    <w:rsid w:val="00BE76B2"/>
    <w:rsid w:val="00BE7702"/>
    <w:rsid w:val="00BF01D4"/>
    <w:rsid w:val="00BF08BB"/>
    <w:rsid w:val="00BF0B84"/>
    <w:rsid w:val="00BF0F33"/>
    <w:rsid w:val="00BF1B7D"/>
    <w:rsid w:val="00BF2095"/>
    <w:rsid w:val="00BF2725"/>
    <w:rsid w:val="00BF2D35"/>
    <w:rsid w:val="00BF36BA"/>
    <w:rsid w:val="00BF385D"/>
    <w:rsid w:val="00BF42BF"/>
    <w:rsid w:val="00BF4E0A"/>
    <w:rsid w:val="00BF50C2"/>
    <w:rsid w:val="00BF50E6"/>
    <w:rsid w:val="00BF5435"/>
    <w:rsid w:val="00BF5D8B"/>
    <w:rsid w:val="00BF5F61"/>
    <w:rsid w:val="00BF6025"/>
    <w:rsid w:val="00BF6142"/>
    <w:rsid w:val="00BF680F"/>
    <w:rsid w:val="00BF78C2"/>
    <w:rsid w:val="00C00D99"/>
    <w:rsid w:val="00C02A27"/>
    <w:rsid w:val="00C02AD0"/>
    <w:rsid w:val="00C02FA0"/>
    <w:rsid w:val="00C035AD"/>
    <w:rsid w:val="00C03AED"/>
    <w:rsid w:val="00C04814"/>
    <w:rsid w:val="00C049EC"/>
    <w:rsid w:val="00C04BB4"/>
    <w:rsid w:val="00C04C3A"/>
    <w:rsid w:val="00C0560C"/>
    <w:rsid w:val="00C065F5"/>
    <w:rsid w:val="00C06A29"/>
    <w:rsid w:val="00C06C53"/>
    <w:rsid w:val="00C071BE"/>
    <w:rsid w:val="00C079E5"/>
    <w:rsid w:val="00C07CA8"/>
    <w:rsid w:val="00C07CBF"/>
    <w:rsid w:val="00C07DD6"/>
    <w:rsid w:val="00C113BF"/>
    <w:rsid w:val="00C12808"/>
    <w:rsid w:val="00C12F18"/>
    <w:rsid w:val="00C13A96"/>
    <w:rsid w:val="00C13E14"/>
    <w:rsid w:val="00C150EA"/>
    <w:rsid w:val="00C15210"/>
    <w:rsid w:val="00C1618C"/>
    <w:rsid w:val="00C16380"/>
    <w:rsid w:val="00C1722D"/>
    <w:rsid w:val="00C17283"/>
    <w:rsid w:val="00C1775B"/>
    <w:rsid w:val="00C17F78"/>
    <w:rsid w:val="00C20081"/>
    <w:rsid w:val="00C205C7"/>
    <w:rsid w:val="00C21BB8"/>
    <w:rsid w:val="00C21C61"/>
    <w:rsid w:val="00C231BE"/>
    <w:rsid w:val="00C23E99"/>
    <w:rsid w:val="00C240D8"/>
    <w:rsid w:val="00C2424A"/>
    <w:rsid w:val="00C242F9"/>
    <w:rsid w:val="00C2446F"/>
    <w:rsid w:val="00C24674"/>
    <w:rsid w:val="00C24BCF"/>
    <w:rsid w:val="00C24D1C"/>
    <w:rsid w:val="00C24FB7"/>
    <w:rsid w:val="00C257DE"/>
    <w:rsid w:val="00C2599F"/>
    <w:rsid w:val="00C25C53"/>
    <w:rsid w:val="00C25D70"/>
    <w:rsid w:val="00C269C1"/>
    <w:rsid w:val="00C2712E"/>
    <w:rsid w:val="00C27895"/>
    <w:rsid w:val="00C27A6B"/>
    <w:rsid w:val="00C27B3F"/>
    <w:rsid w:val="00C27EBA"/>
    <w:rsid w:val="00C304E3"/>
    <w:rsid w:val="00C30AFF"/>
    <w:rsid w:val="00C31718"/>
    <w:rsid w:val="00C317C7"/>
    <w:rsid w:val="00C31867"/>
    <w:rsid w:val="00C31A16"/>
    <w:rsid w:val="00C31D43"/>
    <w:rsid w:val="00C320C6"/>
    <w:rsid w:val="00C327E4"/>
    <w:rsid w:val="00C33619"/>
    <w:rsid w:val="00C34516"/>
    <w:rsid w:val="00C3465A"/>
    <w:rsid w:val="00C347D2"/>
    <w:rsid w:val="00C35122"/>
    <w:rsid w:val="00C35963"/>
    <w:rsid w:val="00C35DD2"/>
    <w:rsid w:val="00C36366"/>
    <w:rsid w:val="00C36440"/>
    <w:rsid w:val="00C36558"/>
    <w:rsid w:val="00C40739"/>
    <w:rsid w:val="00C40831"/>
    <w:rsid w:val="00C4083D"/>
    <w:rsid w:val="00C420E9"/>
    <w:rsid w:val="00C4230F"/>
    <w:rsid w:val="00C42A7C"/>
    <w:rsid w:val="00C42C7C"/>
    <w:rsid w:val="00C42CC4"/>
    <w:rsid w:val="00C43561"/>
    <w:rsid w:val="00C43F27"/>
    <w:rsid w:val="00C44047"/>
    <w:rsid w:val="00C44696"/>
    <w:rsid w:val="00C44BB4"/>
    <w:rsid w:val="00C4603D"/>
    <w:rsid w:val="00C467A2"/>
    <w:rsid w:val="00C47AB5"/>
    <w:rsid w:val="00C47D1A"/>
    <w:rsid w:val="00C47E7B"/>
    <w:rsid w:val="00C510CC"/>
    <w:rsid w:val="00C5128C"/>
    <w:rsid w:val="00C51431"/>
    <w:rsid w:val="00C51AFB"/>
    <w:rsid w:val="00C51BC6"/>
    <w:rsid w:val="00C51EF7"/>
    <w:rsid w:val="00C523CB"/>
    <w:rsid w:val="00C53115"/>
    <w:rsid w:val="00C5331B"/>
    <w:rsid w:val="00C5332F"/>
    <w:rsid w:val="00C53DEE"/>
    <w:rsid w:val="00C53E51"/>
    <w:rsid w:val="00C5485C"/>
    <w:rsid w:val="00C54BBD"/>
    <w:rsid w:val="00C54F3E"/>
    <w:rsid w:val="00C55284"/>
    <w:rsid w:val="00C55C7B"/>
    <w:rsid w:val="00C55F6B"/>
    <w:rsid w:val="00C56FA6"/>
    <w:rsid w:val="00C56FD7"/>
    <w:rsid w:val="00C57E01"/>
    <w:rsid w:val="00C57F5B"/>
    <w:rsid w:val="00C60CC4"/>
    <w:rsid w:val="00C60D1B"/>
    <w:rsid w:val="00C60E5D"/>
    <w:rsid w:val="00C61997"/>
    <w:rsid w:val="00C6205F"/>
    <w:rsid w:val="00C62BC0"/>
    <w:rsid w:val="00C6301D"/>
    <w:rsid w:val="00C63168"/>
    <w:rsid w:val="00C63753"/>
    <w:rsid w:val="00C63EF6"/>
    <w:rsid w:val="00C640CF"/>
    <w:rsid w:val="00C64263"/>
    <w:rsid w:val="00C6494F"/>
    <w:rsid w:val="00C64FB1"/>
    <w:rsid w:val="00C6670A"/>
    <w:rsid w:val="00C67187"/>
    <w:rsid w:val="00C708BA"/>
    <w:rsid w:val="00C70F6C"/>
    <w:rsid w:val="00C71771"/>
    <w:rsid w:val="00C72043"/>
    <w:rsid w:val="00C7230B"/>
    <w:rsid w:val="00C724D8"/>
    <w:rsid w:val="00C726E4"/>
    <w:rsid w:val="00C73628"/>
    <w:rsid w:val="00C73B3C"/>
    <w:rsid w:val="00C73F1D"/>
    <w:rsid w:val="00C75367"/>
    <w:rsid w:val="00C75516"/>
    <w:rsid w:val="00C759AD"/>
    <w:rsid w:val="00C7605E"/>
    <w:rsid w:val="00C7663F"/>
    <w:rsid w:val="00C76921"/>
    <w:rsid w:val="00C77814"/>
    <w:rsid w:val="00C77AAF"/>
    <w:rsid w:val="00C77D3B"/>
    <w:rsid w:val="00C80485"/>
    <w:rsid w:val="00C80F14"/>
    <w:rsid w:val="00C815EC"/>
    <w:rsid w:val="00C81666"/>
    <w:rsid w:val="00C81826"/>
    <w:rsid w:val="00C818B5"/>
    <w:rsid w:val="00C81B30"/>
    <w:rsid w:val="00C81B6C"/>
    <w:rsid w:val="00C81C29"/>
    <w:rsid w:val="00C81DD0"/>
    <w:rsid w:val="00C82525"/>
    <w:rsid w:val="00C826F3"/>
    <w:rsid w:val="00C82722"/>
    <w:rsid w:val="00C82D16"/>
    <w:rsid w:val="00C833C0"/>
    <w:rsid w:val="00C83798"/>
    <w:rsid w:val="00C841DE"/>
    <w:rsid w:val="00C842C2"/>
    <w:rsid w:val="00C84683"/>
    <w:rsid w:val="00C84801"/>
    <w:rsid w:val="00C84B62"/>
    <w:rsid w:val="00C84C69"/>
    <w:rsid w:val="00C85283"/>
    <w:rsid w:val="00C85670"/>
    <w:rsid w:val="00C85A99"/>
    <w:rsid w:val="00C85C53"/>
    <w:rsid w:val="00C85E06"/>
    <w:rsid w:val="00C86A33"/>
    <w:rsid w:val="00C86BCA"/>
    <w:rsid w:val="00C86C98"/>
    <w:rsid w:val="00C87792"/>
    <w:rsid w:val="00C87A43"/>
    <w:rsid w:val="00C87D80"/>
    <w:rsid w:val="00C87E66"/>
    <w:rsid w:val="00C907E3"/>
    <w:rsid w:val="00C92356"/>
    <w:rsid w:val="00C9249E"/>
    <w:rsid w:val="00C926D2"/>
    <w:rsid w:val="00C92766"/>
    <w:rsid w:val="00C928E3"/>
    <w:rsid w:val="00C92E32"/>
    <w:rsid w:val="00C932E4"/>
    <w:rsid w:val="00C93367"/>
    <w:rsid w:val="00C93F38"/>
    <w:rsid w:val="00C94021"/>
    <w:rsid w:val="00C94384"/>
    <w:rsid w:val="00C945CC"/>
    <w:rsid w:val="00C94A1C"/>
    <w:rsid w:val="00C94A3D"/>
    <w:rsid w:val="00C95057"/>
    <w:rsid w:val="00C95CA9"/>
    <w:rsid w:val="00C9624A"/>
    <w:rsid w:val="00C967D0"/>
    <w:rsid w:val="00C975B6"/>
    <w:rsid w:val="00C97C9C"/>
    <w:rsid w:val="00CA0654"/>
    <w:rsid w:val="00CA0A95"/>
    <w:rsid w:val="00CA13F8"/>
    <w:rsid w:val="00CA1487"/>
    <w:rsid w:val="00CA2D06"/>
    <w:rsid w:val="00CA3890"/>
    <w:rsid w:val="00CA47B5"/>
    <w:rsid w:val="00CA4D81"/>
    <w:rsid w:val="00CA6340"/>
    <w:rsid w:val="00CA6523"/>
    <w:rsid w:val="00CA66E3"/>
    <w:rsid w:val="00CB1476"/>
    <w:rsid w:val="00CB148B"/>
    <w:rsid w:val="00CB1B6C"/>
    <w:rsid w:val="00CB2B86"/>
    <w:rsid w:val="00CB328B"/>
    <w:rsid w:val="00CB3952"/>
    <w:rsid w:val="00CB3B54"/>
    <w:rsid w:val="00CB4431"/>
    <w:rsid w:val="00CB59AE"/>
    <w:rsid w:val="00CB6962"/>
    <w:rsid w:val="00CB7906"/>
    <w:rsid w:val="00CB7DFB"/>
    <w:rsid w:val="00CC0BA4"/>
    <w:rsid w:val="00CC0C52"/>
    <w:rsid w:val="00CC0F77"/>
    <w:rsid w:val="00CC132B"/>
    <w:rsid w:val="00CC26F0"/>
    <w:rsid w:val="00CC2F14"/>
    <w:rsid w:val="00CC30E7"/>
    <w:rsid w:val="00CC385C"/>
    <w:rsid w:val="00CC4872"/>
    <w:rsid w:val="00CC595A"/>
    <w:rsid w:val="00CC5B12"/>
    <w:rsid w:val="00CC5D5B"/>
    <w:rsid w:val="00CC6174"/>
    <w:rsid w:val="00CD01CC"/>
    <w:rsid w:val="00CD0693"/>
    <w:rsid w:val="00CD06C1"/>
    <w:rsid w:val="00CD1AD3"/>
    <w:rsid w:val="00CD23B8"/>
    <w:rsid w:val="00CD25FC"/>
    <w:rsid w:val="00CD3F40"/>
    <w:rsid w:val="00CD5199"/>
    <w:rsid w:val="00CD58C0"/>
    <w:rsid w:val="00CD58E2"/>
    <w:rsid w:val="00CD5C90"/>
    <w:rsid w:val="00CD603B"/>
    <w:rsid w:val="00CD6625"/>
    <w:rsid w:val="00CD697A"/>
    <w:rsid w:val="00CE0107"/>
    <w:rsid w:val="00CE08CD"/>
    <w:rsid w:val="00CE15F2"/>
    <w:rsid w:val="00CE19F0"/>
    <w:rsid w:val="00CE21CD"/>
    <w:rsid w:val="00CE2B01"/>
    <w:rsid w:val="00CE2CA5"/>
    <w:rsid w:val="00CE346E"/>
    <w:rsid w:val="00CE3D25"/>
    <w:rsid w:val="00CE4792"/>
    <w:rsid w:val="00CE48A8"/>
    <w:rsid w:val="00CE48C7"/>
    <w:rsid w:val="00CE491D"/>
    <w:rsid w:val="00CE4A9C"/>
    <w:rsid w:val="00CE4AD8"/>
    <w:rsid w:val="00CE4FEE"/>
    <w:rsid w:val="00CE585B"/>
    <w:rsid w:val="00CE5A35"/>
    <w:rsid w:val="00CE6269"/>
    <w:rsid w:val="00CE663F"/>
    <w:rsid w:val="00CE6901"/>
    <w:rsid w:val="00CE7021"/>
    <w:rsid w:val="00CE7555"/>
    <w:rsid w:val="00CF00F4"/>
    <w:rsid w:val="00CF034B"/>
    <w:rsid w:val="00CF0C68"/>
    <w:rsid w:val="00CF0C9C"/>
    <w:rsid w:val="00CF0D5B"/>
    <w:rsid w:val="00CF0F0E"/>
    <w:rsid w:val="00CF13EF"/>
    <w:rsid w:val="00CF202F"/>
    <w:rsid w:val="00CF2509"/>
    <w:rsid w:val="00CF255B"/>
    <w:rsid w:val="00CF28BF"/>
    <w:rsid w:val="00CF29B3"/>
    <w:rsid w:val="00CF2C7E"/>
    <w:rsid w:val="00CF3180"/>
    <w:rsid w:val="00CF3430"/>
    <w:rsid w:val="00CF4811"/>
    <w:rsid w:val="00CF52B1"/>
    <w:rsid w:val="00CF5EDC"/>
    <w:rsid w:val="00CF65CE"/>
    <w:rsid w:val="00CF65F0"/>
    <w:rsid w:val="00CF6A78"/>
    <w:rsid w:val="00CF6E79"/>
    <w:rsid w:val="00CF704A"/>
    <w:rsid w:val="00CF7D91"/>
    <w:rsid w:val="00CF7E84"/>
    <w:rsid w:val="00D00529"/>
    <w:rsid w:val="00D005E1"/>
    <w:rsid w:val="00D007DA"/>
    <w:rsid w:val="00D00B87"/>
    <w:rsid w:val="00D01195"/>
    <w:rsid w:val="00D011A0"/>
    <w:rsid w:val="00D0263A"/>
    <w:rsid w:val="00D03116"/>
    <w:rsid w:val="00D03309"/>
    <w:rsid w:val="00D03F8B"/>
    <w:rsid w:val="00D0438F"/>
    <w:rsid w:val="00D043CA"/>
    <w:rsid w:val="00D0475F"/>
    <w:rsid w:val="00D04946"/>
    <w:rsid w:val="00D04C09"/>
    <w:rsid w:val="00D04F45"/>
    <w:rsid w:val="00D071DD"/>
    <w:rsid w:val="00D07478"/>
    <w:rsid w:val="00D103FF"/>
    <w:rsid w:val="00D1055E"/>
    <w:rsid w:val="00D10A12"/>
    <w:rsid w:val="00D10D2A"/>
    <w:rsid w:val="00D11150"/>
    <w:rsid w:val="00D11C6C"/>
    <w:rsid w:val="00D120AA"/>
    <w:rsid w:val="00D122A8"/>
    <w:rsid w:val="00D124D8"/>
    <w:rsid w:val="00D12873"/>
    <w:rsid w:val="00D12B82"/>
    <w:rsid w:val="00D12FAA"/>
    <w:rsid w:val="00D132F3"/>
    <w:rsid w:val="00D13E70"/>
    <w:rsid w:val="00D14357"/>
    <w:rsid w:val="00D148A6"/>
    <w:rsid w:val="00D14D08"/>
    <w:rsid w:val="00D14DEB"/>
    <w:rsid w:val="00D1523F"/>
    <w:rsid w:val="00D15AC9"/>
    <w:rsid w:val="00D15C6E"/>
    <w:rsid w:val="00D15D46"/>
    <w:rsid w:val="00D15E4E"/>
    <w:rsid w:val="00D16926"/>
    <w:rsid w:val="00D16C93"/>
    <w:rsid w:val="00D16D85"/>
    <w:rsid w:val="00D16FFA"/>
    <w:rsid w:val="00D173FF"/>
    <w:rsid w:val="00D20035"/>
    <w:rsid w:val="00D20F72"/>
    <w:rsid w:val="00D21242"/>
    <w:rsid w:val="00D219B1"/>
    <w:rsid w:val="00D22696"/>
    <w:rsid w:val="00D226E1"/>
    <w:rsid w:val="00D22FF8"/>
    <w:rsid w:val="00D2348F"/>
    <w:rsid w:val="00D23679"/>
    <w:rsid w:val="00D23755"/>
    <w:rsid w:val="00D2465D"/>
    <w:rsid w:val="00D24A96"/>
    <w:rsid w:val="00D2578E"/>
    <w:rsid w:val="00D2608D"/>
    <w:rsid w:val="00D263C6"/>
    <w:rsid w:val="00D26D01"/>
    <w:rsid w:val="00D26F3A"/>
    <w:rsid w:val="00D273D6"/>
    <w:rsid w:val="00D27484"/>
    <w:rsid w:val="00D276F5"/>
    <w:rsid w:val="00D27941"/>
    <w:rsid w:val="00D3002A"/>
    <w:rsid w:val="00D30F45"/>
    <w:rsid w:val="00D3170B"/>
    <w:rsid w:val="00D31E91"/>
    <w:rsid w:val="00D32171"/>
    <w:rsid w:val="00D3297C"/>
    <w:rsid w:val="00D32E5D"/>
    <w:rsid w:val="00D3306B"/>
    <w:rsid w:val="00D33988"/>
    <w:rsid w:val="00D34009"/>
    <w:rsid w:val="00D3470B"/>
    <w:rsid w:val="00D34988"/>
    <w:rsid w:val="00D34A4E"/>
    <w:rsid w:val="00D3585C"/>
    <w:rsid w:val="00D35F0A"/>
    <w:rsid w:val="00D365E9"/>
    <w:rsid w:val="00D36607"/>
    <w:rsid w:val="00D371BC"/>
    <w:rsid w:val="00D37565"/>
    <w:rsid w:val="00D3758C"/>
    <w:rsid w:val="00D376E2"/>
    <w:rsid w:val="00D37F51"/>
    <w:rsid w:val="00D40C31"/>
    <w:rsid w:val="00D41318"/>
    <w:rsid w:val="00D41991"/>
    <w:rsid w:val="00D42061"/>
    <w:rsid w:val="00D4233C"/>
    <w:rsid w:val="00D42563"/>
    <w:rsid w:val="00D427A2"/>
    <w:rsid w:val="00D42AA4"/>
    <w:rsid w:val="00D434E0"/>
    <w:rsid w:val="00D43744"/>
    <w:rsid w:val="00D43D16"/>
    <w:rsid w:val="00D467EE"/>
    <w:rsid w:val="00D47E38"/>
    <w:rsid w:val="00D47E3A"/>
    <w:rsid w:val="00D517EC"/>
    <w:rsid w:val="00D51B51"/>
    <w:rsid w:val="00D51C29"/>
    <w:rsid w:val="00D524C5"/>
    <w:rsid w:val="00D525F9"/>
    <w:rsid w:val="00D526A5"/>
    <w:rsid w:val="00D52B13"/>
    <w:rsid w:val="00D52B65"/>
    <w:rsid w:val="00D52B97"/>
    <w:rsid w:val="00D53ABC"/>
    <w:rsid w:val="00D53DAA"/>
    <w:rsid w:val="00D53DB1"/>
    <w:rsid w:val="00D5433E"/>
    <w:rsid w:val="00D55A41"/>
    <w:rsid w:val="00D55EBB"/>
    <w:rsid w:val="00D55EF6"/>
    <w:rsid w:val="00D56065"/>
    <w:rsid w:val="00D56564"/>
    <w:rsid w:val="00D57454"/>
    <w:rsid w:val="00D57740"/>
    <w:rsid w:val="00D57C21"/>
    <w:rsid w:val="00D60462"/>
    <w:rsid w:val="00D60E7D"/>
    <w:rsid w:val="00D61AAC"/>
    <w:rsid w:val="00D61C6C"/>
    <w:rsid w:val="00D61CFC"/>
    <w:rsid w:val="00D62962"/>
    <w:rsid w:val="00D62B33"/>
    <w:rsid w:val="00D63454"/>
    <w:rsid w:val="00D63C38"/>
    <w:rsid w:val="00D64502"/>
    <w:rsid w:val="00D6483B"/>
    <w:rsid w:val="00D65A0F"/>
    <w:rsid w:val="00D65BAA"/>
    <w:rsid w:val="00D661FC"/>
    <w:rsid w:val="00D666B4"/>
    <w:rsid w:val="00D66A97"/>
    <w:rsid w:val="00D67EBA"/>
    <w:rsid w:val="00D70271"/>
    <w:rsid w:val="00D7029A"/>
    <w:rsid w:val="00D70BE2"/>
    <w:rsid w:val="00D710F7"/>
    <w:rsid w:val="00D71807"/>
    <w:rsid w:val="00D71E58"/>
    <w:rsid w:val="00D720EB"/>
    <w:rsid w:val="00D72E50"/>
    <w:rsid w:val="00D72F24"/>
    <w:rsid w:val="00D74117"/>
    <w:rsid w:val="00D7440E"/>
    <w:rsid w:val="00D75823"/>
    <w:rsid w:val="00D75D90"/>
    <w:rsid w:val="00D76377"/>
    <w:rsid w:val="00D76477"/>
    <w:rsid w:val="00D76630"/>
    <w:rsid w:val="00D778FE"/>
    <w:rsid w:val="00D77A7A"/>
    <w:rsid w:val="00D805BA"/>
    <w:rsid w:val="00D80768"/>
    <w:rsid w:val="00D81668"/>
    <w:rsid w:val="00D819C1"/>
    <w:rsid w:val="00D827CC"/>
    <w:rsid w:val="00D829AF"/>
    <w:rsid w:val="00D82B5E"/>
    <w:rsid w:val="00D8412F"/>
    <w:rsid w:val="00D84812"/>
    <w:rsid w:val="00D84D58"/>
    <w:rsid w:val="00D8524F"/>
    <w:rsid w:val="00D85494"/>
    <w:rsid w:val="00D858EF"/>
    <w:rsid w:val="00D862A2"/>
    <w:rsid w:val="00D86896"/>
    <w:rsid w:val="00D86AE2"/>
    <w:rsid w:val="00D8791F"/>
    <w:rsid w:val="00D87E31"/>
    <w:rsid w:val="00D87F6A"/>
    <w:rsid w:val="00D901CC"/>
    <w:rsid w:val="00D9041C"/>
    <w:rsid w:val="00D90E04"/>
    <w:rsid w:val="00D90FD0"/>
    <w:rsid w:val="00D9121F"/>
    <w:rsid w:val="00D9135E"/>
    <w:rsid w:val="00D916B6"/>
    <w:rsid w:val="00D921BF"/>
    <w:rsid w:val="00D926E2"/>
    <w:rsid w:val="00D93079"/>
    <w:rsid w:val="00D930DD"/>
    <w:rsid w:val="00D94112"/>
    <w:rsid w:val="00D94269"/>
    <w:rsid w:val="00D95526"/>
    <w:rsid w:val="00D95606"/>
    <w:rsid w:val="00D958B4"/>
    <w:rsid w:val="00D95A10"/>
    <w:rsid w:val="00D960D8"/>
    <w:rsid w:val="00D962D3"/>
    <w:rsid w:val="00D9636D"/>
    <w:rsid w:val="00D9676C"/>
    <w:rsid w:val="00D9694E"/>
    <w:rsid w:val="00D969A6"/>
    <w:rsid w:val="00D96E78"/>
    <w:rsid w:val="00D97396"/>
    <w:rsid w:val="00D97C83"/>
    <w:rsid w:val="00DA0329"/>
    <w:rsid w:val="00DA03D1"/>
    <w:rsid w:val="00DA055C"/>
    <w:rsid w:val="00DA0756"/>
    <w:rsid w:val="00DA20F7"/>
    <w:rsid w:val="00DA232A"/>
    <w:rsid w:val="00DA2A52"/>
    <w:rsid w:val="00DA2D9C"/>
    <w:rsid w:val="00DA2DEE"/>
    <w:rsid w:val="00DA2F0D"/>
    <w:rsid w:val="00DA33AA"/>
    <w:rsid w:val="00DA3578"/>
    <w:rsid w:val="00DA3993"/>
    <w:rsid w:val="00DA3B82"/>
    <w:rsid w:val="00DA3DD6"/>
    <w:rsid w:val="00DA4023"/>
    <w:rsid w:val="00DA4331"/>
    <w:rsid w:val="00DA4471"/>
    <w:rsid w:val="00DA4724"/>
    <w:rsid w:val="00DA475D"/>
    <w:rsid w:val="00DA4A6B"/>
    <w:rsid w:val="00DA50D6"/>
    <w:rsid w:val="00DA58D5"/>
    <w:rsid w:val="00DA5C12"/>
    <w:rsid w:val="00DA618C"/>
    <w:rsid w:val="00DA63F0"/>
    <w:rsid w:val="00DB021C"/>
    <w:rsid w:val="00DB06C7"/>
    <w:rsid w:val="00DB07C7"/>
    <w:rsid w:val="00DB192C"/>
    <w:rsid w:val="00DB1956"/>
    <w:rsid w:val="00DB2158"/>
    <w:rsid w:val="00DB3F7A"/>
    <w:rsid w:val="00DB4041"/>
    <w:rsid w:val="00DB46CA"/>
    <w:rsid w:val="00DB506A"/>
    <w:rsid w:val="00DB57D1"/>
    <w:rsid w:val="00DB5C8B"/>
    <w:rsid w:val="00DB635A"/>
    <w:rsid w:val="00DB665A"/>
    <w:rsid w:val="00DB6CD9"/>
    <w:rsid w:val="00DB6EE7"/>
    <w:rsid w:val="00DB71DB"/>
    <w:rsid w:val="00DB7E17"/>
    <w:rsid w:val="00DC034E"/>
    <w:rsid w:val="00DC06F9"/>
    <w:rsid w:val="00DC1939"/>
    <w:rsid w:val="00DC1AFD"/>
    <w:rsid w:val="00DC228A"/>
    <w:rsid w:val="00DC2AAD"/>
    <w:rsid w:val="00DC2DED"/>
    <w:rsid w:val="00DC3496"/>
    <w:rsid w:val="00DC3AFE"/>
    <w:rsid w:val="00DC4B32"/>
    <w:rsid w:val="00DC5149"/>
    <w:rsid w:val="00DC57E2"/>
    <w:rsid w:val="00DC6117"/>
    <w:rsid w:val="00DC6286"/>
    <w:rsid w:val="00DC636C"/>
    <w:rsid w:val="00DC68AF"/>
    <w:rsid w:val="00DC7565"/>
    <w:rsid w:val="00DC758A"/>
    <w:rsid w:val="00DC7A87"/>
    <w:rsid w:val="00DD0578"/>
    <w:rsid w:val="00DD1300"/>
    <w:rsid w:val="00DD2425"/>
    <w:rsid w:val="00DD258E"/>
    <w:rsid w:val="00DD323B"/>
    <w:rsid w:val="00DD3CE4"/>
    <w:rsid w:val="00DD3ED3"/>
    <w:rsid w:val="00DD4731"/>
    <w:rsid w:val="00DD481A"/>
    <w:rsid w:val="00DD489A"/>
    <w:rsid w:val="00DD4984"/>
    <w:rsid w:val="00DD4BC7"/>
    <w:rsid w:val="00DD5483"/>
    <w:rsid w:val="00DD5BC4"/>
    <w:rsid w:val="00DD5DCD"/>
    <w:rsid w:val="00DD6328"/>
    <w:rsid w:val="00DD70B3"/>
    <w:rsid w:val="00DD77B7"/>
    <w:rsid w:val="00DE01FC"/>
    <w:rsid w:val="00DE11B2"/>
    <w:rsid w:val="00DE136B"/>
    <w:rsid w:val="00DE19B8"/>
    <w:rsid w:val="00DE235F"/>
    <w:rsid w:val="00DE27F1"/>
    <w:rsid w:val="00DE31E1"/>
    <w:rsid w:val="00DE330C"/>
    <w:rsid w:val="00DE3B26"/>
    <w:rsid w:val="00DE4040"/>
    <w:rsid w:val="00DE4069"/>
    <w:rsid w:val="00DE49CE"/>
    <w:rsid w:val="00DE4A7B"/>
    <w:rsid w:val="00DE4C61"/>
    <w:rsid w:val="00DE50E5"/>
    <w:rsid w:val="00DE5B7D"/>
    <w:rsid w:val="00DE5C23"/>
    <w:rsid w:val="00DE5CCA"/>
    <w:rsid w:val="00DE5CEF"/>
    <w:rsid w:val="00DE5EB4"/>
    <w:rsid w:val="00DE64DC"/>
    <w:rsid w:val="00DE6616"/>
    <w:rsid w:val="00DE6925"/>
    <w:rsid w:val="00DE6C6B"/>
    <w:rsid w:val="00DE6F2A"/>
    <w:rsid w:val="00DE7A65"/>
    <w:rsid w:val="00DE7EE5"/>
    <w:rsid w:val="00DF0107"/>
    <w:rsid w:val="00DF0182"/>
    <w:rsid w:val="00DF0237"/>
    <w:rsid w:val="00DF103A"/>
    <w:rsid w:val="00DF1209"/>
    <w:rsid w:val="00DF12D1"/>
    <w:rsid w:val="00DF12DA"/>
    <w:rsid w:val="00DF151B"/>
    <w:rsid w:val="00DF17F9"/>
    <w:rsid w:val="00DF1929"/>
    <w:rsid w:val="00DF1B16"/>
    <w:rsid w:val="00DF1CAA"/>
    <w:rsid w:val="00DF2E7A"/>
    <w:rsid w:val="00DF3174"/>
    <w:rsid w:val="00DF3804"/>
    <w:rsid w:val="00DF3CFE"/>
    <w:rsid w:val="00DF41CE"/>
    <w:rsid w:val="00DF44E6"/>
    <w:rsid w:val="00DF4718"/>
    <w:rsid w:val="00DF49E4"/>
    <w:rsid w:val="00DF5071"/>
    <w:rsid w:val="00DF512B"/>
    <w:rsid w:val="00DF54B6"/>
    <w:rsid w:val="00DF5B73"/>
    <w:rsid w:val="00DF63A4"/>
    <w:rsid w:val="00DF6764"/>
    <w:rsid w:val="00DF6BA0"/>
    <w:rsid w:val="00DF7518"/>
    <w:rsid w:val="00DF7547"/>
    <w:rsid w:val="00DF759C"/>
    <w:rsid w:val="00DF7896"/>
    <w:rsid w:val="00DF7933"/>
    <w:rsid w:val="00DF7A11"/>
    <w:rsid w:val="00E001D6"/>
    <w:rsid w:val="00E00630"/>
    <w:rsid w:val="00E00852"/>
    <w:rsid w:val="00E00892"/>
    <w:rsid w:val="00E00F6B"/>
    <w:rsid w:val="00E016AC"/>
    <w:rsid w:val="00E02C1E"/>
    <w:rsid w:val="00E03E13"/>
    <w:rsid w:val="00E03EAA"/>
    <w:rsid w:val="00E04163"/>
    <w:rsid w:val="00E043DD"/>
    <w:rsid w:val="00E0501D"/>
    <w:rsid w:val="00E052AE"/>
    <w:rsid w:val="00E068C4"/>
    <w:rsid w:val="00E06931"/>
    <w:rsid w:val="00E06D77"/>
    <w:rsid w:val="00E0772E"/>
    <w:rsid w:val="00E10680"/>
    <w:rsid w:val="00E10701"/>
    <w:rsid w:val="00E1089C"/>
    <w:rsid w:val="00E10C10"/>
    <w:rsid w:val="00E1116A"/>
    <w:rsid w:val="00E115B1"/>
    <w:rsid w:val="00E1313A"/>
    <w:rsid w:val="00E1340A"/>
    <w:rsid w:val="00E13BE7"/>
    <w:rsid w:val="00E1425C"/>
    <w:rsid w:val="00E14853"/>
    <w:rsid w:val="00E14C99"/>
    <w:rsid w:val="00E14F7E"/>
    <w:rsid w:val="00E15637"/>
    <w:rsid w:val="00E15CF9"/>
    <w:rsid w:val="00E1671D"/>
    <w:rsid w:val="00E16866"/>
    <w:rsid w:val="00E1705D"/>
    <w:rsid w:val="00E17830"/>
    <w:rsid w:val="00E17952"/>
    <w:rsid w:val="00E20210"/>
    <w:rsid w:val="00E20E5B"/>
    <w:rsid w:val="00E20F4A"/>
    <w:rsid w:val="00E2142D"/>
    <w:rsid w:val="00E21BFE"/>
    <w:rsid w:val="00E21E6E"/>
    <w:rsid w:val="00E2245F"/>
    <w:rsid w:val="00E225F9"/>
    <w:rsid w:val="00E226C6"/>
    <w:rsid w:val="00E2271F"/>
    <w:rsid w:val="00E22C38"/>
    <w:rsid w:val="00E23377"/>
    <w:rsid w:val="00E2345C"/>
    <w:rsid w:val="00E236BE"/>
    <w:rsid w:val="00E23D3C"/>
    <w:rsid w:val="00E23D4A"/>
    <w:rsid w:val="00E23F79"/>
    <w:rsid w:val="00E243BF"/>
    <w:rsid w:val="00E247BA"/>
    <w:rsid w:val="00E24E8E"/>
    <w:rsid w:val="00E252BD"/>
    <w:rsid w:val="00E253DC"/>
    <w:rsid w:val="00E25470"/>
    <w:rsid w:val="00E2562D"/>
    <w:rsid w:val="00E25983"/>
    <w:rsid w:val="00E259DE"/>
    <w:rsid w:val="00E25EE4"/>
    <w:rsid w:val="00E26289"/>
    <w:rsid w:val="00E26319"/>
    <w:rsid w:val="00E263F2"/>
    <w:rsid w:val="00E27833"/>
    <w:rsid w:val="00E30574"/>
    <w:rsid w:val="00E31540"/>
    <w:rsid w:val="00E31561"/>
    <w:rsid w:val="00E318D8"/>
    <w:rsid w:val="00E31B88"/>
    <w:rsid w:val="00E327E8"/>
    <w:rsid w:val="00E32CE8"/>
    <w:rsid w:val="00E32F01"/>
    <w:rsid w:val="00E33207"/>
    <w:rsid w:val="00E336A7"/>
    <w:rsid w:val="00E3439B"/>
    <w:rsid w:val="00E34757"/>
    <w:rsid w:val="00E34A93"/>
    <w:rsid w:val="00E35372"/>
    <w:rsid w:val="00E35741"/>
    <w:rsid w:val="00E36787"/>
    <w:rsid w:val="00E370C4"/>
    <w:rsid w:val="00E403D7"/>
    <w:rsid w:val="00E40670"/>
    <w:rsid w:val="00E409BD"/>
    <w:rsid w:val="00E4123E"/>
    <w:rsid w:val="00E4163B"/>
    <w:rsid w:val="00E41712"/>
    <w:rsid w:val="00E41C3B"/>
    <w:rsid w:val="00E43A4D"/>
    <w:rsid w:val="00E44480"/>
    <w:rsid w:val="00E446BE"/>
    <w:rsid w:val="00E44E0C"/>
    <w:rsid w:val="00E45F1B"/>
    <w:rsid w:val="00E4638A"/>
    <w:rsid w:val="00E46647"/>
    <w:rsid w:val="00E46ED4"/>
    <w:rsid w:val="00E4727A"/>
    <w:rsid w:val="00E47E7D"/>
    <w:rsid w:val="00E50AB1"/>
    <w:rsid w:val="00E5117C"/>
    <w:rsid w:val="00E51535"/>
    <w:rsid w:val="00E51608"/>
    <w:rsid w:val="00E51990"/>
    <w:rsid w:val="00E51A55"/>
    <w:rsid w:val="00E51C9F"/>
    <w:rsid w:val="00E51CE3"/>
    <w:rsid w:val="00E51F4A"/>
    <w:rsid w:val="00E5273E"/>
    <w:rsid w:val="00E52C7C"/>
    <w:rsid w:val="00E53561"/>
    <w:rsid w:val="00E537B4"/>
    <w:rsid w:val="00E53F4D"/>
    <w:rsid w:val="00E53F66"/>
    <w:rsid w:val="00E53FC5"/>
    <w:rsid w:val="00E5424A"/>
    <w:rsid w:val="00E545D4"/>
    <w:rsid w:val="00E552CA"/>
    <w:rsid w:val="00E5613F"/>
    <w:rsid w:val="00E56151"/>
    <w:rsid w:val="00E564EA"/>
    <w:rsid w:val="00E566CC"/>
    <w:rsid w:val="00E56957"/>
    <w:rsid w:val="00E56A4C"/>
    <w:rsid w:val="00E60057"/>
    <w:rsid w:val="00E60240"/>
    <w:rsid w:val="00E602B2"/>
    <w:rsid w:val="00E602FC"/>
    <w:rsid w:val="00E6043D"/>
    <w:rsid w:val="00E605C2"/>
    <w:rsid w:val="00E606FF"/>
    <w:rsid w:val="00E60C6C"/>
    <w:rsid w:val="00E6196D"/>
    <w:rsid w:val="00E61A11"/>
    <w:rsid w:val="00E61B19"/>
    <w:rsid w:val="00E61C41"/>
    <w:rsid w:val="00E61EF7"/>
    <w:rsid w:val="00E620E6"/>
    <w:rsid w:val="00E627C0"/>
    <w:rsid w:val="00E62A62"/>
    <w:rsid w:val="00E631EB"/>
    <w:rsid w:val="00E636FF"/>
    <w:rsid w:val="00E642D7"/>
    <w:rsid w:val="00E64926"/>
    <w:rsid w:val="00E64BFC"/>
    <w:rsid w:val="00E65A3E"/>
    <w:rsid w:val="00E661F4"/>
    <w:rsid w:val="00E66739"/>
    <w:rsid w:val="00E6741D"/>
    <w:rsid w:val="00E677EE"/>
    <w:rsid w:val="00E67B3D"/>
    <w:rsid w:val="00E67B5D"/>
    <w:rsid w:val="00E67D01"/>
    <w:rsid w:val="00E67E15"/>
    <w:rsid w:val="00E67EF8"/>
    <w:rsid w:val="00E67F2D"/>
    <w:rsid w:val="00E67F67"/>
    <w:rsid w:val="00E701F9"/>
    <w:rsid w:val="00E703E7"/>
    <w:rsid w:val="00E70690"/>
    <w:rsid w:val="00E70B34"/>
    <w:rsid w:val="00E71632"/>
    <w:rsid w:val="00E71F01"/>
    <w:rsid w:val="00E730AC"/>
    <w:rsid w:val="00E73863"/>
    <w:rsid w:val="00E742B9"/>
    <w:rsid w:val="00E7534F"/>
    <w:rsid w:val="00E760B3"/>
    <w:rsid w:val="00E76BF1"/>
    <w:rsid w:val="00E771DE"/>
    <w:rsid w:val="00E7786A"/>
    <w:rsid w:val="00E779F4"/>
    <w:rsid w:val="00E77B77"/>
    <w:rsid w:val="00E77BE8"/>
    <w:rsid w:val="00E81596"/>
    <w:rsid w:val="00E81840"/>
    <w:rsid w:val="00E81910"/>
    <w:rsid w:val="00E81920"/>
    <w:rsid w:val="00E81C3A"/>
    <w:rsid w:val="00E81FEE"/>
    <w:rsid w:val="00E8272D"/>
    <w:rsid w:val="00E829F1"/>
    <w:rsid w:val="00E82ECC"/>
    <w:rsid w:val="00E836CB"/>
    <w:rsid w:val="00E83E75"/>
    <w:rsid w:val="00E846C8"/>
    <w:rsid w:val="00E84837"/>
    <w:rsid w:val="00E84EEE"/>
    <w:rsid w:val="00E84F5A"/>
    <w:rsid w:val="00E859E4"/>
    <w:rsid w:val="00E85F07"/>
    <w:rsid w:val="00E8628E"/>
    <w:rsid w:val="00E86EF2"/>
    <w:rsid w:val="00E86FEA"/>
    <w:rsid w:val="00E873C3"/>
    <w:rsid w:val="00E873E3"/>
    <w:rsid w:val="00E87DDF"/>
    <w:rsid w:val="00E87F94"/>
    <w:rsid w:val="00E87FE3"/>
    <w:rsid w:val="00E9133C"/>
    <w:rsid w:val="00E921FB"/>
    <w:rsid w:val="00E9240B"/>
    <w:rsid w:val="00E9250D"/>
    <w:rsid w:val="00E9283F"/>
    <w:rsid w:val="00E9293E"/>
    <w:rsid w:val="00E936F1"/>
    <w:rsid w:val="00E94546"/>
    <w:rsid w:val="00E95A3C"/>
    <w:rsid w:val="00E95E02"/>
    <w:rsid w:val="00E95F8C"/>
    <w:rsid w:val="00E967C1"/>
    <w:rsid w:val="00E97B14"/>
    <w:rsid w:val="00E97F06"/>
    <w:rsid w:val="00EA1E88"/>
    <w:rsid w:val="00EA2498"/>
    <w:rsid w:val="00EA24AD"/>
    <w:rsid w:val="00EA2F33"/>
    <w:rsid w:val="00EA34C0"/>
    <w:rsid w:val="00EA3807"/>
    <w:rsid w:val="00EA403C"/>
    <w:rsid w:val="00EA42F0"/>
    <w:rsid w:val="00EA44FF"/>
    <w:rsid w:val="00EA48A3"/>
    <w:rsid w:val="00EA4F6F"/>
    <w:rsid w:val="00EA5238"/>
    <w:rsid w:val="00EA5AFE"/>
    <w:rsid w:val="00EA628A"/>
    <w:rsid w:val="00EA756A"/>
    <w:rsid w:val="00EA76BE"/>
    <w:rsid w:val="00EB03BD"/>
    <w:rsid w:val="00EB0741"/>
    <w:rsid w:val="00EB07CD"/>
    <w:rsid w:val="00EB0B4A"/>
    <w:rsid w:val="00EB0E40"/>
    <w:rsid w:val="00EB11EB"/>
    <w:rsid w:val="00EB1E43"/>
    <w:rsid w:val="00EB2ED5"/>
    <w:rsid w:val="00EB3137"/>
    <w:rsid w:val="00EB3512"/>
    <w:rsid w:val="00EB3E4D"/>
    <w:rsid w:val="00EB3E73"/>
    <w:rsid w:val="00EB3F55"/>
    <w:rsid w:val="00EB42CF"/>
    <w:rsid w:val="00EB4D5F"/>
    <w:rsid w:val="00EB52B1"/>
    <w:rsid w:val="00EB5637"/>
    <w:rsid w:val="00EB579B"/>
    <w:rsid w:val="00EB72ED"/>
    <w:rsid w:val="00EB7487"/>
    <w:rsid w:val="00EB7C23"/>
    <w:rsid w:val="00EB7CCE"/>
    <w:rsid w:val="00EC00BE"/>
    <w:rsid w:val="00EC01BE"/>
    <w:rsid w:val="00EC05E9"/>
    <w:rsid w:val="00EC0A04"/>
    <w:rsid w:val="00EC0BDD"/>
    <w:rsid w:val="00EC0C17"/>
    <w:rsid w:val="00EC0E4E"/>
    <w:rsid w:val="00EC159E"/>
    <w:rsid w:val="00EC17DE"/>
    <w:rsid w:val="00EC1AE6"/>
    <w:rsid w:val="00EC1B74"/>
    <w:rsid w:val="00EC239E"/>
    <w:rsid w:val="00EC2759"/>
    <w:rsid w:val="00EC27CB"/>
    <w:rsid w:val="00EC2887"/>
    <w:rsid w:val="00EC28E8"/>
    <w:rsid w:val="00EC29D6"/>
    <w:rsid w:val="00EC2DA9"/>
    <w:rsid w:val="00EC3E33"/>
    <w:rsid w:val="00EC3ECF"/>
    <w:rsid w:val="00EC45CE"/>
    <w:rsid w:val="00EC4B54"/>
    <w:rsid w:val="00EC52CF"/>
    <w:rsid w:val="00EC540D"/>
    <w:rsid w:val="00EC61CF"/>
    <w:rsid w:val="00EC6804"/>
    <w:rsid w:val="00EC68DF"/>
    <w:rsid w:val="00EC6B86"/>
    <w:rsid w:val="00EC6F89"/>
    <w:rsid w:val="00EC7A91"/>
    <w:rsid w:val="00ED000C"/>
    <w:rsid w:val="00ED0026"/>
    <w:rsid w:val="00ED0265"/>
    <w:rsid w:val="00ED07A3"/>
    <w:rsid w:val="00ED0919"/>
    <w:rsid w:val="00ED09BB"/>
    <w:rsid w:val="00ED0FB9"/>
    <w:rsid w:val="00ED1226"/>
    <w:rsid w:val="00ED14EA"/>
    <w:rsid w:val="00ED17BC"/>
    <w:rsid w:val="00ED210A"/>
    <w:rsid w:val="00ED2DC7"/>
    <w:rsid w:val="00ED2FF5"/>
    <w:rsid w:val="00ED3388"/>
    <w:rsid w:val="00ED3618"/>
    <w:rsid w:val="00ED3D84"/>
    <w:rsid w:val="00ED46B8"/>
    <w:rsid w:val="00ED4FCF"/>
    <w:rsid w:val="00ED59DF"/>
    <w:rsid w:val="00ED5BC8"/>
    <w:rsid w:val="00ED5DB6"/>
    <w:rsid w:val="00ED6976"/>
    <w:rsid w:val="00ED6A87"/>
    <w:rsid w:val="00ED6ABD"/>
    <w:rsid w:val="00ED7BDE"/>
    <w:rsid w:val="00ED7D0C"/>
    <w:rsid w:val="00EE0089"/>
    <w:rsid w:val="00EE0F51"/>
    <w:rsid w:val="00EE12D1"/>
    <w:rsid w:val="00EE1924"/>
    <w:rsid w:val="00EE1FC6"/>
    <w:rsid w:val="00EE2311"/>
    <w:rsid w:val="00EE2C51"/>
    <w:rsid w:val="00EE2DB9"/>
    <w:rsid w:val="00EE3BA0"/>
    <w:rsid w:val="00EE45B4"/>
    <w:rsid w:val="00EE4C32"/>
    <w:rsid w:val="00EE4CE2"/>
    <w:rsid w:val="00EE4D46"/>
    <w:rsid w:val="00EE5C0E"/>
    <w:rsid w:val="00EE6297"/>
    <w:rsid w:val="00EE6B5B"/>
    <w:rsid w:val="00EE6D9B"/>
    <w:rsid w:val="00EE718E"/>
    <w:rsid w:val="00EE7A05"/>
    <w:rsid w:val="00EE7B37"/>
    <w:rsid w:val="00EE7E7F"/>
    <w:rsid w:val="00EF0CD7"/>
    <w:rsid w:val="00EF0CDF"/>
    <w:rsid w:val="00EF1375"/>
    <w:rsid w:val="00EF1472"/>
    <w:rsid w:val="00EF2426"/>
    <w:rsid w:val="00EF2D77"/>
    <w:rsid w:val="00EF2D83"/>
    <w:rsid w:val="00EF3628"/>
    <w:rsid w:val="00EF3CA7"/>
    <w:rsid w:val="00EF4101"/>
    <w:rsid w:val="00EF43E1"/>
    <w:rsid w:val="00EF45BE"/>
    <w:rsid w:val="00EF53D9"/>
    <w:rsid w:val="00EF56AB"/>
    <w:rsid w:val="00EF60FF"/>
    <w:rsid w:val="00EF634C"/>
    <w:rsid w:val="00EF6962"/>
    <w:rsid w:val="00EF6BD9"/>
    <w:rsid w:val="00EF7207"/>
    <w:rsid w:val="00EF72C7"/>
    <w:rsid w:val="00EF76EB"/>
    <w:rsid w:val="00EF779D"/>
    <w:rsid w:val="00EF7C01"/>
    <w:rsid w:val="00F00541"/>
    <w:rsid w:val="00F00D37"/>
    <w:rsid w:val="00F00E25"/>
    <w:rsid w:val="00F00E26"/>
    <w:rsid w:val="00F00FEF"/>
    <w:rsid w:val="00F00FFA"/>
    <w:rsid w:val="00F015C9"/>
    <w:rsid w:val="00F01826"/>
    <w:rsid w:val="00F02C9F"/>
    <w:rsid w:val="00F031FB"/>
    <w:rsid w:val="00F03374"/>
    <w:rsid w:val="00F039F6"/>
    <w:rsid w:val="00F03FFF"/>
    <w:rsid w:val="00F05046"/>
    <w:rsid w:val="00F05CC8"/>
    <w:rsid w:val="00F0616A"/>
    <w:rsid w:val="00F06C17"/>
    <w:rsid w:val="00F07E13"/>
    <w:rsid w:val="00F07EA1"/>
    <w:rsid w:val="00F10753"/>
    <w:rsid w:val="00F11671"/>
    <w:rsid w:val="00F11CE5"/>
    <w:rsid w:val="00F11F96"/>
    <w:rsid w:val="00F12481"/>
    <w:rsid w:val="00F12857"/>
    <w:rsid w:val="00F12B18"/>
    <w:rsid w:val="00F12CB2"/>
    <w:rsid w:val="00F12EAB"/>
    <w:rsid w:val="00F132EA"/>
    <w:rsid w:val="00F134C6"/>
    <w:rsid w:val="00F13661"/>
    <w:rsid w:val="00F13D66"/>
    <w:rsid w:val="00F14576"/>
    <w:rsid w:val="00F1470C"/>
    <w:rsid w:val="00F14AEE"/>
    <w:rsid w:val="00F1513A"/>
    <w:rsid w:val="00F15871"/>
    <w:rsid w:val="00F1588E"/>
    <w:rsid w:val="00F162CF"/>
    <w:rsid w:val="00F16B5D"/>
    <w:rsid w:val="00F173F6"/>
    <w:rsid w:val="00F1744E"/>
    <w:rsid w:val="00F175DB"/>
    <w:rsid w:val="00F17970"/>
    <w:rsid w:val="00F17BF4"/>
    <w:rsid w:val="00F17CB8"/>
    <w:rsid w:val="00F20388"/>
    <w:rsid w:val="00F205EE"/>
    <w:rsid w:val="00F20679"/>
    <w:rsid w:val="00F20C70"/>
    <w:rsid w:val="00F216C0"/>
    <w:rsid w:val="00F217CA"/>
    <w:rsid w:val="00F21F97"/>
    <w:rsid w:val="00F232E5"/>
    <w:rsid w:val="00F23352"/>
    <w:rsid w:val="00F23A1B"/>
    <w:rsid w:val="00F24BD0"/>
    <w:rsid w:val="00F24C83"/>
    <w:rsid w:val="00F24DDD"/>
    <w:rsid w:val="00F24EA5"/>
    <w:rsid w:val="00F2534D"/>
    <w:rsid w:val="00F2570F"/>
    <w:rsid w:val="00F259B8"/>
    <w:rsid w:val="00F25A27"/>
    <w:rsid w:val="00F263FA"/>
    <w:rsid w:val="00F26751"/>
    <w:rsid w:val="00F268B6"/>
    <w:rsid w:val="00F2694D"/>
    <w:rsid w:val="00F26F6A"/>
    <w:rsid w:val="00F27351"/>
    <w:rsid w:val="00F2781A"/>
    <w:rsid w:val="00F27E85"/>
    <w:rsid w:val="00F27FB7"/>
    <w:rsid w:val="00F30A3E"/>
    <w:rsid w:val="00F30E06"/>
    <w:rsid w:val="00F31214"/>
    <w:rsid w:val="00F31681"/>
    <w:rsid w:val="00F3210E"/>
    <w:rsid w:val="00F33031"/>
    <w:rsid w:val="00F33448"/>
    <w:rsid w:val="00F33633"/>
    <w:rsid w:val="00F33AC8"/>
    <w:rsid w:val="00F3417C"/>
    <w:rsid w:val="00F34787"/>
    <w:rsid w:val="00F34797"/>
    <w:rsid w:val="00F34D5F"/>
    <w:rsid w:val="00F350E1"/>
    <w:rsid w:val="00F36ADD"/>
    <w:rsid w:val="00F370D3"/>
    <w:rsid w:val="00F37595"/>
    <w:rsid w:val="00F37BA8"/>
    <w:rsid w:val="00F4084C"/>
    <w:rsid w:val="00F40BC5"/>
    <w:rsid w:val="00F418B3"/>
    <w:rsid w:val="00F421AA"/>
    <w:rsid w:val="00F4224D"/>
    <w:rsid w:val="00F424D1"/>
    <w:rsid w:val="00F42747"/>
    <w:rsid w:val="00F43785"/>
    <w:rsid w:val="00F443E1"/>
    <w:rsid w:val="00F44688"/>
    <w:rsid w:val="00F44AF1"/>
    <w:rsid w:val="00F45000"/>
    <w:rsid w:val="00F451FF"/>
    <w:rsid w:val="00F45269"/>
    <w:rsid w:val="00F45DE3"/>
    <w:rsid w:val="00F45E43"/>
    <w:rsid w:val="00F45FF1"/>
    <w:rsid w:val="00F461CD"/>
    <w:rsid w:val="00F46334"/>
    <w:rsid w:val="00F46F46"/>
    <w:rsid w:val="00F4722E"/>
    <w:rsid w:val="00F475D3"/>
    <w:rsid w:val="00F479D3"/>
    <w:rsid w:val="00F50256"/>
    <w:rsid w:val="00F50F0F"/>
    <w:rsid w:val="00F51E1F"/>
    <w:rsid w:val="00F52007"/>
    <w:rsid w:val="00F521D0"/>
    <w:rsid w:val="00F52422"/>
    <w:rsid w:val="00F529E6"/>
    <w:rsid w:val="00F52F37"/>
    <w:rsid w:val="00F53052"/>
    <w:rsid w:val="00F539CC"/>
    <w:rsid w:val="00F544EE"/>
    <w:rsid w:val="00F54B45"/>
    <w:rsid w:val="00F54C48"/>
    <w:rsid w:val="00F54E01"/>
    <w:rsid w:val="00F5548F"/>
    <w:rsid w:val="00F55DBC"/>
    <w:rsid w:val="00F561EF"/>
    <w:rsid w:val="00F566F7"/>
    <w:rsid w:val="00F567B0"/>
    <w:rsid w:val="00F5710F"/>
    <w:rsid w:val="00F578C1"/>
    <w:rsid w:val="00F603A1"/>
    <w:rsid w:val="00F625BC"/>
    <w:rsid w:val="00F634B2"/>
    <w:rsid w:val="00F637BC"/>
    <w:rsid w:val="00F643D6"/>
    <w:rsid w:val="00F64685"/>
    <w:rsid w:val="00F648A7"/>
    <w:rsid w:val="00F64B58"/>
    <w:rsid w:val="00F64F78"/>
    <w:rsid w:val="00F6528C"/>
    <w:rsid w:val="00F65B7D"/>
    <w:rsid w:val="00F65BAD"/>
    <w:rsid w:val="00F65D16"/>
    <w:rsid w:val="00F66A22"/>
    <w:rsid w:val="00F676C6"/>
    <w:rsid w:val="00F67DAF"/>
    <w:rsid w:val="00F710A8"/>
    <w:rsid w:val="00F724AF"/>
    <w:rsid w:val="00F72D8C"/>
    <w:rsid w:val="00F730CE"/>
    <w:rsid w:val="00F7423A"/>
    <w:rsid w:val="00F74414"/>
    <w:rsid w:val="00F7511B"/>
    <w:rsid w:val="00F753B5"/>
    <w:rsid w:val="00F75E0E"/>
    <w:rsid w:val="00F7626D"/>
    <w:rsid w:val="00F769B2"/>
    <w:rsid w:val="00F76ECA"/>
    <w:rsid w:val="00F77B24"/>
    <w:rsid w:val="00F77D05"/>
    <w:rsid w:val="00F77D2E"/>
    <w:rsid w:val="00F80316"/>
    <w:rsid w:val="00F80D2B"/>
    <w:rsid w:val="00F81311"/>
    <w:rsid w:val="00F81347"/>
    <w:rsid w:val="00F81B2A"/>
    <w:rsid w:val="00F81C77"/>
    <w:rsid w:val="00F81DBA"/>
    <w:rsid w:val="00F824C9"/>
    <w:rsid w:val="00F82534"/>
    <w:rsid w:val="00F82912"/>
    <w:rsid w:val="00F82A39"/>
    <w:rsid w:val="00F839A1"/>
    <w:rsid w:val="00F84F1C"/>
    <w:rsid w:val="00F85270"/>
    <w:rsid w:val="00F85817"/>
    <w:rsid w:val="00F85843"/>
    <w:rsid w:val="00F863BE"/>
    <w:rsid w:val="00F86CF1"/>
    <w:rsid w:val="00F86D0B"/>
    <w:rsid w:val="00F87752"/>
    <w:rsid w:val="00F8795D"/>
    <w:rsid w:val="00F87B97"/>
    <w:rsid w:val="00F90596"/>
    <w:rsid w:val="00F908EC"/>
    <w:rsid w:val="00F90A38"/>
    <w:rsid w:val="00F90D2A"/>
    <w:rsid w:val="00F9100D"/>
    <w:rsid w:val="00F91895"/>
    <w:rsid w:val="00F91948"/>
    <w:rsid w:val="00F91E7B"/>
    <w:rsid w:val="00F9256E"/>
    <w:rsid w:val="00F92642"/>
    <w:rsid w:val="00F93492"/>
    <w:rsid w:val="00F93580"/>
    <w:rsid w:val="00F93A3D"/>
    <w:rsid w:val="00F93B4E"/>
    <w:rsid w:val="00F93E9D"/>
    <w:rsid w:val="00F9490C"/>
    <w:rsid w:val="00F95328"/>
    <w:rsid w:val="00F954FD"/>
    <w:rsid w:val="00F95F1B"/>
    <w:rsid w:val="00F9605A"/>
    <w:rsid w:val="00F963A8"/>
    <w:rsid w:val="00F96497"/>
    <w:rsid w:val="00F9661C"/>
    <w:rsid w:val="00F96FD6"/>
    <w:rsid w:val="00F9725D"/>
    <w:rsid w:val="00F978B2"/>
    <w:rsid w:val="00F97AAF"/>
    <w:rsid w:val="00FA0AEC"/>
    <w:rsid w:val="00FA0CDE"/>
    <w:rsid w:val="00FA0ED9"/>
    <w:rsid w:val="00FA2344"/>
    <w:rsid w:val="00FA2721"/>
    <w:rsid w:val="00FA2A4A"/>
    <w:rsid w:val="00FA2B54"/>
    <w:rsid w:val="00FA2CA7"/>
    <w:rsid w:val="00FA2D6C"/>
    <w:rsid w:val="00FA3062"/>
    <w:rsid w:val="00FA3623"/>
    <w:rsid w:val="00FA3787"/>
    <w:rsid w:val="00FA3ABE"/>
    <w:rsid w:val="00FA4C80"/>
    <w:rsid w:val="00FA4FCC"/>
    <w:rsid w:val="00FA50CB"/>
    <w:rsid w:val="00FA562A"/>
    <w:rsid w:val="00FA5DA7"/>
    <w:rsid w:val="00FA6458"/>
    <w:rsid w:val="00FA6766"/>
    <w:rsid w:val="00FA7213"/>
    <w:rsid w:val="00FA76F8"/>
    <w:rsid w:val="00FA7DDC"/>
    <w:rsid w:val="00FB005C"/>
    <w:rsid w:val="00FB0713"/>
    <w:rsid w:val="00FB0BE8"/>
    <w:rsid w:val="00FB20CE"/>
    <w:rsid w:val="00FB222F"/>
    <w:rsid w:val="00FB2FE9"/>
    <w:rsid w:val="00FB3172"/>
    <w:rsid w:val="00FB33C2"/>
    <w:rsid w:val="00FB34E2"/>
    <w:rsid w:val="00FB46EE"/>
    <w:rsid w:val="00FB4DFF"/>
    <w:rsid w:val="00FB4F10"/>
    <w:rsid w:val="00FB5167"/>
    <w:rsid w:val="00FB5EAA"/>
    <w:rsid w:val="00FB6422"/>
    <w:rsid w:val="00FB682D"/>
    <w:rsid w:val="00FB6953"/>
    <w:rsid w:val="00FB7C7A"/>
    <w:rsid w:val="00FB7D29"/>
    <w:rsid w:val="00FB7FB2"/>
    <w:rsid w:val="00FC0321"/>
    <w:rsid w:val="00FC0788"/>
    <w:rsid w:val="00FC0EB6"/>
    <w:rsid w:val="00FC11D7"/>
    <w:rsid w:val="00FC1254"/>
    <w:rsid w:val="00FC13D1"/>
    <w:rsid w:val="00FC20DE"/>
    <w:rsid w:val="00FC31A7"/>
    <w:rsid w:val="00FC47C8"/>
    <w:rsid w:val="00FC518A"/>
    <w:rsid w:val="00FC57DB"/>
    <w:rsid w:val="00FC5A79"/>
    <w:rsid w:val="00FC5AB1"/>
    <w:rsid w:val="00FC641D"/>
    <w:rsid w:val="00FC64BC"/>
    <w:rsid w:val="00FC6A06"/>
    <w:rsid w:val="00FC6D8E"/>
    <w:rsid w:val="00FC7048"/>
    <w:rsid w:val="00FC7C6F"/>
    <w:rsid w:val="00FD06D2"/>
    <w:rsid w:val="00FD1747"/>
    <w:rsid w:val="00FD1F3C"/>
    <w:rsid w:val="00FD25E8"/>
    <w:rsid w:val="00FD2EE3"/>
    <w:rsid w:val="00FD380D"/>
    <w:rsid w:val="00FD39B4"/>
    <w:rsid w:val="00FD3D04"/>
    <w:rsid w:val="00FD3DAC"/>
    <w:rsid w:val="00FD41DC"/>
    <w:rsid w:val="00FD47EA"/>
    <w:rsid w:val="00FD49E7"/>
    <w:rsid w:val="00FD4E3C"/>
    <w:rsid w:val="00FD57DA"/>
    <w:rsid w:val="00FD5E4D"/>
    <w:rsid w:val="00FD5FC7"/>
    <w:rsid w:val="00FD6D0A"/>
    <w:rsid w:val="00FD6DE1"/>
    <w:rsid w:val="00FE0FC3"/>
    <w:rsid w:val="00FE12D9"/>
    <w:rsid w:val="00FE14C4"/>
    <w:rsid w:val="00FE1A11"/>
    <w:rsid w:val="00FE207D"/>
    <w:rsid w:val="00FE439A"/>
    <w:rsid w:val="00FE43B3"/>
    <w:rsid w:val="00FE4CFA"/>
    <w:rsid w:val="00FE50B5"/>
    <w:rsid w:val="00FE5895"/>
    <w:rsid w:val="00FE58A3"/>
    <w:rsid w:val="00FE63C3"/>
    <w:rsid w:val="00FE6FD9"/>
    <w:rsid w:val="00FE7852"/>
    <w:rsid w:val="00FE78EC"/>
    <w:rsid w:val="00FE7C94"/>
    <w:rsid w:val="00FF0087"/>
    <w:rsid w:val="00FF107A"/>
    <w:rsid w:val="00FF1ADC"/>
    <w:rsid w:val="00FF1E5A"/>
    <w:rsid w:val="00FF20E3"/>
    <w:rsid w:val="00FF24DA"/>
    <w:rsid w:val="00FF2854"/>
    <w:rsid w:val="00FF2942"/>
    <w:rsid w:val="00FF35EA"/>
    <w:rsid w:val="00FF3AED"/>
    <w:rsid w:val="00FF51B8"/>
    <w:rsid w:val="00FF53C4"/>
    <w:rsid w:val="00FF5A5D"/>
    <w:rsid w:val="00FF67BF"/>
    <w:rsid w:val="00FF6816"/>
    <w:rsid w:val="00FF68AD"/>
    <w:rsid w:val="00FF7EF8"/>
    <w:rsid w:val="011226B3"/>
    <w:rsid w:val="011567E7"/>
    <w:rsid w:val="016415FD"/>
    <w:rsid w:val="01FF5A2F"/>
    <w:rsid w:val="022D2240"/>
    <w:rsid w:val="024547EA"/>
    <w:rsid w:val="024B7E03"/>
    <w:rsid w:val="02653537"/>
    <w:rsid w:val="02712BB6"/>
    <w:rsid w:val="02B40D8A"/>
    <w:rsid w:val="030C4C2C"/>
    <w:rsid w:val="038D24A5"/>
    <w:rsid w:val="039E7A83"/>
    <w:rsid w:val="03CF1C7D"/>
    <w:rsid w:val="03D1418B"/>
    <w:rsid w:val="03DE1CCB"/>
    <w:rsid w:val="03EA2868"/>
    <w:rsid w:val="03F35594"/>
    <w:rsid w:val="046D6859"/>
    <w:rsid w:val="04997C21"/>
    <w:rsid w:val="04A27A27"/>
    <w:rsid w:val="04EF4BB8"/>
    <w:rsid w:val="04FF13C8"/>
    <w:rsid w:val="0503513F"/>
    <w:rsid w:val="054C6F7C"/>
    <w:rsid w:val="055B5017"/>
    <w:rsid w:val="055D5A36"/>
    <w:rsid w:val="057E408B"/>
    <w:rsid w:val="0588263A"/>
    <w:rsid w:val="05B042DB"/>
    <w:rsid w:val="05D30541"/>
    <w:rsid w:val="05DB6B41"/>
    <w:rsid w:val="05DD6BAF"/>
    <w:rsid w:val="05DF2522"/>
    <w:rsid w:val="06663860"/>
    <w:rsid w:val="066A3735"/>
    <w:rsid w:val="066E15B7"/>
    <w:rsid w:val="0698042D"/>
    <w:rsid w:val="069F3533"/>
    <w:rsid w:val="06A057FB"/>
    <w:rsid w:val="06C50FBB"/>
    <w:rsid w:val="06D56105"/>
    <w:rsid w:val="06F81235"/>
    <w:rsid w:val="070255AB"/>
    <w:rsid w:val="070B4EB6"/>
    <w:rsid w:val="071344CC"/>
    <w:rsid w:val="07AB468E"/>
    <w:rsid w:val="07CF5597"/>
    <w:rsid w:val="07F01F10"/>
    <w:rsid w:val="08C30E66"/>
    <w:rsid w:val="08C76016"/>
    <w:rsid w:val="08D40D23"/>
    <w:rsid w:val="08F80A25"/>
    <w:rsid w:val="09706A8B"/>
    <w:rsid w:val="09AA4266"/>
    <w:rsid w:val="09BA5573"/>
    <w:rsid w:val="09BB122F"/>
    <w:rsid w:val="09BE615F"/>
    <w:rsid w:val="09CB4DB8"/>
    <w:rsid w:val="0A075740"/>
    <w:rsid w:val="0A3B4078"/>
    <w:rsid w:val="0A3E25DB"/>
    <w:rsid w:val="0A426C2A"/>
    <w:rsid w:val="0A5A2E6B"/>
    <w:rsid w:val="0A735F10"/>
    <w:rsid w:val="0A7D5166"/>
    <w:rsid w:val="0A8565D3"/>
    <w:rsid w:val="0AAB092B"/>
    <w:rsid w:val="0ACD3720"/>
    <w:rsid w:val="0AE8303C"/>
    <w:rsid w:val="0AEC1CF2"/>
    <w:rsid w:val="0B0F2128"/>
    <w:rsid w:val="0B154A6F"/>
    <w:rsid w:val="0B2F391E"/>
    <w:rsid w:val="0B5A578D"/>
    <w:rsid w:val="0B757FC3"/>
    <w:rsid w:val="0B7A04D0"/>
    <w:rsid w:val="0B8E49E3"/>
    <w:rsid w:val="0C254DA3"/>
    <w:rsid w:val="0C283829"/>
    <w:rsid w:val="0C3C50C3"/>
    <w:rsid w:val="0C572C4B"/>
    <w:rsid w:val="0C7E2A74"/>
    <w:rsid w:val="0C831A97"/>
    <w:rsid w:val="0C9A42BE"/>
    <w:rsid w:val="0CAD3D65"/>
    <w:rsid w:val="0CCD2561"/>
    <w:rsid w:val="0D09591E"/>
    <w:rsid w:val="0D3A5D09"/>
    <w:rsid w:val="0D402B07"/>
    <w:rsid w:val="0D450580"/>
    <w:rsid w:val="0D551662"/>
    <w:rsid w:val="0D6F5BA8"/>
    <w:rsid w:val="0D836247"/>
    <w:rsid w:val="0D993E64"/>
    <w:rsid w:val="0DAB4BC9"/>
    <w:rsid w:val="0DAC69B1"/>
    <w:rsid w:val="0DC63FA6"/>
    <w:rsid w:val="0DC77F5F"/>
    <w:rsid w:val="0DEC2032"/>
    <w:rsid w:val="0DEC6564"/>
    <w:rsid w:val="0E0628EA"/>
    <w:rsid w:val="0E0F07F1"/>
    <w:rsid w:val="0E4A1C3C"/>
    <w:rsid w:val="0E556E58"/>
    <w:rsid w:val="0E6C54F3"/>
    <w:rsid w:val="0E7B29D5"/>
    <w:rsid w:val="0E8226FF"/>
    <w:rsid w:val="0ED36B10"/>
    <w:rsid w:val="0EE970F6"/>
    <w:rsid w:val="0EF8579D"/>
    <w:rsid w:val="0F00173E"/>
    <w:rsid w:val="0F2C7850"/>
    <w:rsid w:val="0F784B9A"/>
    <w:rsid w:val="0FB243B1"/>
    <w:rsid w:val="0FB50994"/>
    <w:rsid w:val="0FBD1FA7"/>
    <w:rsid w:val="0FD339E4"/>
    <w:rsid w:val="0FE963AA"/>
    <w:rsid w:val="0FFF1F2A"/>
    <w:rsid w:val="100E5731"/>
    <w:rsid w:val="107A717C"/>
    <w:rsid w:val="107F74D1"/>
    <w:rsid w:val="108A2532"/>
    <w:rsid w:val="10BD4398"/>
    <w:rsid w:val="10DD203F"/>
    <w:rsid w:val="10EC230F"/>
    <w:rsid w:val="10F17A70"/>
    <w:rsid w:val="10FF2E93"/>
    <w:rsid w:val="11905E14"/>
    <w:rsid w:val="11B71490"/>
    <w:rsid w:val="11B808D5"/>
    <w:rsid w:val="11CE5F88"/>
    <w:rsid w:val="11E61031"/>
    <w:rsid w:val="11F042E3"/>
    <w:rsid w:val="12035F52"/>
    <w:rsid w:val="12745248"/>
    <w:rsid w:val="129076D0"/>
    <w:rsid w:val="12974346"/>
    <w:rsid w:val="12D37BDD"/>
    <w:rsid w:val="12D85778"/>
    <w:rsid w:val="13021216"/>
    <w:rsid w:val="13042EC8"/>
    <w:rsid w:val="13145591"/>
    <w:rsid w:val="13166EEB"/>
    <w:rsid w:val="13494029"/>
    <w:rsid w:val="13577BD3"/>
    <w:rsid w:val="137C49B7"/>
    <w:rsid w:val="138E3C5A"/>
    <w:rsid w:val="13AD22D8"/>
    <w:rsid w:val="13F23AA3"/>
    <w:rsid w:val="13FF2C25"/>
    <w:rsid w:val="1429786E"/>
    <w:rsid w:val="143D2EB3"/>
    <w:rsid w:val="144C52D9"/>
    <w:rsid w:val="147807DE"/>
    <w:rsid w:val="148834D4"/>
    <w:rsid w:val="14AF1EED"/>
    <w:rsid w:val="14C54830"/>
    <w:rsid w:val="14C862EF"/>
    <w:rsid w:val="14CE7B39"/>
    <w:rsid w:val="14F63D35"/>
    <w:rsid w:val="14FC1BFA"/>
    <w:rsid w:val="15356BA5"/>
    <w:rsid w:val="154126EF"/>
    <w:rsid w:val="154D5872"/>
    <w:rsid w:val="159221AB"/>
    <w:rsid w:val="161018E1"/>
    <w:rsid w:val="16143236"/>
    <w:rsid w:val="167B2FD7"/>
    <w:rsid w:val="168529EC"/>
    <w:rsid w:val="168647BE"/>
    <w:rsid w:val="16B7256D"/>
    <w:rsid w:val="16BB3A6E"/>
    <w:rsid w:val="16C40124"/>
    <w:rsid w:val="16CC6C7C"/>
    <w:rsid w:val="16EE7E2B"/>
    <w:rsid w:val="171E1475"/>
    <w:rsid w:val="179C0B74"/>
    <w:rsid w:val="17AA5FE0"/>
    <w:rsid w:val="17EC0B9D"/>
    <w:rsid w:val="18395238"/>
    <w:rsid w:val="18654AB2"/>
    <w:rsid w:val="18767614"/>
    <w:rsid w:val="187B7162"/>
    <w:rsid w:val="188921E8"/>
    <w:rsid w:val="18E9476E"/>
    <w:rsid w:val="18FC4770"/>
    <w:rsid w:val="190219BB"/>
    <w:rsid w:val="19152601"/>
    <w:rsid w:val="194B089C"/>
    <w:rsid w:val="197B4607"/>
    <w:rsid w:val="197D3684"/>
    <w:rsid w:val="199974AC"/>
    <w:rsid w:val="199E6548"/>
    <w:rsid w:val="1A093EE3"/>
    <w:rsid w:val="1A424D5C"/>
    <w:rsid w:val="1A6D4A01"/>
    <w:rsid w:val="1AE867C0"/>
    <w:rsid w:val="1AF040D7"/>
    <w:rsid w:val="1B0537E4"/>
    <w:rsid w:val="1B3A0D31"/>
    <w:rsid w:val="1BA0333D"/>
    <w:rsid w:val="1BE274D7"/>
    <w:rsid w:val="1C353964"/>
    <w:rsid w:val="1C594E58"/>
    <w:rsid w:val="1CC16AFA"/>
    <w:rsid w:val="1CC21095"/>
    <w:rsid w:val="1CE806DA"/>
    <w:rsid w:val="1CE86BF2"/>
    <w:rsid w:val="1D464939"/>
    <w:rsid w:val="1D493661"/>
    <w:rsid w:val="1D570C14"/>
    <w:rsid w:val="1D7C2307"/>
    <w:rsid w:val="1D8B6A06"/>
    <w:rsid w:val="1D975CBF"/>
    <w:rsid w:val="1DB20466"/>
    <w:rsid w:val="1DF715B8"/>
    <w:rsid w:val="1E04552C"/>
    <w:rsid w:val="1E087239"/>
    <w:rsid w:val="1E251049"/>
    <w:rsid w:val="1E3A1DE3"/>
    <w:rsid w:val="1E431823"/>
    <w:rsid w:val="1E4414CB"/>
    <w:rsid w:val="1E573718"/>
    <w:rsid w:val="1E5846F0"/>
    <w:rsid w:val="1E697989"/>
    <w:rsid w:val="1E747CF7"/>
    <w:rsid w:val="1E87282A"/>
    <w:rsid w:val="1E9D2CEC"/>
    <w:rsid w:val="1EAC304B"/>
    <w:rsid w:val="1EAF0B28"/>
    <w:rsid w:val="1F345F33"/>
    <w:rsid w:val="1F4E6A05"/>
    <w:rsid w:val="1FB43B56"/>
    <w:rsid w:val="1FC82DCD"/>
    <w:rsid w:val="1FE046F5"/>
    <w:rsid w:val="1FE223DD"/>
    <w:rsid w:val="1FE31BC9"/>
    <w:rsid w:val="20052C12"/>
    <w:rsid w:val="2005415D"/>
    <w:rsid w:val="20082828"/>
    <w:rsid w:val="202C4030"/>
    <w:rsid w:val="203C361C"/>
    <w:rsid w:val="2041497A"/>
    <w:rsid w:val="20483796"/>
    <w:rsid w:val="2073774E"/>
    <w:rsid w:val="20A60EF4"/>
    <w:rsid w:val="20B86247"/>
    <w:rsid w:val="20E13D0A"/>
    <w:rsid w:val="21086EE5"/>
    <w:rsid w:val="213B2024"/>
    <w:rsid w:val="219B2140"/>
    <w:rsid w:val="21D2510C"/>
    <w:rsid w:val="22235A17"/>
    <w:rsid w:val="22323DA6"/>
    <w:rsid w:val="223460A2"/>
    <w:rsid w:val="226D1C30"/>
    <w:rsid w:val="2278424F"/>
    <w:rsid w:val="229D2E39"/>
    <w:rsid w:val="22D32C92"/>
    <w:rsid w:val="22EA2E03"/>
    <w:rsid w:val="22ED15C2"/>
    <w:rsid w:val="23221791"/>
    <w:rsid w:val="23385CD8"/>
    <w:rsid w:val="234323A8"/>
    <w:rsid w:val="2385200B"/>
    <w:rsid w:val="238D38EB"/>
    <w:rsid w:val="23FE55D4"/>
    <w:rsid w:val="240C7697"/>
    <w:rsid w:val="243D3903"/>
    <w:rsid w:val="2463378D"/>
    <w:rsid w:val="247E5FEF"/>
    <w:rsid w:val="248E25C3"/>
    <w:rsid w:val="248F52D4"/>
    <w:rsid w:val="24AE1754"/>
    <w:rsid w:val="24CA3284"/>
    <w:rsid w:val="24D14300"/>
    <w:rsid w:val="24F16E7A"/>
    <w:rsid w:val="25170992"/>
    <w:rsid w:val="251F5B6D"/>
    <w:rsid w:val="2550425D"/>
    <w:rsid w:val="25521DD3"/>
    <w:rsid w:val="255E1689"/>
    <w:rsid w:val="25626261"/>
    <w:rsid w:val="25770400"/>
    <w:rsid w:val="2596042F"/>
    <w:rsid w:val="25B074D3"/>
    <w:rsid w:val="26361ABD"/>
    <w:rsid w:val="263B5F44"/>
    <w:rsid w:val="264D4F65"/>
    <w:rsid w:val="267A0EE1"/>
    <w:rsid w:val="26C4563E"/>
    <w:rsid w:val="26FD0AB5"/>
    <w:rsid w:val="27517DA8"/>
    <w:rsid w:val="27594BB4"/>
    <w:rsid w:val="27750594"/>
    <w:rsid w:val="277E4AC7"/>
    <w:rsid w:val="277F4C00"/>
    <w:rsid w:val="279939F4"/>
    <w:rsid w:val="27AF3A6F"/>
    <w:rsid w:val="27C0571E"/>
    <w:rsid w:val="27E46622"/>
    <w:rsid w:val="27EC3C61"/>
    <w:rsid w:val="282237E6"/>
    <w:rsid w:val="28387F89"/>
    <w:rsid w:val="285E4EDC"/>
    <w:rsid w:val="28684DB7"/>
    <w:rsid w:val="28836FF5"/>
    <w:rsid w:val="28BC189F"/>
    <w:rsid w:val="291254AA"/>
    <w:rsid w:val="29261190"/>
    <w:rsid w:val="293E0ECB"/>
    <w:rsid w:val="29426C05"/>
    <w:rsid w:val="29506857"/>
    <w:rsid w:val="295E27C3"/>
    <w:rsid w:val="296E2584"/>
    <w:rsid w:val="29EC2C2C"/>
    <w:rsid w:val="29F74A66"/>
    <w:rsid w:val="2A5961D5"/>
    <w:rsid w:val="2A5D4DDB"/>
    <w:rsid w:val="2A8C7568"/>
    <w:rsid w:val="2ACD5D0A"/>
    <w:rsid w:val="2B31262B"/>
    <w:rsid w:val="2B563ADF"/>
    <w:rsid w:val="2B835BC5"/>
    <w:rsid w:val="2BAD4138"/>
    <w:rsid w:val="2BF2057E"/>
    <w:rsid w:val="2C015B5E"/>
    <w:rsid w:val="2C116441"/>
    <w:rsid w:val="2C1A6040"/>
    <w:rsid w:val="2C697762"/>
    <w:rsid w:val="2C815FA3"/>
    <w:rsid w:val="2C8D5D0D"/>
    <w:rsid w:val="2C9E1E2F"/>
    <w:rsid w:val="2CCD7683"/>
    <w:rsid w:val="2D51086F"/>
    <w:rsid w:val="2D535896"/>
    <w:rsid w:val="2D5E137B"/>
    <w:rsid w:val="2D6B1478"/>
    <w:rsid w:val="2D9B3B8B"/>
    <w:rsid w:val="2DC77DDC"/>
    <w:rsid w:val="2DEE6033"/>
    <w:rsid w:val="2E0A2B13"/>
    <w:rsid w:val="2E1525D7"/>
    <w:rsid w:val="2E312D68"/>
    <w:rsid w:val="2E327DF7"/>
    <w:rsid w:val="2E6A04D7"/>
    <w:rsid w:val="2E737A58"/>
    <w:rsid w:val="2E790A5A"/>
    <w:rsid w:val="2E791328"/>
    <w:rsid w:val="2E7A31FC"/>
    <w:rsid w:val="2E7D437E"/>
    <w:rsid w:val="2E8E05DE"/>
    <w:rsid w:val="2E990003"/>
    <w:rsid w:val="2EA426CD"/>
    <w:rsid w:val="2EA86277"/>
    <w:rsid w:val="2EB56BE9"/>
    <w:rsid w:val="2EC349A3"/>
    <w:rsid w:val="2F536223"/>
    <w:rsid w:val="2F672157"/>
    <w:rsid w:val="2F6D5BDF"/>
    <w:rsid w:val="2F81154A"/>
    <w:rsid w:val="2FAA3AC8"/>
    <w:rsid w:val="2FB9045A"/>
    <w:rsid w:val="2FCC5DF6"/>
    <w:rsid w:val="30627B8B"/>
    <w:rsid w:val="308D1BBA"/>
    <w:rsid w:val="30A57F9B"/>
    <w:rsid w:val="30A85508"/>
    <w:rsid w:val="30B41673"/>
    <w:rsid w:val="30CB379B"/>
    <w:rsid w:val="31551A21"/>
    <w:rsid w:val="3167283A"/>
    <w:rsid w:val="31713DB5"/>
    <w:rsid w:val="3174292F"/>
    <w:rsid w:val="31830250"/>
    <w:rsid w:val="323376C0"/>
    <w:rsid w:val="323B5F0C"/>
    <w:rsid w:val="32410D7E"/>
    <w:rsid w:val="32484E00"/>
    <w:rsid w:val="32681700"/>
    <w:rsid w:val="32AD3046"/>
    <w:rsid w:val="32BC57EF"/>
    <w:rsid w:val="32ED7F9D"/>
    <w:rsid w:val="32F13120"/>
    <w:rsid w:val="33264151"/>
    <w:rsid w:val="339761E6"/>
    <w:rsid w:val="33BD513C"/>
    <w:rsid w:val="34203D04"/>
    <w:rsid w:val="346D3911"/>
    <w:rsid w:val="34837505"/>
    <w:rsid w:val="34945D4F"/>
    <w:rsid w:val="34E33B0A"/>
    <w:rsid w:val="34E8105C"/>
    <w:rsid w:val="35310E41"/>
    <w:rsid w:val="355A797C"/>
    <w:rsid w:val="357C06FD"/>
    <w:rsid w:val="35964003"/>
    <w:rsid w:val="35B01817"/>
    <w:rsid w:val="35BA4C9F"/>
    <w:rsid w:val="35C4696C"/>
    <w:rsid w:val="35CF5AD7"/>
    <w:rsid w:val="35FC6F34"/>
    <w:rsid w:val="35FE21A8"/>
    <w:rsid w:val="36042500"/>
    <w:rsid w:val="36183B2A"/>
    <w:rsid w:val="365D5DC8"/>
    <w:rsid w:val="36BB1C0A"/>
    <w:rsid w:val="36E37CE0"/>
    <w:rsid w:val="37282641"/>
    <w:rsid w:val="37383A43"/>
    <w:rsid w:val="37673B1A"/>
    <w:rsid w:val="3775168B"/>
    <w:rsid w:val="378821FC"/>
    <w:rsid w:val="37A118C6"/>
    <w:rsid w:val="37AF169E"/>
    <w:rsid w:val="37B06CA5"/>
    <w:rsid w:val="37B833F9"/>
    <w:rsid w:val="37E12525"/>
    <w:rsid w:val="37FB4418"/>
    <w:rsid w:val="38243B0C"/>
    <w:rsid w:val="38351372"/>
    <w:rsid w:val="38371FD2"/>
    <w:rsid w:val="383E52F8"/>
    <w:rsid w:val="3871065D"/>
    <w:rsid w:val="38A5427C"/>
    <w:rsid w:val="38E9440C"/>
    <w:rsid w:val="38F2076E"/>
    <w:rsid w:val="38FA264A"/>
    <w:rsid w:val="38FB7470"/>
    <w:rsid w:val="392B29F6"/>
    <w:rsid w:val="392F6471"/>
    <w:rsid w:val="39650B36"/>
    <w:rsid w:val="396B368A"/>
    <w:rsid w:val="39894AFE"/>
    <w:rsid w:val="399855F8"/>
    <w:rsid w:val="39BE200D"/>
    <w:rsid w:val="39D1740F"/>
    <w:rsid w:val="39E81E83"/>
    <w:rsid w:val="39FD3604"/>
    <w:rsid w:val="3A0C0420"/>
    <w:rsid w:val="3A540AF2"/>
    <w:rsid w:val="3A7A067E"/>
    <w:rsid w:val="3A8A5C28"/>
    <w:rsid w:val="3AA42D10"/>
    <w:rsid w:val="3AD81AE5"/>
    <w:rsid w:val="3B011198"/>
    <w:rsid w:val="3B0A369E"/>
    <w:rsid w:val="3B144536"/>
    <w:rsid w:val="3B69075B"/>
    <w:rsid w:val="3B6C25A6"/>
    <w:rsid w:val="3B830EB0"/>
    <w:rsid w:val="3B8C2539"/>
    <w:rsid w:val="3BAC3279"/>
    <w:rsid w:val="3C34249E"/>
    <w:rsid w:val="3C8F59EB"/>
    <w:rsid w:val="3C924AA4"/>
    <w:rsid w:val="3CBE739E"/>
    <w:rsid w:val="3CD91E7D"/>
    <w:rsid w:val="3CF5627C"/>
    <w:rsid w:val="3D1C0854"/>
    <w:rsid w:val="3E001373"/>
    <w:rsid w:val="3E174F72"/>
    <w:rsid w:val="3E372BE6"/>
    <w:rsid w:val="3E627749"/>
    <w:rsid w:val="3E8B7E8F"/>
    <w:rsid w:val="3E9A3641"/>
    <w:rsid w:val="3EFA0545"/>
    <w:rsid w:val="3F187692"/>
    <w:rsid w:val="3F273D72"/>
    <w:rsid w:val="3F2847E1"/>
    <w:rsid w:val="3F432152"/>
    <w:rsid w:val="3F546099"/>
    <w:rsid w:val="3F6A405E"/>
    <w:rsid w:val="3FA665CD"/>
    <w:rsid w:val="3FB64318"/>
    <w:rsid w:val="3FE15F85"/>
    <w:rsid w:val="401F1CE4"/>
    <w:rsid w:val="40391E09"/>
    <w:rsid w:val="40A111BE"/>
    <w:rsid w:val="40C27B29"/>
    <w:rsid w:val="40C669BA"/>
    <w:rsid w:val="40D1727D"/>
    <w:rsid w:val="41366EEE"/>
    <w:rsid w:val="41523BBA"/>
    <w:rsid w:val="41892DC8"/>
    <w:rsid w:val="419066A4"/>
    <w:rsid w:val="41957B26"/>
    <w:rsid w:val="41A767EA"/>
    <w:rsid w:val="41A928F2"/>
    <w:rsid w:val="41CB4B5C"/>
    <w:rsid w:val="41E71C3F"/>
    <w:rsid w:val="420C2FE8"/>
    <w:rsid w:val="4213626F"/>
    <w:rsid w:val="421735D1"/>
    <w:rsid w:val="421844DF"/>
    <w:rsid w:val="42201C89"/>
    <w:rsid w:val="42282F1D"/>
    <w:rsid w:val="42B65DE3"/>
    <w:rsid w:val="42B806A7"/>
    <w:rsid w:val="42C72655"/>
    <w:rsid w:val="42C94B9E"/>
    <w:rsid w:val="42CD745E"/>
    <w:rsid w:val="42DA5E07"/>
    <w:rsid w:val="43061D22"/>
    <w:rsid w:val="431155E7"/>
    <w:rsid w:val="43561D06"/>
    <w:rsid w:val="435D0005"/>
    <w:rsid w:val="43610097"/>
    <w:rsid w:val="437A6FD0"/>
    <w:rsid w:val="437E5BA2"/>
    <w:rsid w:val="43940672"/>
    <w:rsid w:val="43A75E9A"/>
    <w:rsid w:val="44001030"/>
    <w:rsid w:val="440A7084"/>
    <w:rsid w:val="441056A9"/>
    <w:rsid w:val="442F4E81"/>
    <w:rsid w:val="445E1668"/>
    <w:rsid w:val="448262FA"/>
    <w:rsid w:val="44915103"/>
    <w:rsid w:val="449401EE"/>
    <w:rsid w:val="449C4D8E"/>
    <w:rsid w:val="449E022E"/>
    <w:rsid w:val="44CB45DF"/>
    <w:rsid w:val="44EF5BB7"/>
    <w:rsid w:val="45042DD2"/>
    <w:rsid w:val="45097B16"/>
    <w:rsid w:val="45735118"/>
    <w:rsid w:val="458F1352"/>
    <w:rsid w:val="45A3679E"/>
    <w:rsid w:val="45EE6913"/>
    <w:rsid w:val="45F0487D"/>
    <w:rsid w:val="464043D6"/>
    <w:rsid w:val="466C67E8"/>
    <w:rsid w:val="468243A5"/>
    <w:rsid w:val="46925C3D"/>
    <w:rsid w:val="46CB39D8"/>
    <w:rsid w:val="47145D55"/>
    <w:rsid w:val="474F288B"/>
    <w:rsid w:val="47745348"/>
    <w:rsid w:val="47F81011"/>
    <w:rsid w:val="480A4782"/>
    <w:rsid w:val="485C7539"/>
    <w:rsid w:val="4873716A"/>
    <w:rsid w:val="489749E9"/>
    <w:rsid w:val="48A33C57"/>
    <w:rsid w:val="48DE1BCF"/>
    <w:rsid w:val="48E1265F"/>
    <w:rsid w:val="48F8742A"/>
    <w:rsid w:val="490C3E65"/>
    <w:rsid w:val="49237420"/>
    <w:rsid w:val="49B22ED8"/>
    <w:rsid w:val="49BB6CEE"/>
    <w:rsid w:val="49CA534E"/>
    <w:rsid w:val="49D052DF"/>
    <w:rsid w:val="49DC25BA"/>
    <w:rsid w:val="49F472CC"/>
    <w:rsid w:val="4A0E38DD"/>
    <w:rsid w:val="4A2446A8"/>
    <w:rsid w:val="4A6C7A96"/>
    <w:rsid w:val="4A8978E0"/>
    <w:rsid w:val="4AB32643"/>
    <w:rsid w:val="4AF64C8A"/>
    <w:rsid w:val="4AFC3310"/>
    <w:rsid w:val="4AFC5CCC"/>
    <w:rsid w:val="4B1105E7"/>
    <w:rsid w:val="4B4E3432"/>
    <w:rsid w:val="4B8E6103"/>
    <w:rsid w:val="4B8F35A1"/>
    <w:rsid w:val="4B9A24E9"/>
    <w:rsid w:val="4BA9060D"/>
    <w:rsid w:val="4BFA6AB7"/>
    <w:rsid w:val="4C0C02A6"/>
    <w:rsid w:val="4C1A2276"/>
    <w:rsid w:val="4C28087F"/>
    <w:rsid w:val="4C2D2FA5"/>
    <w:rsid w:val="4C421EFA"/>
    <w:rsid w:val="4C5B1FD3"/>
    <w:rsid w:val="4C892F93"/>
    <w:rsid w:val="4C916C2A"/>
    <w:rsid w:val="4CB5508D"/>
    <w:rsid w:val="4CC00D02"/>
    <w:rsid w:val="4CE60177"/>
    <w:rsid w:val="4E02466B"/>
    <w:rsid w:val="4E6942B2"/>
    <w:rsid w:val="4EBB6774"/>
    <w:rsid w:val="4ED714AE"/>
    <w:rsid w:val="4F211862"/>
    <w:rsid w:val="4F2A598A"/>
    <w:rsid w:val="4F2D6D42"/>
    <w:rsid w:val="4F360182"/>
    <w:rsid w:val="4F6A08C9"/>
    <w:rsid w:val="4FDB6712"/>
    <w:rsid w:val="50594DE2"/>
    <w:rsid w:val="507D5281"/>
    <w:rsid w:val="5082573E"/>
    <w:rsid w:val="509D2CD0"/>
    <w:rsid w:val="50A4615B"/>
    <w:rsid w:val="50B240BC"/>
    <w:rsid w:val="50DB7277"/>
    <w:rsid w:val="50F91A84"/>
    <w:rsid w:val="512D32BC"/>
    <w:rsid w:val="513018CF"/>
    <w:rsid w:val="51340326"/>
    <w:rsid w:val="5142285D"/>
    <w:rsid w:val="51532A7B"/>
    <w:rsid w:val="516359C2"/>
    <w:rsid w:val="516C5BA3"/>
    <w:rsid w:val="517F7A7E"/>
    <w:rsid w:val="51BD62CD"/>
    <w:rsid w:val="51C755D0"/>
    <w:rsid w:val="51E52C79"/>
    <w:rsid w:val="51EA026E"/>
    <w:rsid w:val="52147894"/>
    <w:rsid w:val="523C2FEE"/>
    <w:rsid w:val="524F6967"/>
    <w:rsid w:val="5255287A"/>
    <w:rsid w:val="5259515C"/>
    <w:rsid w:val="526E04EF"/>
    <w:rsid w:val="5270414C"/>
    <w:rsid w:val="5290508D"/>
    <w:rsid w:val="529D5BC8"/>
    <w:rsid w:val="52B35DF4"/>
    <w:rsid w:val="52C917DA"/>
    <w:rsid w:val="52CD6379"/>
    <w:rsid w:val="52D904F2"/>
    <w:rsid w:val="530C66BB"/>
    <w:rsid w:val="5317347A"/>
    <w:rsid w:val="5327113C"/>
    <w:rsid w:val="533E7462"/>
    <w:rsid w:val="53AA30E3"/>
    <w:rsid w:val="53E920AA"/>
    <w:rsid w:val="53F83B1B"/>
    <w:rsid w:val="540013E0"/>
    <w:rsid w:val="5422175A"/>
    <w:rsid w:val="54327D3F"/>
    <w:rsid w:val="543E7AC0"/>
    <w:rsid w:val="544740E9"/>
    <w:rsid w:val="545011EB"/>
    <w:rsid w:val="54544279"/>
    <w:rsid w:val="54744D91"/>
    <w:rsid w:val="547944E4"/>
    <w:rsid w:val="54A07C64"/>
    <w:rsid w:val="54A66B37"/>
    <w:rsid w:val="54A80074"/>
    <w:rsid w:val="54CB3A58"/>
    <w:rsid w:val="54DE101A"/>
    <w:rsid w:val="554A3961"/>
    <w:rsid w:val="5571370C"/>
    <w:rsid w:val="55D36584"/>
    <w:rsid w:val="55E759FD"/>
    <w:rsid w:val="55EC0EFE"/>
    <w:rsid w:val="562B757F"/>
    <w:rsid w:val="56546C5F"/>
    <w:rsid w:val="56725DAC"/>
    <w:rsid w:val="568662FA"/>
    <w:rsid w:val="568B4368"/>
    <w:rsid w:val="569A32A2"/>
    <w:rsid w:val="56A954F0"/>
    <w:rsid w:val="56D93D28"/>
    <w:rsid w:val="56E87D34"/>
    <w:rsid w:val="56F020C7"/>
    <w:rsid w:val="570C0000"/>
    <w:rsid w:val="57105862"/>
    <w:rsid w:val="5713314B"/>
    <w:rsid w:val="57315010"/>
    <w:rsid w:val="5732041E"/>
    <w:rsid w:val="57370BA2"/>
    <w:rsid w:val="573F3BC3"/>
    <w:rsid w:val="575614AE"/>
    <w:rsid w:val="57751EB4"/>
    <w:rsid w:val="57861D7F"/>
    <w:rsid w:val="579451C3"/>
    <w:rsid w:val="57B7276A"/>
    <w:rsid w:val="57C73156"/>
    <w:rsid w:val="57CA5276"/>
    <w:rsid w:val="58252F13"/>
    <w:rsid w:val="58514CB0"/>
    <w:rsid w:val="58895DB9"/>
    <w:rsid w:val="588A07F6"/>
    <w:rsid w:val="58A83141"/>
    <w:rsid w:val="59493386"/>
    <w:rsid w:val="597F5D67"/>
    <w:rsid w:val="598571C1"/>
    <w:rsid w:val="59A654A4"/>
    <w:rsid w:val="59A71249"/>
    <w:rsid w:val="59A9632A"/>
    <w:rsid w:val="59D51622"/>
    <w:rsid w:val="59D52CAE"/>
    <w:rsid w:val="59EF06EE"/>
    <w:rsid w:val="5A580D0B"/>
    <w:rsid w:val="5A750FF4"/>
    <w:rsid w:val="5A8A773D"/>
    <w:rsid w:val="5A900989"/>
    <w:rsid w:val="5AA30628"/>
    <w:rsid w:val="5ADC1C9D"/>
    <w:rsid w:val="5B186E20"/>
    <w:rsid w:val="5B621188"/>
    <w:rsid w:val="5B6B67B6"/>
    <w:rsid w:val="5B7B1CBC"/>
    <w:rsid w:val="5B90206D"/>
    <w:rsid w:val="5BA154E1"/>
    <w:rsid w:val="5BA261E3"/>
    <w:rsid w:val="5BFB097F"/>
    <w:rsid w:val="5C14521D"/>
    <w:rsid w:val="5C165622"/>
    <w:rsid w:val="5C3B181F"/>
    <w:rsid w:val="5C430E4B"/>
    <w:rsid w:val="5C5E25EE"/>
    <w:rsid w:val="5C7E6E4B"/>
    <w:rsid w:val="5C835E38"/>
    <w:rsid w:val="5CC069BB"/>
    <w:rsid w:val="5CD5306B"/>
    <w:rsid w:val="5CF36780"/>
    <w:rsid w:val="5D19475F"/>
    <w:rsid w:val="5D3523FC"/>
    <w:rsid w:val="5D3E3A06"/>
    <w:rsid w:val="5D443390"/>
    <w:rsid w:val="5D5D46A5"/>
    <w:rsid w:val="5D612412"/>
    <w:rsid w:val="5D75260B"/>
    <w:rsid w:val="5D7A4FCD"/>
    <w:rsid w:val="5D8B4533"/>
    <w:rsid w:val="5D90339E"/>
    <w:rsid w:val="5DB004C1"/>
    <w:rsid w:val="5DFD3667"/>
    <w:rsid w:val="5E4976DB"/>
    <w:rsid w:val="5EBB3A20"/>
    <w:rsid w:val="5EC91009"/>
    <w:rsid w:val="5ECF58C8"/>
    <w:rsid w:val="5EDF27A2"/>
    <w:rsid w:val="5F0A2B92"/>
    <w:rsid w:val="5F112255"/>
    <w:rsid w:val="5F1E0892"/>
    <w:rsid w:val="5F253C8A"/>
    <w:rsid w:val="5F59620A"/>
    <w:rsid w:val="5FB15887"/>
    <w:rsid w:val="5FC31DC1"/>
    <w:rsid w:val="5FDC2034"/>
    <w:rsid w:val="5FFB08B2"/>
    <w:rsid w:val="5FFD03BE"/>
    <w:rsid w:val="60454E9C"/>
    <w:rsid w:val="606D0E34"/>
    <w:rsid w:val="608607F8"/>
    <w:rsid w:val="60B25F6A"/>
    <w:rsid w:val="60C32E8F"/>
    <w:rsid w:val="60D30594"/>
    <w:rsid w:val="61472970"/>
    <w:rsid w:val="619B6BC6"/>
    <w:rsid w:val="61B57F51"/>
    <w:rsid w:val="61D34965"/>
    <w:rsid w:val="61E5122B"/>
    <w:rsid w:val="621540A7"/>
    <w:rsid w:val="622770AA"/>
    <w:rsid w:val="62310026"/>
    <w:rsid w:val="62693A03"/>
    <w:rsid w:val="62804536"/>
    <w:rsid w:val="629317D9"/>
    <w:rsid w:val="62EA50E6"/>
    <w:rsid w:val="62EE5F6D"/>
    <w:rsid w:val="6306059C"/>
    <w:rsid w:val="631A74D3"/>
    <w:rsid w:val="631C491D"/>
    <w:rsid w:val="635A6A5A"/>
    <w:rsid w:val="635B4290"/>
    <w:rsid w:val="635E11AD"/>
    <w:rsid w:val="6369369E"/>
    <w:rsid w:val="640B0CA6"/>
    <w:rsid w:val="640C3FE0"/>
    <w:rsid w:val="64106E4D"/>
    <w:rsid w:val="643D3D96"/>
    <w:rsid w:val="64A04CD9"/>
    <w:rsid w:val="64A91558"/>
    <w:rsid w:val="64B32848"/>
    <w:rsid w:val="64BB5415"/>
    <w:rsid w:val="64F8160F"/>
    <w:rsid w:val="65490E56"/>
    <w:rsid w:val="65B33B6A"/>
    <w:rsid w:val="66171404"/>
    <w:rsid w:val="66286EC9"/>
    <w:rsid w:val="66454FD4"/>
    <w:rsid w:val="666239C9"/>
    <w:rsid w:val="667D74C9"/>
    <w:rsid w:val="66965E5E"/>
    <w:rsid w:val="66982296"/>
    <w:rsid w:val="672636C2"/>
    <w:rsid w:val="67683FB8"/>
    <w:rsid w:val="67EC080C"/>
    <w:rsid w:val="67EC4FAB"/>
    <w:rsid w:val="67F10F31"/>
    <w:rsid w:val="68127ACA"/>
    <w:rsid w:val="686626D4"/>
    <w:rsid w:val="686E7AE0"/>
    <w:rsid w:val="68BA429F"/>
    <w:rsid w:val="68F17935"/>
    <w:rsid w:val="68F56F2C"/>
    <w:rsid w:val="68FF2C52"/>
    <w:rsid w:val="69154DF6"/>
    <w:rsid w:val="69537FD5"/>
    <w:rsid w:val="69705819"/>
    <w:rsid w:val="697C30F2"/>
    <w:rsid w:val="698B656B"/>
    <w:rsid w:val="69E60496"/>
    <w:rsid w:val="6A0E29B9"/>
    <w:rsid w:val="6A1F5CCD"/>
    <w:rsid w:val="6A20639C"/>
    <w:rsid w:val="6A250533"/>
    <w:rsid w:val="6A580905"/>
    <w:rsid w:val="6A7E49E4"/>
    <w:rsid w:val="6AB224CF"/>
    <w:rsid w:val="6AB42EB2"/>
    <w:rsid w:val="6AF245B9"/>
    <w:rsid w:val="6AF44007"/>
    <w:rsid w:val="6AF64A68"/>
    <w:rsid w:val="6AFF4D2C"/>
    <w:rsid w:val="6B085D29"/>
    <w:rsid w:val="6B2677D0"/>
    <w:rsid w:val="6B4978D4"/>
    <w:rsid w:val="6B6C36D6"/>
    <w:rsid w:val="6B762F54"/>
    <w:rsid w:val="6B8312A5"/>
    <w:rsid w:val="6BE066AB"/>
    <w:rsid w:val="6C0569D3"/>
    <w:rsid w:val="6C455F09"/>
    <w:rsid w:val="6C4D1F76"/>
    <w:rsid w:val="6C504433"/>
    <w:rsid w:val="6C7D4AC7"/>
    <w:rsid w:val="6C880AB8"/>
    <w:rsid w:val="6CA077D2"/>
    <w:rsid w:val="6CD00095"/>
    <w:rsid w:val="6CDA4BE4"/>
    <w:rsid w:val="6CEB001F"/>
    <w:rsid w:val="6D4443F6"/>
    <w:rsid w:val="6D8136A6"/>
    <w:rsid w:val="6D8F33F5"/>
    <w:rsid w:val="6D992400"/>
    <w:rsid w:val="6D9E6B7F"/>
    <w:rsid w:val="6DA04FF8"/>
    <w:rsid w:val="6DA24B6A"/>
    <w:rsid w:val="6DD82210"/>
    <w:rsid w:val="6E00567E"/>
    <w:rsid w:val="6E291F70"/>
    <w:rsid w:val="6E3034D4"/>
    <w:rsid w:val="6E8B2A5A"/>
    <w:rsid w:val="6EC1066D"/>
    <w:rsid w:val="6ED20D4C"/>
    <w:rsid w:val="6F460F55"/>
    <w:rsid w:val="6F502DFC"/>
    <w:rsid w:val="6F5F1A4D"/>
    <w:rsid w:val="6F7A600A"/>
    <w:rsid w:val="6FA11E92"/>
    <w:rsid w:val="6FAC0343"/>
    <w:rsid w:val="6FFC334A"/>
    <w:rsid w:val="6FFE63C8"/>
    <w:rsid w:val="70140974"/>
    <w:rsid w:val="7014668C"/>
    <w:rsid w:val="70146C33"/>
    <w:rsid w:val="70412B6A"/>
    <w:rsid w:val="707D6E82"/>
    <w:rsid w:val="709007B2"/>
    <w:rsid w:val="7092523D"/>
    <w:rsid w:val="709F35A8"/>
    <w:rsid w:val="70A120A4"/>
    <w:rsid w:val="70AD441B"/>
    <w:rsid w:val="70C66713"/>
    <w:rsid w:val="70EA4DD3"/>
    <w:rsid w:val="70FB261D"/>
    <w:rsid w:val="71495547"/>
    <w:rsid w:val="71814B45"/>
    <w:rsid w:val="72326093"/>
    <w:rsid w:val="723C5A19"/>
    <w:rsid w:val="72591101"/>
    <w:rsid w:val="725A0BA1"/>
    <w:rsid w:val="72653CBC"/>
    <w:rsid w:val="72BB55A3"/>
    <w:rsid w:val="72C93C77"/>
    <w:rsid w:val="72DE35A5"/>
    <w:rsid w:val="72E42C8E"/>
    <w:rsid w:val="72FF1D96"/>
    <w:rsid w:val="731A2848"/>
    <w:rsid w:val="738A768B"/>
    <w:rsid w:val="73AC2DC7"/>
    <w:rsid w:val="73B833DA"/>
    <w:rsid w:val="73DD1AB1"/>
    <w:rsid w:val="73EC489A"/>
    <w:rsid w:val="743B678B"/>
    <w:rsid w:val="743F4498"/>
    <w:rsid w:val="745B4840"/>
    <w:rsid w:val="745E3FF9"/>
    <w:rsid w:val="745F7A22"/>
    <w:rsid w:val="74811530"/>
    <w:rsid w:val="749D20B2"/>
    <w:rsid w:val="74B62489"/>
    <w:rsid w:val="74B6433F"/>
    <w:rsid w:val="74BC56E5"/>
    <w:rsid w:val="74CE5D65"/>
    <w:rsid w:val="74F601C3"/>
    <w:rsid w:val="75292673"/>
    <w:rsid w:val="759558B0"/>
    <w:rsid w:val="762B794B"/>
    <w:rsid w:val="764A3F8A"/>
    <w:rsid w:val="7687603F"/>
    <w:rsid w:val="76BA7742"/>
    <w:rsid w:val="76C326A8"/>
    <w:rsid w:val="76FC54E9"/>
    <w:rsid w:val="77020454"/>
    <w:rsid w:val="770F1A1E"/>
    <w:rsid w:val="771F2F04"/>
    <w:rsid w:val="7751765A"/>
    <w:rsid w:val="776A17B8"/>
    <w:rsid w:val="77A246FF"/>
    <w:rsid w:val="77DF0628"/>
    <w:rsid w:val="78323D7E"/>
    <w:rsid w:val="786075CE"/>
    <w:rsid w:val="78714172"/>
    <w:rsid w:val="78AD3873"/>
    <w:rsid w:val="791D35C8"/>
    <w:rsid w:val="791D456F"/>
    <w:rsid w:val="79772BDB"/>
    <w:rsid w:val="799A633A"/>
    <w:rsid w:val="79A3566C"/>
    <w:rsid w:val="79A7075D"/>
    <w:rsid w:val="7A000A4C"/>
    <w:rsid w:val="7A437FAC"/>
    <w:rsid w:val="7A6A646C"/>
    <w:rsid w:val="7A6B0CD2"/>
    <w:rsid w:val="7A990D20"/>
    <w:rsid w:val="7AC91EE6"/>
    <w:rsid w:val="7AD5340D"/>
    <w:rsid w:val="7AD9139A"/>
    <w:rsid w:val="7AF02330"/>
    <w:rsid w:val="7AFD233F"/>
    <w:rsid w:val="7B150BA0"/>
    <w:rsid w:val="7B160EF1"/>
    <w:rsid w:val="7B2D43F0"/>
    <w:rsid w:val="7B744C30"/>
    <w:rsid w:val="7B7D178E"/>
    <w:rsid w:val="7B9A71DE"/>
    <w:rsid w:val="7BCE6E9D"/>
    <w:rsid w:val="7BD31E4E"/>
    <w:rsid w:val="7BDC213F"/>
    <w:rsid w:val="7C094A67"/>
    <w:rsid w:val="7C23208C"/>
    <w:rsid w:val="7C2B3DCB"/>
    <w:rsid w:val="7C580FB2"/>
    <w:rsid w:val="7C6C7056"/>
    <w:rsid w:val="7CBA5253"/>
    <w:rsid w:val="7CE9373E"/>
    <w:rsid w:val="7D0907DA"/>
    <w:rsid w:val="7D4C2C86"/>
    <w:rsid w:val="7D5F58C0"/>
    <w:rsid w:val="7DA15FA2"/>
    <w:rsid w:val="7DCB202B"/>
    <w:rsid w:val="7DCE2947"/>
    <w:rsid w:val="7DF8759D"/>
    <w:rsid w:val="7E275299"/>
    <w:rsid w:val="7E2D7CF4"/>
    <w:rsid w:val="7E6B1C77"/>
    <w:rsid w:val="7EBC1A94"/>
    <w:rsid w:val="7EC45482"/>
    <w:rsid w:val="7ECB0947"/>
    <w:rsid w:val="7F0D6008"/>
    <w:rsid w:val="7F0F0536"/>
    <w:rsid w:val="7F465BCE"/>
    <w:rsid w:val="7F6A1281"/>
    <w:rsid w:val="7F8B714F"/>
    <w:rsid w:val="7F993EE6"/>
    <w:rsid w:val="7FA6090F"/>
    <w:rsid w:val="7FAF3507"/>
    <w:rsid w:val="7FC160A2"/>
    <w:rsid w:val="7FE5538E"/>
    <w:rsid w:val="7FF8632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ocked="1"/>
    <w:lsdException w:qFormat="1" w:unhideWhenUsed="0" w:uiPriority="99" w:semiHidden="0" w:name="toc 5" w:locked="1"/>
    <w:lsdException w:qFormat="1" w:unhideWhenUsed="0" w:uiPriority="99" w:semiHidden="0" w:name="toc 6" w:locked="1"/>
    <w:lsdException w:qFormat="1" w:unhideWhenUsed="0" w:uiPriority="99" w:semiHidden="0" w:name="toc 7" w:locked="1"/>
    <w:lsdException w:qFormat="1" w:unhideWhenUsed="0" w:uiPriority="99" w:semiHidden="0" w:name="toc 8" w:locked="1"/>
    <w:lsdException w:qFormat="1" w:unhideWhenUsed="0" w:uiPriority="99" w:semiHidden="0" w:name="toc 9" w:locked="1"/>
    <w:lsdException w:qFormat="1" w:uiPriority="0" w:semiHidden="0" w:name="Normal Indent" w:locked="1"/>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ocked="1"/>
    <w:lsdException w:qFormat="1" w:unhideWhenUsed="0" w:uiPriority="99" w:semiHidden="0" w:name="caption" w:locked="1"/>
    <w:lsdException w:uiPriority="0" w:name="table of figures" w:locked="1"/>
    <w:lsdException w:uiPriority="0" w:name="envelope address" w:locked="1"/>
    <w:lsdException w:uiPriority="0" w:name="envelope return" w:locked="1"/>
    <w:lsdException w:qFormat="1" w:unhideWhenUsed="0" w:uiPriority="99" w:semiHidden="0" w:name="footnote reference"/>
    <w:lsdException w:qFormat="1" w:unhideWhenUsed="0" w:uiPriority="99" w:semiHidden="0"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qFormat="1" w:unhideWhenUsed="0" w:uiPriority="99" w:name="toa heading"/>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ocked="1"/>
    <w:lsdException w:uiPriority="0" w:name="Closing" w:locked="1"/>
    <w:lsdException w:uiPriority="0"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99" w:semiHidden="0" w:name="Subtitle" w:locked="1"/>
    <w:lsdException w:uiPriority="0" w:name="Salutation" w:locked="1"/>
    <w:lsdException w:qFormat="1" w:unhideWhenUsed="0" w:uiPriority="99" w:semiHidden="0" w:name="Date"/>
    <w:lsdException w:uiPriority="0" w:name="Body Text First Indent" w:locked="1"/>
    <w:lsdException w:qFormat="1" w:uiPriority="0" w:semiHidden="0" w:name="Body Text First Indent 2" w:locked="1"/>
    <w:lsdException w:uiPriority="0" w:name="Note Heading" w:locked="1"/>
    <w:lsdException w:qFormat="1" w:unhideWhenUsed="0" w:uiPriority="99" w:semiHidden="0" w:name="Body Text 2"/>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ocked="1"/>
    <w:lsdException w:qFormat="1" w:unhideWhenUsed="0" w:uiPriority="99" w:semiHidden="0" w:name="Document Map"/>
    <w:lsdException w:qFormat="1" w:unhideWhenUsed="0" w:uiPriority="99" w:semiHidden="0" w:name="Plain Text"/>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qFormat="1" w:unhideWhenUsed="0" w:uiPriority="99"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nhideWhenUsed="0" w:uiPriority="0" w:semiHidden="0" w:name="Table Web 3" w:locked="1"/>
    <w:lsdException w:qFormat="1" w:unhideWhenUsed="0" w:uiPriority="99" w:semiHidden="0"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3"/>
    <w:qFormat/>
    <w:uiPriority w:val="99"/>
    <w:pPr>
      <w:keepNext/>
      <w:keepLines/>
      <w:spacing w:before="120" w:after="60" w:line="500" w:lineRule="exact"/>
      <w:ind w:firstLine="800" w:firstLineChars="200"/>
      <w:outlineLvl w:val="0"/>
    </w:pPr>
    <w:rPr>
      <w:rFonts w:ascii="Times New Roman" w:hAnsi="Times New Roman" w:eastAsia="仿宋_GB2312" w:cs="Times New Roman"/>
      <w:b/>
      <w:bCs/>
      <w:color w:val="000000"/>
      <w:sz w:val="32"/>
      <w:szCs w:val="28"/>
    </w:rPr>
  </w:style>
  <w:style w:type="paragraph" w:styleId="3">
    <w:name w:val="heading 2"/>
    <w:basedOn w:val="1"/>
    <w:next w:val="1"/>
    <w:link w:val="144"/>
    <w:qFormat/>
    <w:uiPriority w:val="99"/>
    <w:pPr>
      <w:keepNext/>
      <w:keepLines/>
      <w:spacing w:before="120" w:after="60" w:line="500" w:lineRule="exact"/>
      <w:ind w:firstLine="800" w:firstLineChars="200"/>
      <w:outlineLvl w:val="1"/>
    </w:pPr>
    <w:rPr>
      <w:rFonts w:ascii="Times New Roman" w:hAnsi="Times New Roman" w:eastAsia="仿宋_GB2312" w:cs="Times New Roman"/>
      <w:b/>
      <w:bCs/>
      <w:color w:val="000000"/>
      <w:sz w:val="30"/>
      <w:szCs w:val="26"/>
    </w:rPr>
  </w:style>
  <w:style w:type="paragraph" w:styleId="4">
    <w:name w:val="heading 3"/>
    <w:basedOn w:val="1"/>
    <w:next w:val="1"/>
    <w:link w:val="145"/>
    <w:qFormat/>
    <w:uiPriority w:val="99"/>
    <w:pPr>
      <w:keepNext/>
      <w:keepLines/>
      <w:spacing w:before="120" w:after="60" w:line="500" w:lineRule="exact"/>
      <w:ind w:firstLine="800" w:firstLineChars="200"/>
      <w:outlineLvl w:val="2"/>
    </w:pPr>
    <w:rPr>
      <w:rFonts w:ascii="Times New Roman" w:hAnsi="Times New Roman" w:eastAsia="仿宋_GB2312" w:cs="Times New Roman"/>
      <w:b/>
      <w:bCs/>
      <w:color w:val="000000"/>
      <w:sz w:val="28"/>
      <w:szCs w:val="20"/>
    </w:rPr>
  </w:style>
  <w:style w:type="paragraph" w:styleId="5">
    <w:name w:val="heading 4"/>
    <w:basedOn w:val="1"/>
    <w:next w:val="1"/>
    <w:link w:val="146"/>
    <w:qFormat/>
    <w:locked/>
    <w:uiPriority w:val="99"/>
    <w:pPr>
      <w:keepNext/>
      <w:keepLines/>
      <w:spacing w:before="200"/>
      <w:outlineLvl w:val="3"/>
    </w:pPr>
    <w:rPr>
      <w:rFonts w:ascii="Cambria" w:hAnsi="Cambria" w:cs="Times New Roman"/>
      <w:b/>
      <w:bCs/>
      <w:i/>
      <w:iCs/>
      <w:color w:val="4F81BD"/>
      <w:sz w:val="20"/>
      <w:szCs w:val="20"/>
    </w:rPr>
  </w:style>
  <w:style w:type="paragraph" w:styleId="6">
    <w:name w:val="heading 5"/>
    <w:basedOn w:val="1"/>
    <w:next w:val="1"/>
    <w:link w:val="147"/>
    <w:qFormat/>
    <w:locked/>
    <w:uiPriority w:val="99"/>
    <w:pPr>
      <w:keepNext/>
      <w:keepLines/>
      <w:spacing w:before="200"/>
      <w:outlineLvl w:val="4"/>
    </w:pPr>
    <w:rPr>
      <w:rFonts w:ascii="Cambria" w:hAnsi="Cambria" w:cs="Times New Roman"/>
      <w:color w:val="244061"/>
      <w:sz w:val="20"/>
      <w:szCs w:val="20"/>
    </w:rPr>
  </w:style>
  <w:style w:type="paragraph" w:styleId="7">
    <w:name w:val="heading 6"/>
    <w:basedOn w:val="1"/>
    <w:next w:val="1"/>
    <w:link w:val="148"/>
    <w:qFormat/>
    <w:locked/>
    <w:uiPriority w:val="99"/>
    <w:pPr>
      <w:keepNext/>
      <w:keepLines/>
      <w:spacing w:before="200"/>
      <w:outlineLvl w:val="5"/>
    </w:pPr>
    <w:rPr>
      <w:rFonts w:ascii="Cambria" w:hAnsi="Cambria" w:cs="Times New Roman"/>
      <w:i/>
      <w:iCs/>
      <w:color w:val="244061"/>
      <w:sz w:val="20"/>
      <w:szCs w:val="20"/>
    </w:rPr>
  </w:style>
  <w:style w:type="paragraph" w:styleId="8">
    <w:name w:val="heading 7"/>
    <w:basedOn w:val="1"/>
    <w:next w:val="1"/>
    <w:link w:val="149"/>
    <w:qFormat/>
    <w:locked/>
    <w:uiPriority w:val="99"/>
    <w:pPr>
      <w:keepNext/>
      <w:keepLines/>
      <w:spacing w:before="200"/>
      <w:outlineLvl w:val="6"/>
    </w:pPr>
    <w:rPr>
      <w:rFonts w:ascii="Cambria" w:hAnsi="Cambria" w:cs="Times New Roman"/>
      <w:i/>
      <w:iCs/>
      <w:color w:val="404040"/>
      <w:sz w:val="20"/>
      <w:szCs w:val="20"/>
    </w:rPr>
  </w:style>
  <w:style w:type="paragraph" w:styleId="9">
    <w:name w:val="heading 8"/>
    <w:basedOn w:val="1"/>
    <w:next w:val="1"/>
    <w:link w:val="150"/>
    <w:qFormat/>
    <w:locked/>
    <w:uiPriority w:val="99"/>
    <w:pPr>
      <w:keepNext/>
      <w:keepLines/>
      <w:spacing w:before="200"/>
      <w:outlineLvl w:val="7"/>
    </w:pPr>
    <w:rPr>
      <w:rFonts w:ascii="Cambria" w:hAnsi="Cambria" w:cs="Times New Roman"/>
      <w:color w:val="4F81BD"/>
      <w:sz w:val="20"/>
      <w:szCs w:val="20"/>
    </w:rPr>
  </w:style>
  <w:style w:type="paragraph" w:styleId="10">
    <w:name w:val="heading 9"/>
    <w:basedOn w:val="1"/>
    <w:next w:val="1"/>
    <w:link w:val="151"/>
    <w:qFormat/>
    <w:locked/>
    <w:uiPriority w:val="99"/>
    <w:pPr>
      <w:keepNext/>
      <w:keepLines/>
      <w:spacing w:before="200"/>
      <w:outlineLvl w:val="8"/>
    </w:pPr>
    <w:rPr>
      <w:rFonts w:ascii="Cambria" w:hAnsi="Cambria" w:cs="Times New Roman"/>
      <w:i/>
      <w:iCs/>
      <w:color w:val="404040"/>
      <w:sz w:val="20"/>
      <w:szCs w:val="20"/>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locked/>
    <w:uiPriority w:val="99"/>
    <w:pPr>
      <w:widowControl w:val="0"/>
      <w:spacing w:line="560" w:lineRule="exact"/>
      <w:ind w:left="1920" w:firstLine="200" w:firstLineChars="200"/>
    </w:pPr>
    <w:rPr>
      <w:rFonts w:ascii="Calibri" w:hAnsi="Calibri" w:eastAsia="仿宋" w:cs="Times New Roman"/>
      <w:kern w:val="2"/>
      <w:sz w:val="18"/>
      <w:szCs w:val="18"/>
    </w:rPr>
  </w:style>
  <w:style w:type="paragraph" w:styleId="12">
    <w:name w:val="Normal Indent"/>
    <w:basedOn w:val="1"/>
    <w:next w:val="1"/>
    <w:unhideWhenUsed/>
    <w:qFormat/>
    <w:locked/>
    <w:uiPriority w:val="0"/>
    <w:pPr>
      <w:ind w:firstLine="420" w:firstLineChars="200"/>
    </w:pPr>
  </w:style>
  <w:style w:type="paragraph" w:styleId="13">
    <w:name w:val="caption"/>
    <w:basedOn w:val="1"/>
    <w:next w:val="1"/>
    <w:qFormat/>
    <w:locked/>
    <w:uiPriority w:val="99"/>
    <w:rPr>
      <w:b/>
      <w:bCs/>
      <w:color w:val="4F81BD"/>
      <w:sz w:val="18"/>
      <w:szCs w:val="18"/>
    </w:rPr>
  </w:style>
  <w:style w:type="paragraph" w:styleId="14">
    <w:name w:val="Document Map"/>
    <w:basedOn w:val="1"/>
    <w:link w:val="154"/>
    <w:qFormat/>
    <w:uiPriority w:val="99"/>
    <w:rPr>
      <w:rFonts w:ascii="Microsoft YaHei UI" w:hAnsi="Times New Roman" w:eastAsia="Microsoft YaHei UI" w:cs="Times New Roman"/>
      <w:sz w:val="18"/>
      <w:szCs w:val="18"/>
    </w:rPr>
  </w:style>
  <w:style w:type="paragraph" w:styleId="15">
    <w:name w:val="toa heading"/>
    <w:basedOn w:val="1"/>
    <w:next w:val="1"/>
    <w:semiHidden/>
    <w:qFormat/>
    <w:uiPriority w:val="99"/>
    <w:pPr>
      <w:widowControl w:val="0"/>
      <w:spacing w:before="120"/>
      <w:jc w:val="both"/>
    </w:pPr>
    <w:rPr>
      <w:rFonts w:ascii="Arial" w:hAnsi="Arial" w:cs="Arial"/>
      <w:kern w:val="2"/>
    </w:rPr>
  </w:style>
  <w:style w:type="paragraph" w:styleId="16">
    <w:name w:val="annotation text"/>
    <w:basedOn w:val="1"/>
    <w:link w:val="152"/>
    <w:qFormat/>
    <w:uiPriority w:val="99"/>
    <w:rPr>
      <w:rFonts w:ascii="Times New Roman" w:hAnsi="Times New Roman" w:cs="Times New Roman"/>
      <w:sz w:val="20"/>
      <w:szCs w:val="20"/>
    </w:rPr>
  </w:style>
  <w:style w:type="paragraph" w:styleId="17">
    <w:name w:val="Body Text"/>
    <w:basedOn w:val="1"/>
    <w:link w:val="155"/>
    <w:qFormat/>
    <w:uiPriority w:val="99"/>
    <w:pPr>
      <w:widowControl w:val="0"/>
      <w:spacing w:after="120"/>
      <w:jc w:val="both"/>
    </w:pPr>
    <w:rPr>
      <w:rFonts w:ascii="Times New Roman" w:hAnsi="Times New Roman" w:cs="Times New Roman"/>
      <w:kern w:val="2"/>
      <w:sz w:val="21"/>
      <w:szCs w:val="22"/>
    </w:rPr>
  </w:style>
  <w:style w:type="paragraph" w:styleId="18">
    <w:name w:val="Body Text Indent"/>
    <w:basedOn w:val="1"/>
    <w:link w:val="156"/>
    <w:qFormat/>
    <w:uiPriority w:val="99"/>
    <w:pPr>
      <w:widowControl w:val="0"/>
      <w:spacing w:after="120"/>
      <w:ind w:left="420" w:leftChars="200"/>
      <w:jc w:val="both"/>
    </w:pPr>
    <w:rPr>
      <w:rFonts w:ascii="Times New Roman" w:hAnsi="Times New Roman" w:cs="Times New Roman"/>
      <w:sz w:val="20"/>
      <w:szCs w:val="21"/>
    </w:rPr>
  </w:style>
  <w:style w:type="paragraph" w:styleId="19">
    <w:name w:val="toc 5"/>
    <w:basedOn w:val="1"/>
    <w:next w:val="1"/>
    <w:qFormat/>
    <w:locked/>
    <w:uiPriority w:val="99"/>
    <w:pPr>
      <w:widowControl w:val="0"/>
      <w:spacing w:line="560" w:lineRule="exact"/>
      <w:ind w:left="1280" w:firstLine="200" w:firstLineChars="200"/>
    </w:pPr>
    <w:rPr>
      <w:rFonts w:ascii="Calibri" w:hAnsi="Calibri" w:eastAsia="仿宋" w:cs="Times New Roman"/>
      <w:kern w:val="2"/>
      <w:sz w:val="18"/>
      <w:szCs w:val="18"/>
    </w:rPr>
  </w:style>
  <w:style w:type="paragraph" w:styleId="20">
    <w:name w:val="toc 3"/>
    <w:basedOn w:val="1"/>
    <w:next w:val="1"/>
    <w:qFormat/>
    <w:uiPriority w:val="99"/>
    <w:pPr>
      <w:spacing w:after="100" w:line="259" w:lineRule="auto"/>
      <w:ind w:left="440"/>
    </w:pPr>
  </w:style>
  <w:style w:type="paragraph" w:styleId="21">
    <w:name w:val="Plain Text"/>
    <w:basedOn w:val="1"/>
    <w:link w:val="157"/>
    <w:qFormat/>
    <w:uiPriority w:val="99"/>
    <w:pPr>
      <w:widowControl w:val="0"/>
      <w:jc w:val="both"/>
    </w:pPr>
    <w:rPr>
      <w:rFonts w:hAnsi="Courier New" w:cs="Times New Roman"/>
      <w:kern w:val="2"/>
      <w:sz w:val="21"/>
      <w:szCs w:val="21"/>
    </w:rPr>
  </w:style>
  <w:style w:type="paragraph" w:styleId="22">
    <w:name w:val="toc 8"/>
    <w:basedOn w:val="1"/>
    <w:next w:val="1"/>
    <w:qFormat/>
    <w:locked/>
    <w:uiPriority w:val="99"/>
    <w:pPr>
      <w:widowControl w:val="0"/>
      <w:spacing w:line="560" w:lineRule="exact"/>
      <w:ind w:left="2240" w:firstLine="200" w:firstLineChars="200"/>
    </w:pPr>
    <w:rPr>
      <w:rFonts w:ascii="Calibri" w:hAnsi="Calibri" w:eastAsia="仿宋" w:cs="Times New Roman"/>
      <w:kern w:val="2"/>
      <w:sz w:val="18"/>
      <w:szCs w:val="18"/>
    </w:rPr>
  </w:style>
  <w:style w:type="paragraph" w:styleId="23">
    <w:name w:val="Date"/>
    <w:basedOn w:val="1"/>
    <w:next w:val="1"/>
    <w:link w:val="158"/>
    <w:qFormat/>
    <w:uiPriority w:val="99"/>
    <w:pPr>
      <w:widowControl w:val="0"/>
      <w:ind w:left="100" w:leftChars="2500"/>
      <w:jc w:val="both"/>
    </w:pPr>
    <w:rPr>
      <w:rFonts w:ascii="Times New Roman" w:hAnsi="Times New Roman" w:cs="Times New Roman"/>
      <w:kern w:val="2"/>
      <w:sz w:val="21"/>
      <w:szCs w:val="22"/>
    </w:rPr>
  </w:style>
  <w:style w:type="paragraph" w:styleId="24">
    <w:name w:val="Balloon Text"/>
    <w:basedOn w:val="1"/>
    <w:link w:val="159"/>
    <w:qFormat/>
    <w:uiPriority w:val="99"/>
    <w:rPr>
      <w:rFonts w:ascii="Times New Roman" w:hAnsi="Times New Roman" w:cs="Times New Roman"/>
      <w:sz w:val="18"/>
      <w:szCs w:val="20"/>
    </w:rPr>
  </w:style>
  <w:style w:type="paragraph" w:styleId="25">
    <w:name w:val="footer"/>
    <w:basedOn w:val="1"/>
    <w:link w:val="160"/>
    <w:qFormat/>
    <w:uiPriority w:val="99"/>
    <w:pPr>
      <w:tabs>
        <w:tab w:val="center" w:pos="4153"/>
        <w:tab w:val="right" w:pos="8306"/>
      </w:tabs>
      <w:snapToGrid w:val="0"/>
    </w:pPr>
    <w:rPr>
      <w:rFonts w:ascii="Times New Roman" w:hAnsi="Times New Roman" w:cs="Times New Roman"/>
      <w:sz w:val="18"/>
      <w:szCs w:val="20"/>
    </w:rPr>
  </w:style>
  <w:style w:type="paragraph" w:styleId="26">
    <w:name w:val="header"/>
    <w:basedOn w:val="1"/>
    <w:link w:val="161"/>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20"/>
    </w:rPr>
  </w:style>
  <w:style w:type="paragraph" w:styleId="27">
    <w:name w:val="toc 1"/>
    <w:basedOn w:val="1"/>
    <w:next w:val="1"/>
    <w:qFormat/>
    <w:uiPriority w:val="99"/>
    <w:pPr>
      <w:tabs>
        <w:tab w:val="right" w:leader="dot" w:pos="8296"/>
      </w:tabs>
      <w:spacing w:line="500" w:lineRule="exact"/>
    </w:pPr>
    <w:rPr>
      <w:b/>
      <w:sz w:val="30"/>
      <w:szCs w:val="30"/>
    </w:rPr>
  </w:style>
  <w:style w:type="paragraph" w:styleId="28">
    <w:name w:val="toc 4"/>
    <w:basedOn w:val="1"/>
    <w:next w:val="1"/>
    <w:qFormat/>
    <w:locked/>
    <w:uiPriority w:val="99"/>
    <w:pPr>
      <w:widowControl w:val="0"/>
      <w:spacing w:line="560" w:lineRule="exact"/>
      <w:ind w:left="960" w:firstLine="200" w:firstLineChars="200"/>
    </w:pPr>
    <w:rPr>
      <w:rFonts w:ascii="Calibri" w:hAnsi="Calibri" w:eastAsia="仿宋" w:cs="Times New Roman"/>
      <w:kern w:val="2"/>
      <w:sz w:val="18"/>
      <w:szCs w:val="18"/>
    </w:rPr>
  </w:style>
  <w:style w:type="paragraph" w:styleId="29">
    <w:name w:val="Subtitle"/>
    <w:basedOn w:val="1"/>
    <w:next w:val="1"/>
    <w:link w:val="162"/>
    <w:qFormat/>
    <w:locked/>
    <w:uiPriority w:val="99"/>
    <w:rPr>
      <w:rFonts w:ascii="Cambria" w:hAnsi="Cambria" w:cs="Times New Roman"/>
      <w:i/>
      <w:iCs/>
      <w:color w:val="4F81BD"/>
      <w:spacing w:val="15"/>
    </w:rPr>
  </w:style>
  <w:style w:type="paragraph" w:styleId="30">
    <w:name w:val="footnote text"/>
    <w:basedOn w:val="1"/>
    <w:link w:val="163"/>
    <w:qFormat/>
    <w:uiPriority w:val="99"/>
    <w:pPr>
      <w:snapToGrid w:val="0"/>
      <w:ind w:firstLine="600" w:firstLineChars="200"/>
    </w:pPr>
    <w:rPr>
      <w:rFonts w:ascii="Calibri" w:hAnsi="Calibri" w:eastAsia="仿宋_GB2312" w:cs="Times New Roman"/>
      <w:sz w:val="18"/>
      <w:szCs w:val="20"/>
    </w:rPr>
  </w:style>
  <w:style w:type="paragraph" w:styleId="31">
    <w:name w:val="toc 6"/>
    <w:basedOn w:val="1"/>
    <w:next w:val="1"/>
    <w:qFormat/>
    <w:locked/>
    <w:uiPriority w:val="99"/>
    <w:pPr>
      <w:widowControl w:val="0"/>
      <w:spacing w:line="560" w:lineRule="exact"/>
      <w:ind w:left="1600" w:firstLine="200" w:firstLineChars="200"/>
    </w:pPr>
    <w:rPr>
      <w:rFonts w:ascii="Calibri" w:hAnsi="Calibri" w:eastAsia="仿宋" w:cs="Times New Roman"/>
      <w:kern w:val="2"/>
      <w:sz w:val="18"/>
      <w:szCs w:val="18"/>
    </w:rPr>
  </w:style>
  <w:style w:type="paragraph" w:styleId="32">
    <w:name w:val="toc 2"/>
    <w:basedOn w:val="1"/>
    <w:next w:val="1"/>
    <w:qFormat/>
    <w:uiPriority w:val="99"/>
    <w:pPr>
      <w:spacing w:after="100" w:line="259" w:lineRule="auto"/>
      <w:ind w:left="220"/>
    </w:pPr>
  </w:style>
  <w:style w:type="paragraph" w:styleId="33">
    <w:name w:val="toc 9"/>
    <w:basedOn w:val="1"/>
    <w:next w:val="1"/>
    <w:qFormat/>
    <w:locked/>
    <w:uiPriority w:val="99"/>
    <w:pPr>
      <w:widowControl w:val="0"/>
      <w:spacing w:line="560" w:lineRule="exact"/>
      <w:ind w:left="2560" w:firstLine="200" w:firstLineChars="200"/>
    </w:pPr>
    <w:rPr>
      <w:rFonts w:ascii="Calibri" w:hAnsi="Calibri" w:eastAsia="仿宋" w:cs="Times New Roman"/>
      <w:kern w:val="2"/>
      <w:sz w:val="18"/>
      <w:szCs w:val="18"/>
    </w:rPr>
  </w:style>
  <w:style w:type="paragraph" w:styleId="34">
    <w:name w:val="Body Text 2"/>
    <w:basedOn w:val="1"/>
    <w:link w:val="164"/>
    <w:qFormat/>
    <w:uiPriority w:val="99"/>
    <w:pPr>
      <w:widowControl w:val="0"/>
      <w:spacing w:after="120" w:line="480" w:lineRule="auto"/>
      <w:jc w:val="both"/>
    </w:pPr>
    <w:rPr>
      <w:rFonts w:ascii="Times New Roman" w:hAnsi="Times New Roman" w:cs="Times New Roman"/>
      <w:kern w:val="2"/>
      <w:sz w:val="21"/>
    </w:rPr>
  </w:style>
  <w:style w:type="paragraph" w:styleId="35">
    <w:name w:val="Normal (Web)"/>
    <w:basedOn w:val="1"/>
    <w:qFormat/>
    <w:uiPriority w:val="99"/>
    <w:pPr>
      <w:spacing w:before="100" w:beforeAutospacing="1" w:after="100" w:afterAutospacing="1"/>
    </w:pPr>
  </w:style>
  <w:style w:type="paragraph" w:styleId="36">
    <w:name w:val="Title"/>
    <w:basedOn w:val="1"/>
    <w:next w:val="1"/>
    <w:link w:val="165"/>
    <w:qFormat/>
    <w:locked/>
    <w:uiPriority w:val="99"/>
    <w:pPr>
      <w:pBdr>
        <w:bottom w:val="single" w:color="4F81BD" w:sz="8" w:space="4"/>
      </w:pBdr>
      <w:spacing w:after="300"/>
      <w:contextualSpacing/>
    </w:pPr>
    <w:rPr>
      <w:rFonts w:ascii="Cambria" w:hAnsi="Cambria" w:cs="Times New Roman"/>
      <w:color w:val="17365D"/>
      <w:spacing w:val="5"/>
      <w:sz w:val="52"/>
      <w:szCs w:val="52"/>
    </w:rPr>
  </w:style>
  <w:style w:type="paragraph" w:styleId="37">
    <w:name w:val="annotation subject"/>
    <w:basedOn w:val="16"/>
    <w:next w:val="16"/>
    <w:link w:val="153"/>
    <w:qFormat/>
    <w:uiPriority w:val="99"/>
    <w:rPr>
      <w:b/>
    </w:rPr>
  </w:style>
  <w:style w:type="paragraph" w:styleId="38">
    <w:name w:val="Body Text First Indent 2"/>
    <w:basedOn w:val="17"/>
    <w:unhideWhenUsed/>
    <w:qFormat/>
    <w:locked/>
    <w:uiPriority w:val="0"/>
    <w:pPr>
      <w:ind w:left="420" w:leftChars="200" w:firstLine="420" w:firstLineChars="200"/>
    </w:pPr>
    <w:rPr>
      <w:szCs w:val="24"/>
    </w:rPr>
  </w:style>
  <w:style w:type="table" w:styleId="40">
    <w:name w:val="Table Grid"/>
    <w:basedOn w:val="3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99"/>
    <w:rPr>
      <w:rFonts w:cs="Times New Roman"/>
      <w:b/>
    </w:rPr>
  </w:style>
  <w:style w:type="character" w:styleId="43">
    <w:name w:val="page number"/>
    <w:basedOn w:val="41"/>
    <w:qFormat/>
    <w:uiPriority w:val="99"/>
    <w:rPr>
      <w:rFonts w:cs="Times New Roman"/>
    </w:rPr>
  </w:style>
  <w:style w:type="character" w:styleId="44">
    <w:name w:val="FollowedHyperlink"/>
    <w:basedOn w:val="41"/>
    <w:qFormat/>
    <w:uiPriority w:val="99"/>
    <w:rPr>
      <w:rFonts w:cs="Times New Roman"/>
      <w:color w:val="954F72"/>
      <w:u w:val="single"/>
    </w:rPr>
  </w:style>
  <w:style w:type="character" w:styleId="45">
    <w:name w:val="Emphasis"/>
    <w:basedOn w:val="41"/>
    <w:qFormat/>
    <w:locked/>
    <w:uiPriority w:val="99"/>
    <w:rPr>
      <w:rFonts w:cs="Times New Roman"/>
      <w:i/>
    </w:rPr>
  </w:style>
  <w:style w:type="character" w:styleId="46">
    <w:name w:val="Hyperlink"/>
    <w:basedOn w:val="41"/>
    <w:qFormat/>
    <w:uiPriority w:val="99"/>
    <w:rPr>
      <w:rFonts w:cs="Times New Roman"/>
      <w:color w:val="0000FF"/>
      <w:u w:val="single"/>
    </w:rPr>
  </w:style>
  <w:style w:type="character" w:styleId="47">
    <w:name w:val="annotation reference"/>
    <w:basedOn w:val="41"/>
    <w:qFormat/>
    <w:uiPriority w:val="99"/>
    <w:rPr>
      <w:rFonts w:cs="Times New Roman"/>
      <w:sz w:val="21"/>
    </w:rPr>
  </w:style>
  <w:style w:type="character" w:styleId="48">
    <w:name w:val="footnote reference"/>
    <w:basedOn w:val="41"/>
    <w:qFormat/>
    <w:uiPriority w:val="99"/>
    <w:rPr>
      <w:rFonts w:cs="Times New Roman"/>
      <w:vertAlign w:val="superscript"/>
    </w:rPr>
  </w:style>
  <w:style w:type="paragraph" w:customStyle="1" w:styleId="49">
    <w:name w:val="xl90"/>
    <w:basedOn w:val="1"/>
    <w:qFormat/>
    <w:uiPriority w:val="99"/>
    <w:pPr>
      <w:pBdr>
        <w:top w:val="single" w:color="auto" w:sz="4" w:space="0"/>
        <w:left w:val="single" w:color="auto" w:sz="4" w:space="0"/>
      </w:pBdr>
      <w:spacing w:before="100" w:beforeAutospacing="1" w:after="100" w:afterAutospacing="1"/>
      <w:jc w:val="center"/>
    </w:pPr>
    <w:rPr>
      <w:sz w:val="20"/>
      <w:szCs w:val="20"/>
    </w:rPr>
  </w:style>
  <w:style w:type="paragraph" w:customStyle="1" w:styleId="50">
    <w:name w:val="xl82"/>
    <w:basedOn w:val="1"/>
    <w:qFormat/>
    <w:uiPriority w:val="99"/>
    <w:pPr>
      <w:pBdr>
        <w:left w:val="single" w:color="auto" w:sz="4" w:space="0"/>
      </w:pBdr>
      <w:spacing w:before="100" w:beforeAutospacing="1" w:after="100" w:afterAutospacing="1"/>
      <w:jc w:val="center"/>
    </w:pPr>
    <w:rPr>
      <w:sz w:val="20"/>
      <w:szCs w:val="20"/>
    </w:rPr>
  </w:style>
  <w:style w:type="paragraph" w:customStyle="1" w:styleId="51">
    <w:name w:val="xl92"/>
    <w:basedOn w:val="1"/>
    <w:qFormat/>
    <w:uiPriority w:val="99"/>
    <w:pPr>
      <w:pBdr>
        <w:left w:val="single" w:color="auto" w:sz="4" w:space="0"/>
        <w:bottom w:val="single" w:color="auto" w:sz="4" w:space="0"/>
      </w:pBdr>
      <w:spacing w:before="100" w:beforeAutospacing="1" w:after="100" w:afterAutospacing="1"/>
      <w:jc w:val="center"/>
    </w:pPr>
    <w:rPr>
      <w:sz w:val="20"/>
      <w:szCs w:val="20"/>
    </w:rPr>
  </w:style>
  <w:style w:type="paragraph" w:customStyle="1" w:styleId="52">
    <w:name w:val="xl78"/>
    <w:basedOn w:val="1"/>
    <w:qFormat/>
    <w:uiPriority w:val="99"/>
    <w:pPr>
      <w:pBdr>
        <w:top w:val="single" w:color="auto" w:sz="4" w:space="0"/>
        <w:left w:val="single" w:color="auto" w:sz="4" w:space="0"/>
        <w:right w:val="single" w:color="auto" w:sz="4" w:space="0"/>
      </w:pBdr>
      <w:spacing w:before="100" w:beforeAutospacing="1" w:after="100" w:afterAutospacing="1"/>
      <w:jc w:val="center"/>
    </w:pPr>
    <w:rPr>
      <w:sz w:val="20"/>
      <w:szCs w:val="20"/>
    </w:rPr>
  </w:style>
  <w:style w:type="paragraph" w:customStyle="1" w:styleId="53">
    <w:name w:val="xl80"/>
    <w:basedOn w:val="1"/>
    <w:qFormat/>
    <w:uiPriority w:val="99"/>
    <w:pPr>
      <w:pBdr>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54">
    <w:name w:val="xl73"/>
    <w:basedOn w:val="1"/>
    <w:qFormat/>
    <w:uiPriority w:val="99"/>
    <w:pPr>
      <w:pBdr>
        <w:left w:val="single" w:color="auto" w:sz="4" w:space="0"/>
        <w:right w:val="single" w:color="auto" w:sz="4" w:space="0"/>
      </w:pBdr>
      <w:spacing w:before="100" w:beforeAutospacing="1" w:after="100" w:afterAutospacing="1"/>
      <w:jc w:val="center"/>
    </w:pPr>
    <w:rPr>
      <w:sz w:val="20"/>
      <w:szCs w:val="20"/>
    </w:rPr>
  </w:style>
  <w:style w:type="paragraph" w:customStyle="1" w:styleId="55">
    <w:name w:val="xl77"/>
    <w:basedOn w:val="1"/>
    <w:qFormat/>
    <w:uiPriority w:val="99"/>
    <w:pPr>
      <w:pBdr>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56">
    <w:name w:val="xl66"/>
    <w:basedOn w:val="1"/>
    <w:qFormat/>
    <w:uiPriority w:val="99"/>
    <w:pPr>
      <w:spacing w:before="100" w:beforeAutospacing="1" w:after="100" w:afterAutospacing="1"/>
      <w:jc w:val="center"/>
    </w:pPr>
  </w:style>
  <w:style w:type="paragraph" w:customStyle="1" w:styleId="57">
    <w:name w:val="111"/>
    <w:basedOn w:val="4"/>
    <w:link w:val="166"/>
    <w:qFormat/>
    <w:uiPriority w:val="99"/>
    <w:pPr>
      <w:outlineLvl w:val="0"/>
    </w:pPr>
    <w:rPr>
      <w:rFonts w:ascii="黑体" w:hAnsi="黑体" w:eastAsia="黑体"/>
      <w:b w:val="0"/>
      <w:bCs w:val="0"/>
      <w:color w:val="auto"/>
      <w:sz w:val="32"/>
    </w:rPr>
  </w:style>
  <w:style w:type="paragraph" w:customStyle="1" w:styleId="58">
    <w:name w:val="xl85"/>
    <w:basedOn w:val="1"/>
    <w:qFormat/>
    <w:uiPriority w:val="99"/>
    <w:pPr>
      <w:spacing w:before="100" w:beforeAutospacing="1" w:after="100" w:afterAutospacing="1"/>
      <w:jc w:val="center"/>
    </w:pPr>
    <w:rPr>
      <w:sz w:val="20"/>
      <w:szCs w:val="20"/>
    </w:rPr>
  </w:style>
  <w:style w:type="paragraph" w:customStyle="1" w:styleId="59">
    <w:name w:val="xl64"/>
    <w:basedOn w:val="1"/>
    <w:qFormat/>
    <w:uiPriority w:val="99"/>
    <w:pPr>
      <w:spacing w:before="100" w:beforeAutospacing="1" w:after="100" w:afterAutospacing="1"/>
      <w:jc w:val="center"/>
    </w:pPr>
    <w:rPr>
      <w:sz w:val="20"/>
      <w:szCs w:val="20"/>
    </w:rPr>
  </w:style>
  <w:style w:type="paragraph" w:customStyle="1" w:styleId="60">
    <w:name w:val="列出段落1"/>
    <w:basedOn w:val="1"/>
    <w:link w:val="167"/>
    <w:qFormat/>
    <w:uiPriority w:val="99"/>
    <w:pPr>
      <w:ind w:firstLine="420" w:firstLineChars="200"/>
    </w:pPr>
    <w:rPr>
      <w:rFonts w:ascii="Times New Roman" w:hAnsi="Times New Roman" w:cs="Times New Roman"/>
      <w:szCs w:val="20"/>
    </w:rPr>
  </w:style>
  <w:style w:type="paragraph" w:customStyle="1" w:styleId="61">
    <w:name w:val="xl86"/>
    <w:basedOn w:val="1"/>
    <w:qFormat/>
    <w:uiPriority w:val="99"/>
    <w:pPr>
      <w:pBdr>
        <w:bottom w:val="single" w:color="auto" w:sz="4" w:space="0"/>
      </w:pBdr>
      <w:spacing w:before="100" w:beforeAutospacing="1" w:after="100" w:afterAutospacing="1"/>
      <w:jc w:val="center"/>
    </w:pPr>
    <w:rPr>
      <w:sz w:val="20"/>
      <w:szCs w:val="20"/>
    </w:rPr>
  </w:style>
  <w:style w:type="paragraph" w:customStyle="1" w:styleId="62">
    <w:name w:val="xl84"/>
    <w:basedOn w:val="1"/>
    <w:qFormat/>
    <w:uiPriority w:val="99"/>
    <w:pPr>
      <w:pBdr>
        <w:top w:val="single" w:color="auto" w:sz="4" w:space="0"/>
      </w:pBdr>
      <w:spacing w:before="100" w:beforeAutospacing="1" w:after="100" w:afterAutospacing="1"/>
      <w:jc w:val="center"/>
    </w:pPr>
    <w:rPr>
      <w:sz w:val="20"/>
      <w:szCs w:val="20"/>
    </w:rPr>
  </w:style>
  <w:style w:type="paragraph" w:customStyle="1" w:styleId="63">
    <w:name w:val="修订1"/>
    <w:semiHidden/>
    <w:qFormat/>
    <w:uiPriority w:val="99"/>
    <w:pPr>
      <w:spacing w:after="200" w:line="276" w:lineRule="auto"/>
    </w:pPr>
    <w:rPr>
      <w:rFonts w:ascii="Calibri" w:hAnsi="Calibri" w:eastAsia="宋体" w:cs="Times New Roman"/>
      <w:kern w:val="2"/>
      <w:sz w:val="21"/>
      <w:szCs w:val="22"/>
      <w:lang w:val="en-US" w:eastAsia="zh-CN" w:bidi="ar-SA"/>
    </w:rPr>
  </w:style>
  <w:style w:type="paragraph" w:customStyle="1" w:styleId="64">
    <w:name w:val="xl69"/>
    <w:basedOn w:val="1"/>
    <w:qFormat/>
    <w:uiPriority w:val="99"/>
    <w:pPr>
      <w:spacing w:before="100" w:beforeAutospacing="1" w:after="100" w:afterAutospacing="1"/>
      <w:jc w:val="center"/>
    </w:pPr>
    <w:rPr>
      <w:color w:val="FF0000"/>
    </w:rPr>
  </w:style>
  <w:style w:type="paragraph" w:customStyle="1" w:styleId="65">
    <w:name w:val="xl68"/>
    <w:basedOn w:val="1"/>
    <w:qFormat/>
    <w:uiPriority w:val="99"/>
    <w:pPr>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sz w:val="20"/>
      <w:szCs w:val="20"/>
    </w:rPr>
  </w:style>
  <w:style w:type="paragraph" w:customStyle="1" w:styleId="66">
    <w:name w:val="xl70"/>
    <w:basedOn w:val="1"/>
    <w:qFormat/>
    <w:uiPriority w:val="99"/>
    <w:pPr>
      <w:pBdr>
        <w:top w:val="single" w:color="auto" w:sz="4" w:space="0"/>
        <w:left w:val="single" w:color="auto" w:sz="4" w:space="0"/>
        <w:right w:val="single" w:color="auto" w:sz="4" w:space="0"/>
      </w:pBdr>
      <w:shd w:val="clear" w:color="000000" w:fill="A6A6A6"/>
      <w:spacing w:before="100" w:beforeAutospacing="1" w:after="100" w:afterAutospacing="1"/>
      <w:jc w:val="center"/>
    </w:pPr>
    <w:rPr>
      <w:b/>
      <w:bCs/>
      <w:sz w:val="20"/>
      <w:szCs w:val="20"/>
    </w:rPr>
  </w:style>
  <w:style w:type="paragraph" w:customStyle="1" w:styleId="67">
    <w:name w:val="xl72"/>
    <w:basedOn w:val="1"/>
    <w:qFormat/>
    <w:uiPriority w:val="99"/>
    <w:pPr>
      <w:pBdr>
        <w:top w:val="single" w:color="auto" w:sz="4" w:space="0"/>
        <w:left w:val="single" w:color="auto" w:sz="4" w:space="0"/>
        <w:right w:val="single" w:color="auto" w:sz="4" w:space="0"/>
      </w:pBdr>
      <w:spacing w:before="100" w:beforeAutospacing="1" w:after="100" w:afterAutospacing="1"/>
      <w:jc w:val="center"/>
    </w:pPr>
    <w:rPr>
      <w:sz w:val="20"/>
      <w:szCs w:val="20"/>
    </w:rPr>
  </w:style>
  <w:style w:type="paragraph" w:customStyle="1" w:styleId="68">
    <w:name w:val="11"/>
    <w:basedOn w:val="3"/>
    <w:link w:val="168"/>
    <w:qFormat/>
    <w:uiPriority w:val="99"/>
    <w:pPr>
      <w:ind w:firstLine="200"/>
    </w:pPr>
    <w:rPr>
      <w:bCs w:val="0"/>
      <w:color w:val="auto"/>
      <w:sz w:val="32"/>
      <w:szCs w:val="20"/>
    </w:rPr>
  </w:style>
  <w:style w:type="paragraph" w:customStyle="1" w:styleId="69">
    <w:name w:val="TOC 标题1"/>
    <w:basedOn w:val="2"/>
    <w:next w:val="1"/>
    <w:qFormat/>
    <w:uiPriority w:val="99"/>
    <w:pPr>
      <w:spacing w:before="240" w:line="259" w:lineRule="auto"/>
      <w:outlineLvl w:val="9"/>
    </w:pPr>
    <w:rPr>
      <w:rFonts w:ascii="Calibri Light" w:hAnsi="Calibri Light"/>
      <w:b w:val="0"/>
      <w:bCs w:val="0"/>
      <w:color w:val="2E74B5"/>
      <w:szCs w:val="32"/>
    </w:rPr>
  </w:style>
  <w:style w:type="paragraph" w:customStyle="1" w:styleId="70">
    <w:name w:val="xl91"/>
    <w:basedOn w:val="1"/>
    <w:qFormat/>
    <w:uiPriority w:val="99"/>
    <w:pPr>
      <w:pBdr>
        <w:left w:val="single" w:color="auto" w:sz="4" w:space="0"/>
      </w:pBdr>
      <w:spacing w:before="100" w:beforeAutospacing="1" w:after="100" w:afterAutospacing="1"/>
      <w:jc w:val="center"/>
    </w:pPr>
    <w:rPr>
      <w:sz w:val="20"/>
      <w:szCs w:val="20"/>
    </w:rPr>
  </w:style>
  <w:style w:type="paragraph" w:customStyle="1" w:styleId="71">
    <w:name w:val="xl88"/>
    <w:basedOn w:val="1"/>
    <w:qFormat/>
    <w:uiPriority w:val="99"/>
    <w:pPr>
      <w:pBdr>
        <w:right w:val="single" w:color="auto" w:sz="4" w:space="0"/>
      </w:pBdr>
      <w:spacing w:before="100" w:beforeAutospacing="1" w:after="100" w:afterAutospacing="1"/>
      <w:jc w:val="center"/>
    </w:pPr>
    <w:rPr>
      <w:sz w:val="20"/>
      <w:szCs w:val="20"/>
    </w:rPr>
  </w:style>
  <w:style w:type="paragraph" w:customStyle="1" w:styleId="72">
    <w:name w:val="xl89"/>
    <w:basedOn w:val="1"/>
    <w:qFormat/>
    <w:uiPriority w:val="99"/>
    <w:pPr>
      <w:pBdr>
        <w:bottom w:val="single" w:color="auto" w:sz="4" w:space="0"/>
        <w:right w:val="single" w:color="auto" w:sz="4" w:space="0"/>
      </w:pBdr>
      <w:spacing w:before="100" w:beforeAutospacing="1" w:after="100" w:afterAutospacing="1"/>
      <w:jc w:val="center"/>
    </w:pPr>
    <w:rPr>
      <w:sz w:val="20"/>
      <w:szCs w:val="20"/>
    </w:rPr>
  </w:style>
  <w:style w:type="paragraph" w:customStyle="1" w:styleId="73">
    <w:name w:val="报告表"/>
    <w:basedOn w:val="1"/>
    <w:next w:val="1"/>
    <w:link w:val="169"/>
    <w:qFormat/>
    <w:uiPriority w:val="99"/>
    <w:pPr>
      <w:spacing w:line="360" w:lineRule="auto"/>
      <w:jc w:val="center"/>
    </w:pPr>
    <w:rPr>
      <w:rFonts w:ascii="Times New Roman" w:hAnsi="Times New Roman" w:eastAsia="黑体" w:cs="Times New Roman"/>
      <w:sz w:val="28"/>
      <w:szCs w:val="28"/>
    </w:rPr>
  </w:style>
  <w:style w:type="paragraph" w:customStyle="1" w:styleId="74">
    <w:name w:val="xl76"/>
    <w:basedOn w:val="1"/>
    <w:qFormat/>
    <w:uiPriority w:val="99"/>
    <w:pPr>
      <w:pBdr>
        <w:left w:val="single" w:color="auto" w:sz="4" w:space="0"/>
        <w:right w:val="single" w:color="auto" w:sz="4" w:space="0"/>
      </w:pBdr>
      <w:spacing w:before="100" w:beforeAutospacing="1" w:after="100" w:afterAutospacing="1"/>
      <w:jc w:val="center"/>
    </w:pPr>
    <w:rPr>
      <w:sz w:val="20"/>
      <w:szCs w:val="20"/>
    </w:rPr>
  </w:style>
  <w:style w:type="paragraph" w:customStyle="1" w:styleId="75">
    <w:name w:val="xl81"/>
    <w:basedOn w:val="1"/>
    <w:qFormat/>
    <w:uiPriority w:val="99"/>
    <w:pPr>
      <w:pBdr>
        <w:top w:val="single" w:color="auto" w:sz="4" w:space="0"/>
        <w:left w:val="single" w:color="auto" w:sz="4" w:space="0"/>
      </w:pBdr>
      <w:spacing w:before="100" w:beforeAutospacing="1" w:after="100" w:afterAutospacing="1"/>
      <w:jc w:val="center"/>
    </w:pPr>
    <w:rPr>
      <w:sz w:val="20"/>
      <w:szCs w:val="20"/>
    </w:rPr>
  </w:style>
  <w:style w:type="paragraph" w:customStyle="1" w:styleId="76">
    <w:name w:val="xl74"/>
    <w:basedOn w:val="1"/>
    <w:qFormat/>
    <w:uiPriority w:val="99"/>
    <w:pPr>
      <w:pBdr>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77">
    <w:name w:val="xl67"/>
    <w:basedOn w:val="1"/>
    <w:qFormat/>
    <w:uiPriority w:val="99"/>
    <w:pPr>
      <w:pBdr>
        <w:top w:val="single" w:color="auto" w:sz="8" w:space="0"/>
        <w:left w:val="single" w:color="auto" w:sz="8" w:space="0"/>
        <w:bottom w:val="single" w:color="auto" w:sz="8" w:space="0"/>
        <w:right w:val="single" w:color="auto" w:sz="8" w:space="0"/>
      </w:pBdr>
      <w:spacing w:before="100" w:beforeAutospacing="1" w:after="100" w:afterAutospacing="1"/>
      <w:jc w:val="center"/>
    </w:pPr>
    <w:rPr>
      <w:sz w:val="20"/>
      <w:szCs w:val="20"/>
    </w:rPr>
  </w:style>
  <w:style w:type="paragraph" w:customStyle="1" w:styleId="78">
    <w:name w:val="xl87"/>
    <w:basedOn w:val="1"/>
    <w:qFormat/>
    <w:uiPriority w:val="99"/>
    <w:pPr>
      <w:pBdr>
        <w:top w:val="single" w:color="auto" w:sz="4" w:space="0"/>
        <w:right w:val="single" w:color="auto" w:sz="4" w:space="0"/>
      </w:pBdr>
      <w:spacing w:before="100" w:beforeAutospacing="1" w:after="100" w:afterAutospacing="1"/>
      <w:jc w:val="center"/>
    </w:pPr>
    <w:rPr>
      <w:sz w:val="20"/>
      <w:szCs w:val="20"/>
    </w:rPr>
  </w:style>
  <w:style w:type="paragraph" w:customStyle="1" w:styleId="79">
    <w:name w:val="xl75"/>
    <w:basedOn w:val="1"/>
    <w:qFormat/>
    <w:uiPriority w:val="99"/>
    <w:pPr>
      <w:pBdr>
        <w:top w:val="single" w:color="auto" w:sz="4" w:space="0"/>
        <w:left w:val="single" w:color="auto" w:sz="4" w:space="0"/>
        <w:right w:val="single" w:color="auto" w:sz="4" w:space="0"/>
      </w:pBdr>
      <w:spacing w:before="100" w:beforeAutospacing="1" w:after="100" w:afterAutospacing="1"/>
      <w:jc w:val="center"/>
    </w:pPr>
    <w:rPr>
      <w:sz w:val="20"/>
      <w:szCs w:val="20"/>
    </w:rPr>
  </w:style>
  <w:style w:type="paragraph" w:customStyle="1" w:styleId="80">
    <w:name w:val="正文-自用"/>
    <w:link w:val="170"/>
    <w:qFormat/>
    <w:uiPriority w:val="99"/>
    <w:pPr>
      <w:spacing w:after="200" w:line="500" w:lineRule="exact"/>
      <w:ind w:firstLine="200" w:firstLineChars="200"/>
      <w:jc w:val="both"/>
    </w:pPr>
    <w:rPr>
      <w:rFonts w:ascii="Times New Roman" w:hAnsi="Times New Roman" w:eastAsia="仿宋_GB2312" w:cs="Times New Roman"/>
      <w:kern w:val="2"/>
      <w:sz w:val="22"/>
      <w:lang w:val="en-US" w:eastAsia="zh-CN" w:bidi="ar-SA"/>
    </w:rPr>
  </w:style>
  <w:style w:type="paragraph" w:customStyle="1" w:styleId="81">
    <w:name w:val="xl79"/>
    <w:basedOn w:val="1"/>
    <w:qFormat/>
    <w:uiPriority w:val="99"/>
    <w:pPr>
      <w:pBdr>
        <w:left w:val="single" w:color="auto" w:sz="4" w:space="0"/>
        <w:right w:val="single" w:color="auto" w:sz="4" w:space="0"/>
      </w:pBdr>
      <w:spacing w:before="100" w:beforeAutospacing="1" w:after="100" w:afterAutospacing="1"/>
      <w:jc w:val="center"/>
    </w:pPr>
    <w:rPr>
      <w:sz w:val="20"/>
      <w:szCs w:val="20"/>
    </w:rPr>
  </w:style>
  <w:style w:type="paragraph" w:customStyle="1" w:styleId="82">
    <w:name w:val="自用正文"/>
    <w:basedOn w:val="1"/>
    <w:link w:val="171"/>
    <w:qFormat/>
    <w:uiPriority w:val="99"/>
    <w:pPr>
      <w:spacing w:line="500" w:lineRule="exact"/>
      <w:ind w:firstLine="800" w:firstLineChars="200"/>
      <w:jc w:val="both"/>
    </w:pPr>
    <w:rPr>
      <w:rFonts w:ascii="Times New Roman" w:hAnsi="Times New Roman" w:eastAsia="仿宋_GB2312" w:cs="Times New Roman"/>
      <w:sz w:val="28"/>
      <w:szCs w:val="20"/>
    </w:rPr>
  </w:style>
  <w:style w:type="paragraph" w:customStyle="1" w:styleId="83">
    <w:name w:val="font5"/>
    <w:basedOn w:val="1"/>
    <w:qFormat/>
    <w:uiPriority w:val="99"/>
    <w:pPr>
      <w:spacing w:before="100" w:beforeAutospacing="1" w:after="100" w:afterAutospacing="1"/>
    </w:pPr>
    <w:rPr>
      <w:sz w:val="18"/>
      <w:szCs w:val="18"/>
    </w:rPr>
  </w:style>
  <w:style w:type="paragraph" w:customStyle="1" w:styleId="84">
    <w:name w:val="xl6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85">
    <w:name w:val="xl71"/>
    <w:basedOn w:val="1"/>
    <w:qFormat/>
    <w:uiPriority w:val="99"/>
    <w:pPr>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b/>
      <w:bCs/>
      <w:sz w:val="20"/>
      <w:szCs w:val="20"/>
    </w:rPr>
  </w:style>
  <w:style w:type="paragraph" w:customStyle="1" w:styleId="86">
    <w:name w:val="xl83"/>
    <w:basedOn w:val="1"/>
    <w:qFormat/>
    <w:uiPriority w:val="99"/>
    <w:pPr>
      <w:pBdr>
        <w:left w:val="single" w:color="auto" w:sz="4" w:space="0"/>
        <w:bottom w:val="single" w:color="auto" w:sz="4" w:space="0"/>
      </w:pBdr>
      <w:spacing w:before="100" w:beforeAutospacing="1" w:after="100" w:afterAutospacing="1"/>
      <w:jc w:val="center"/>
    </w:pPr>
    <w:rPr>
      <w:sz w:val="20"/>
      <w:szCs w:val="20"/>
    </w:rPr>
  </w:style>
  <w:style w:type="paragraph" w:customStyle="1" w:styleId="87">
    <w:name w:val="xl65"/>
    <w:basedOn w:val="1"/>
    <w:qFormat/>
    <w:uiPriority w:val="99"/>
    <w:pPr>
      <w:spacing w:before="100" w:beforeAutospacing="1" w:after="100" w:afterAutospacing="1"/>
      <w:jc w:val="center"/>
    </w:pPr>
  </w:style>
  <w:style w:type="paragraph" w:customStyle="1" w:styleId="88">
    <w:name w:val="列出段落11"/>
    <w:basedOn w:val="1"/>
    <w:qFormat/>
    <w:uiPriority w:val="99"/>
    <w:pPr>
      <w:spacing w:line="360" w:lineRule="auto"/>
      <w:ind w:firstLine="420" w:firstLineChars="200"/>
    </w:pPr>
    <w:rPr>
      <w:rFonts w:cs="黑体"/>
    </w:rPr>
  </w:style>
  <w:style w:type="paragraph" w:customStyle="1" w:styleId="89">
    <w:name w:val="列出段落2"/>
    <w:basedOn w:val="1"/>
    <w:qFormat/>
    <w:uiPriority w:val="99"/>
    <w:pPr>
      <w:ind w:firstLine="420" w:firstLineChars="200"/>
    </w:pPr>
  </w:style>
  <w:style w:type="paragraph" w:customStyle="1" w:styleId="90">
    <w:name w:val="reader-word-layer"/>
    <w:basedOn w:val="1"/>
    <w:qFormat/>
    <w:uiPriority w:val="99"/>
    <w:pPr>
      <w:spacing w:before="100" w:beforeAutospacing="1" w:after="100" w:afterAutospacing="1"/>
    </w:pPr>
  </w:style>
  <w:style w:type="paragraph" w:customStyle="1" w:styleId="91">
    <w:name w:val="中等深浅列表 2 - 强调文字颜色 41"/>
    <w:basedOn w:val="1"/>
    <w:qFormat/>
    <w:uiPriority w:val="99"/>
    <w:pPr>
      <w:ind w:firstLine="420"/>
    </w:pPr>
  </w:style>
  <w:style w:type="paragraph" w:customStyle="1" w:styleId="92">
    <w:name w:val="无间隔1"/>
    <w:qFormat/>
    <w:uiPriority w:val="99"/>
    <w:rPr>
      <w:rFonts w:ascii="Calibri" w:hAnsi="Calibri" w:eastAsia="宋体" w:cs="Times New Roman"/>
      <w:sz w:val="22"/>
      <w:szCs w:val="22"/>
      <w:lang w:val="en-US" w:eastAsia="zh-CN" w:bidi="ar-SA"/>
    </w:rPr>
  </w:style>
  <w:style w:type="paragraph" w:customStyle="1" w:styleId="93">
    <w:name w:val="引用1"/>
    <w:basedOn w:val="1"/>
    <w:next w:val="1"/>
    <w:link w:val="191"/>
    <w:qFormat/>
    <w:uiPriority w:val="99"/>
    <w:rPr>
      <w:rFonts w:ascii="Times New Roman" w:hAnsi="Times New Roman" w:cs="Times New Roman"/>
      <w:i/>
      <w:iCs/>
      <w:color w:val="000000"/>
      <w:sz w:val="20"/>
      <w:szCs w:val="20"/>
    </w:rPr>
  </w:style>
  <w:style w:type="paragraph" w:customStyle="1" w:styleId="94">
    <w:name w:val="明显引用1"/>
    <w:basedOn w:val="1"/>
    <w:next w:val="1"/>
    <w:link w:val="192"/>
    <w:qFormat/>
    <w:uiPriority w:val="99"/>
    <w:pPr>
      <w:pBdr>
        <w:bottom w:val="single" w:color="4F81BD" w:sz="4" w:space="4"/>
      </w:pBdr>
      <w:spacing w:before="200" w:after="280"/>
      <w:ind w:left="936" w:right="936"/>
    </w:pPr>
    <w:rPr>
      <w:rFonts w:ascii="Times New Roman" w:hAnsi="Times New Roman" w:cs="Times New Roman"/>
      <w:b/>
      <w:bCs/>
      <w:i/>
      <w:iCs/>
      <w:color w:val="4F81BD"/>
      <w:sz w:val="20"/>
      <w:szCs w:val="20"/>
    </w:rPr>
  </w:style>
  <w:style w:type="paragraph" w:customStyle="1" w:styleId="95">
    <w:name w:val="TOC 标题2"/>
    <w:basedOn w:val="2"/>
    <w:next w:val="1"/>
    <w:qFormat/>
    <w:uiPriority w:val="99"/>
    <w:pPr>
      <w:outlineLvl w:val="9"/>
    </w:pPr>
  </w:style>
  <w:style w:type="paragraph" w:customStyle="1" w:styleId="96">
    <w:name w:val="Char"/>
    <w:basedOn w:val="1"/>
    <w:qFormat/>
    <w:uiPriority w:val="99"/>
    <w:pPr>
      <w:spacing w:after="160" w:line="240" w:lineRule="exact"/>
    </w:pPr>
    <w:rPr>
      <w:rFonts w:ascii="Verdana" w:hAnsi="Verdana" w:cs="Times New Roman"/>
      <w:sz w:val="20"/>
      <w:szCs w:val="20"/>
      <w:lang w:eastAsia="en-US"/>
    </w:rPr>
  </w:style>
  <w:style w:type="paragraph" w:customStyle="1" w:styleId="97">
    <w:name w:val="默认段落字体 Para Char Char Char Char Char Char Char Char Char Char Char Char Char Char Char1 Char Char Char Char"/>
    <w:basedOn w:val="14"/>
    <w:qFormat/>
    <w:uiPriority w:val="99"/>
    <w:pPr>
      <w:widowControl w:val="0"/>
      <w:shd w:val="clear" w:color="auto" w:fill="000080"/>
      <w:adjustRightInd w:val="0"/>
      <w:spacing w:line="436" w:lineRule="exact"/>
      <w:ind w:left="357"/>
      <w:outlineLvl w:val="3"/>
    </w:pPr>
    <w:rPr>
      <w:rFonts w:ascii="Tahoma" w:hAnsi="Tahoma" w:eastAsia="宋体"/>
      <w:b/>
      <w:kern w:val="2"/>
      <w:sz w:val="24"/>
      <w:szCs w:val="24"/>
    </w:rPr>
  </w:style>
  <w:style w:type="paragraph" w:customStyle="1" w:styleId="98">
    <w:name w:val="列出段落3"/>
    <w:basedOn w:val="1"/>
    <w:qFormat/>
    <w:uiPriority w:val="99"/>
    <w:pPr>
      <w:ind w:firstLine="420" w:firstLineChars="200"/>
    </w:pPr>
  </w:style>
  <w:style w:type="paragraph" w:customStyle="1" w:styleId="99">
    <w:name w:val="无间隔2"/>
    <w:qFormat/>
    <w:uiPriority w:val="99"/>
    <w:pPr>
      <w:adjustRightInd w:val="0"/>
      <w:snapToGrid w:val="0"/>
    </w:pPr>
    <w:rPr>
      <w:rFonts w:ascii="Tahoma" w:hAnsi="Tahoma" w:eastAsia="微软雅黑" w:cs="Times New Roman"/>
      <w:sz w:val="22"/>
      <w:szCs w:val="22"/>
      <w:lang w:val="en-US" w:eastAsia="zh-CN" w:bidi="ar-SA"/>
    </w:rPr>
  </w:style>
  <w:style w:type="paragraph" w:customStyle="1" w:styleId="100">
    <w:name w:val="报告正文"/>
    <w:basedOn w:val="1"/>
    <w:next w:val="1"/>
    <w:link w:val="202"/>
    <w:qFormat/>
    <w:uiPriority w:val="99"/>
    <w:pPr>
      <w:widowControl w:val="0"/>
      <w:spacing w:line="560" w:lineRule="exact"/>
      <w:ind w:firstLine="200" w:firstLineChars="200"/>
      <w:jc w:val="both"/>
    </w:pPr>
    <w:rPr>
      <w:rFonts w:eastAsia="仿宋" w:cs="Times New Roman"/>
      <w:sz w:val="28"/>
      <w:szCs w:val="28"/>
    </w:rPr>
  </w:style>
  <w:style w:type="paragraph" w:customStyle="1" w:styleId="101">
    <w:name w:val="脚注"/>
    <w:basedOn w:val="30"/>
    <w:link w:val="203"/>
    <w:qFormat/>
    <w:uiPriority w:val="99"/>
    <w:pPr>
      <w:widowControl w:val="0"/>
      <w:ind w:firstLine="200"/>
    </w:pPr>
    <w:rPr>
      <w:rFonts w:ascii="Times New Roman" w:hAnsi="Times New Roman"/>
      <w:color w:val="000000"/>
      <w:kern w:val="2"/>
      <w:sz w:val="21"/>
      <w:szCs w:val="21"/>
    </w:rPr>
  </w:style>
  <w:style w:type="paragraph" w:customStyle="1" w:styleId="102">
    <w:name w:val="自用表"/>
    <w:basedOn w:val="1"/>
    <w:link w:val="204"/>
    <w:qFormat/>
    <w:uiPriority w:val="99"/>
    <w:pPr>
      <w:widowControl w:val="0"/>
      <w:spacing w:before="60" w:after="60"/>
      <w:jc w:val="center"/>
    </w:pPr>
    <w:rPr>
      <w:rFonts w:ascii="Times New Roman" w:hAnsi="Times New Roman" w:eastAsia="仿宋_GB2312" w:cs="Times New Roman"/>
      <w:b/>
      <w:szCs w:val="28"/>
      <w:lang w:val="zh-CN"/>
    </w:rPr>
  </w:style>
  <w:style w:type="paragraph" w:customStyle="1" w:styleId="103">
    <w:name w:val="中等深浅网格 1 - 强调文字颜色 21"/>
    <w:basedOn w:val="1"/>
    <w:qFormat/>
    <w:uiPriority w:val="99"/>
    <w:pPr>
      <w:ind w:firstLine="420"/>
    </w:pPr>
    <w:rPr>
      <w:rFonts w:ascii="Calibri" w:hAnsi="Calibri"/>
      <w:sz w:val="21"/>
      <w:lang w:val="zh-CN"/>
    </w:rPr>
  </w:style>
  <w:style w:type="paragraph" w:customStyle="1" w:styleId="104">
    <w:name w:val="附件内容"/>
    <w:basedOn w:val="1"/>
    <w:link w:val="206"/>
    <w:qFormat/>
    <w:uiPriority w:val="99"/>
    <w:pPr>
      <w:widowControl w:val="0"/>
      <w:spacing w:line="500" w:lineRule="exact"/>
      <w:ind w:firstLine="560" w:firstLineChars="200"/>
      <w:jc w:val="both"/>
    </w:pPr>
    <w:rPr>
      <w:rFonts w:ascii="Times New Roman" w:hAnsi="Times New Roman" w:eastAsia="仿宋_GB2312" w:cs="Times New Roman"/>
      <w:sz w:val="28"/>
      <w:szCs w:val="28"/>
    </w:rPr>
  </w:style>
  <w:style w:type="paragraph" w:customStyle="1" w:styleId="105">
    <w:name w:val="自用标题3"/>
    <w:basedOn w:val="4"/>
    <w:link w:val="210"/>
    <w:qFormat/>
    <w:uiPriority w:val="99"/>
    <w:pPr>
      <w:widowControl w:val="0"/>
      <w:ind w:firstLine="0" w:firstLineChars="0"/>
      <w:jc w:val="center"/>
      <w:outlineLvl w:val="0"/>
    </w:pPr>
    <w:rPr>
      <w:rFonts w:ascii="黑体" w:hAnsi="黑体" w:eastAsia="仿宋"/>
      <w:color w:val="auto"/>
      <w:sz w:val="32"/>
      <w:szCs w:val="32"/>
    </w:rPr>
  </w:style>
  <w:style w:type="paragraph" w:customStyle="1" w:styleId="106">
    <w:name w:val="自用标题4"/>
    <w:basedOn w:val="3"/>
    <w:link w:val="211"/>
    <w:qFormat/>
    <w:uiPriority w:val="99"/>
    <w:pPr>
      <w:widowControl w:val="0"/>
      <w:kinsoku w:val="0"/>
      <w:overflowPunct w:val="0"/>
      <w:autoSpaceDE w:val="0"/>
      <w:autoSpaceDN w:val="0"/>
      <w:spacing w:before="0" w:line="240" w:lineRule="auto"/>
      <w:ind w:firstLine="0" w:firstLineChars="0"/>
    </w:pPr>
    <w:rPr>
      <w:color w:val="auto"/>
      <w:sz w:val="28"/>
      <w:szCs w:val="32"/>
    </w:rPr>
  </w:style>
  <w:style w:type="paragraph" w:customStyle="1" w:styleId="107">
    <w:name w:val="Char Char Char Char Char Char Char"/>
    <w:basedOn w:val="1"/>
    <w:qFormat/>
    <w:uiPriority w:val="99"/>
    <w:pPr>
      <w:widowControl w:val="0"/>
      <w:spacing w:line="240" w:lineRule="atLeast"/>
      <w:ind w:left="420" w:firstLine="420"/>
      <w:jc w:val="both"/>
    </w:pPr>
    <w:rPr>
      <w:rFonts w:ascii="Times New Roman" w:hAnsi="Times New Roman" w:cs="Times New Roman"/>
      <w:sz w:val="21"/>
      <w:szCs w:val="21"/>
    </w:rPr>
  </w:style>
  <w:style w:type="paragraph" w:customStyle="1" w:styleId="108">
    <w:name w:val="样式 宋体 四号 居中 行距: 1.5 倍行距"/>
    <w:basedOn w:val="1"/>
    <w:qFormat/>
    <w:uiPriority w:val="99"/>
    <w:pPr>
      <w:widowControl w:val="0"/>
      <w:spacing w:line="360" w:lineRule="auto"/>
      <w:jc w:val="center"/>
    </w:pPr>
    <w:rPr>
      <w:rFonts w:hAnsi="Cambria"/>
      <w:kern w:val="2"/>
      <w:sz w:val="28"/>
      <w:szCs w:val="20"/>
    </w:rPr>
  </w:style>
  <w:style w:type="paragraph" w:customStyle="1" w:styleId="109">
    <w:name w:val="Agilent Doc Title"/>
    <w:next w:val="1"/>
    <w:qFormat/>
    <w:uiPriority w:val="99"/>
    <w:pPr>
      <w:spacing w:after="210" w:line="400" w:lineRule="exact"/>
      <w:jc w:val="center"/>
    </w:pPr>
    <w:rPr>
      <w:rFonts w:ascii="Agilent TT CondLight" w:hAnsi="Agilent TT CondLight" w:eastAsia="宋体" w:cs="Times New Roman"/>
      <w:sz w:val="36"/>
      <w:lang w:val="en-US" w:eastAsia="en-US" w:bidi="ar-SA"/>
    </w:rPr>
  </w:style>
  <w:style w:type="paragraph" w:customStyle="1" w:styleId="110">
    <w:name w:val="p0"/>
    <w:basedOn w:val="1"/>
    <w:qFormat/>
    <w:uiPriority w:val="99"/>
  </w:style>
  <w:style w:type="paragraph" w:customStyle="1" w:styleId="111">
    <w:name w:val="TOC 标题3"/>
    <w:basedOn w:val="2"/>
    <w:next w:val="1"/>
    <w:qFormat/>
    <w:uiPriority w:val="99"/>
    <w:pPr>
      <w:spacing w:before="480" w:after="0" w:line="276" w:lineRule="auto"/>
      <w:ind w:firstLine="0" w:firstLineChars="0"/>
      <w:outlineLvl w:val="9"/>
    </w:pPr>
    <w:rPr>
      <w:rFonts w:ascii="Cambria" w:hAnsi="Cambria"/>
      <w:b w:val="0"/>
      <w:color w:val="365F91"/>
      <w:sz w:val="28"/>
    </w:rPr>
  </w:style>
  <w:style w:type="paragraph" w:customStyle="1" w:styleId="112">
    <w:name w:val="仿宋"/>
    <w:basedOn w:val="1"/>
    <w:qFormat/>
    <w:uiPriority w:val="99"/>
    <w:pPr>
      <w:autoSpaceDE w:val="0"/>
      <w:autoSpaceDN w:val="0"/>
      <w:adjustRightInd w:val="0"/>
      <w:spacing w:line="360" w:lineRule="auto"/>
      <w:ind w:firstLine="480"/>
      <w:jc w:val="both"/>
      <w:outlineLvl w:val="0"/>
    </w:pPr>
    <w:rPr>
      <w:rFonts w:ascii="Cambria" w:hAnsi="Cambria" w:cs="Times New Roman"/>
      <w:kern w:val="2"/>
    </w:rPr>
  </w:style>
  <w:style w:type="paragraph" w:customStyle="1" w:styleId="113">
    <w:name w:val="_Style 1"/>
    <w:basedOn w:val="1"/>
    <w:qFormat/>
    <w:uiPriority w:val="99"/>
    <w:pPr>
      <w:widowControl w:val="0"/>
      <w:ind w:firstLine="420" w:firstLineChars="200"/>
      <w:jc w:val="both"/>
    </w:pPr>
    <w:rPr>
      <w:rFonts w:ascii="Times New Roman" w:hAnsi="Times New Roman" w:cs="Times New Roman"/>
      <w:kern w:val="2"/>
      <w:sz w:val="21"/>
      <w:szCs w:val="21"/>
    </w:rPr>
  </w:style>
  <w:style w:type="paragraph" w:customStyle="1" w:styleId="114">
    <w:name w:val="样式 仿宋 行距: 1.5 倍行距"/>
    <w:basedOn w:val="1"/>
    <w:qFormat/>
    <w:uiPriority w:val="99"/>
    <w:pPr>
      <w:widowControl w:val="0"/>
      <w:spacing w:line="360" w:lineRule="auto"/>
      <w:jc w:val="both"/>
    </w:pPr>
    <w:rPr>
      <w:rFonts w:ascii="仿宋" w:hAnsi="仿宋" w:eastAsia="仿宋"/>
      <w:kern w:val="2"/>
      <w:szCs w:val="20"/>
    </w:rPr>
  </w:style>
  <w:style w:type="paragraph" w:customStyle="1" w:styleId="115">
    <w:name w:val="Char Char Char1 Char8"/>
    <w:basedOn w:val="1"/>
    <w:qFormat/>
    <w:uiPriority w:val="99"/>
    <w:pPr>
      <w:widowControl w:val="0"/>
      <w:spacing w:line="360" w:lineRule="auto"/>
      <w:ind w:firstLine="200" w:firstLineChars="200"/>
      <w:jc w:val="both"/>
    </w:pPr>
    <w:rPr>
      <w:kern w:val="2"/>
    </w:rPr>
  </w:style>
  <w:style w:type="paragraph" w:customStyle="1" w:styleId="116">
    <w:name w:val="Char1"/>
    <w:basedOn w:val="1"/>
    <w:qFormat/>
    <w:uiPriority w:val="99"/>
    <w:pPr>
      <w:widowControl w:val="0"/>
      <w:tabs>
        <w:tab w:val="left" w:pos="360"/>
      </w:tabs>
      <w:jc w:val="both"/>
    </w:pPr>
    <w:rPr>
      <w:rFonts w:ascii="Times New Roman" w:hAnsi="Times New Roman" w:cs="Times New Roman"/>
      <w:kern w:val="2"/>
      <w:sz w:val="21"/>
    </w:rPr>
  </w:style>
  <w:style w:type="paragraph" w:customStyle="1" w:styleId="117">
    <w:name w:val="样式1"/>
    <w:basedOn w:val="1"/>
    <w:qFormat/>
    <w:uiPriority w:val="99"/>
    <w:pPr>
      <w:autoSpaceDE w:val="0"/>
      <w:autoSpaceDN w:val="0"/>
      <w:adjustRightInd w:val="0"/>
      <w:spacing w:line="360" w:lineRule="auto"/>
      <w:jc w:val="center"/>
    </w:pPr>
    <w:rPr>
      <w:rFonts w:ascii="黑体" w:hAnsi="Times New Roman" w:eastAsia="黑体" w:cs="黑体"/>
      <w:sz w:val="30"/>
      <w:szCs w:val="30"/>
      <w:u w:val="none" w:color="0000FF"/>
    </w:rPr>
  </w:style>
  <w:style w:type="paragraph" w:customStyle="1" w:styleId="118">
    <w:name w:val="样式 标题 1 + (西文) 黑体 (中文) 黑体 小三 蓝色"/>
    <w:basedOn w:val="2"/>
    <w:qFormat/>
    <w:uiPriority w:val="99"/>
    <w:pPr>
      <w:widowControl w:val="0"/>
      <w:spacing w:before="340" w:after="330" w:line="578" w:lineRule="auto"/>
      <w:ind w:firstLine="0" w:firstLineChars="0"/>
      <w:jc w:val="both"/>
    </w:pPr>
    <w:rPr>
      <w:rFonts w:ascii="黑体" w:hAnsi="黑体" w:eastAsia="黑体" w:cs="Arial"/>
      <w:color w:val="auto"/>
      <w:kern w:val="44"/>
      <w:sz w:val="30"/>
      <w:szCs w:val="44"/>
      <w:u w:val="none" w:color="0000FF"/>
    </w:rPr>
  </w:style>
  <w:style w:type="paragraph" w:customStyle="1" w:styleId="119">
    <w:name w:val="样式2"/>
    <w:basedOn w:val="1"/>
    <w:qFormat/>
    <w:uiPriority w:val="99"/>
    <w:pPr>
      <w:autoSpaceDE w:val="0"/>
      <w:autoSpaceDN w:val="0"/>
      <w:adjustRightInd w:val="0"/>
      <w:spacing w:line="360" w:lineRule="auto"/>
      <w:ind w:firstLine="480"/>
      <w:jc w:val="both"/>
      <w:outlineLvl w:val="0"/>
    </w:pPr>
    <w:rPr>
      <w:rFonts w:ascii="Cambria" w:hAnsi="Cambria" w:cs="Times New Roman"/>
      <w:kern w:val="2"/>
    </w:rPr>
  </w:style>
  <w:style w:type="paragraph" w:customStyle="1" w:styleId="120">
    <w:name w:val="样式 样式 标题 1 + (西文) 黑体 (中文) 黑体 小三 蓝色 + 非加粗 居中"/>
    <w:basedOn w:val="118"/>
    <w:qFormat/>
    <w:uiPriority w:val="99"/>
    <w:pPr>
      <w:jc w:val="center"/>
    </w:pPr>
    <w:rPr>
      <w:rFonts w:cs="宋体"/>
      <w:b w:val="0"/>
      <w:bCs w:val="0"/>
      <w:szCs w:val="20"/>
    </w:rPr>
  </w:style>
  <w:style w:type="paragraph" w:customStyle="1" w:styleId="121">
    <w:name w:val="_Style 12"/>
    <w:basedOn w:val="1"/>
    <w:qFormat/>
    <w:uiPriority w:val="99"/>
    <w:pPr>
      <w:spacing w:after="160" w:line="240" w:lineRule="exact"/>
    </w:pPr>
    <w:rPr>
      <w:rFonts w:ascii="Times New Roman" w:hAnsi="Times New Roman" w:eastAsia="DFKai-SB" w:cs="Times New Roman"/>
      <w:kern w:val="2"/>
      <w:sz w:val="28"/>
      <w:szCs w:val="20"/>
      <w:lang w:eastAsia="zh-TW"/>
    </w:rPr>
  </w:style>
  <w:style w:type="paragraph" w:customStyle="1" w:styleId="12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23">
    <w:name w:val="_Style 8"/>
    <w:basedOn w:val="1"/>
    <w:qFormat/>
    <w:uiPriority w:val="99"/>
    <w:pPr>
      <w:widowControl w:val="0"/>
      <w:tabs>
        <w:tab w:val="left" w:pos="360"/>
      </w:tabs>
      <w:jc w:val="both"/>
    </w:pPr>
    <w:rPr>
      <w:rFonts w:ascii="Times New Roman" w:hAnsi="Times New Roman" w:cs="Times New Roman"/>
      <w:kern w:val="2"/>
    </w:rPr>
  </w:style>
  <w:style w:type="paragraph" w:customStyle="1" w:styleId="124">
    <w:name w:val="Agilent Body Text"/>
    <w:basedOn w:val="1"/>
    <w:qFormat/>
    <w:uiPriority w:val="99"/>
    <w:pPr>
      <w:spacing w:line="260" w:lineRule="exact"/>
    </w:pPr>
    <w:rPr>
      <w:rFonts w:ascii="Agilent TT Cond" w:hAnsi="Agilent TT Cond" w:cs="Times New Roman"/>
      <w:sz w:val="19"/>
      <w:szCs w:val="20"/>
      <w:lang w:eastAsia="en-US"/>
    </w:rPr>
  </w:style>
  <w:style w:type="paragraph" w:customStyle="1" w:styleId="125">
    <w:name w:val="列出段落4"/>
    <w:basedOn w:val="1"/>
    <w:qFormat/>
    <w:uiPriority w:val="99"/>
    <w:pPr>
      <w:widowControl w:val="0"/>
      <w:ind w:firstLine="420" w:firstLineChars="200"/>
      <w:jc w:val="both"/>
    </w:pPr>
    <w:rPr>
      <w:rFonts w:ascii="Times New Roman" w:hAnsi="Times New Roman" w:cs="Times New Roman"/>
      <w:kern w:val="2"/>
      <w:sz w:val="21"/>
      <w:szCs w:val="22"/>
    </w:rPr>
  </w:style>
  <w:style w:type="paragraph" w:customStyle="1" w:styleId="126">
    <w:name w:val="text"/>
    <w:basedOn w:val="1"/>
    <w:qFormat/>
    <w:uiPriority w:val="99"/>
    <w:pPr>
      <w:spacing w:before="100" w:beforeAutospacing="1" w:after="100" w:afterAutospacing="1"/>
    </w:pPr>
  </w:style>
  <w:style w:type="paragraph" w:customStyle="1" w:styleId="127">
    <w:name w:val="Char Char Char Char"/>
    <w:basedOn w:val="1"/>
    <w:qFormat/>
    <w:uiPriority w:val="99"/>
    <w:pPr>
      <w:widowControl w:val="0"/>
      <w:jc w:val="both"/>
    </w:pPr>
    <w:rPr>
      <w:rFonts w:ascii="Times New Roman" w:hAnsi="Times New Roman" w:cs="Times New Roman"/>
      <w:kern w:val="2"/>
      <w:sz w:val="21"/>
      <w:szCs w:val="20"/>
    </w:rPr>
  </w:style>
  <w:style w:type="paragraph" w:customStyle="1" w:styleId="128">
    <w:name w:val="样式3"/>
    <w:basedOn w:val="2"/>
    <w:qFormat/>
    <w:uiPriority w:val="99"/>
    <w:pPr>
      <w:widowControl w:val="0"/>
      <w:spacing w:before="340" w:after="330" w:line="578" w:lineRule="auto"/>
      <w:ind w:firstLine="0" w:firstLineChars="0"/>
      <w:jc w:val="both"/>
    </w:pPr>
    <w:rPr>
      <w:rFonts w:ascii="Arial" w:hAnsi="Arial" w:cs="Arial"/>
      <w:color w:val="auto"/>
      <w:kern w:val="1"/>
      <w:sz w:val="30"/>
      <w:szCs w:val="44"/>
    </w:rPr>
  </w:style>
  <w:style w:type="paragraph" w:customStyle="1" w:styleId="129">
    <w:name w:val="无间距"/>
    <w:qFormat/>
    <w:uiPriority w:val="99"/>
    <w:pPr>
      <w:widowControl w:val="0"/>
      <w:jc w:val="both"/>
    </w:pPr>
    <w:rPr>
      <w:rFonts w:ascii="Times New Roman" w:hAnsi="Times New Roman" w:eastAsia="宋体" w:cs="Times New Roman"/>
      <w:kern w:val="2"/>
      <w:sz w:val="18"/>
      <w:szCs w:val="24"/>
      <w:lang w:val="en-US" w:eastAsia="zh-CN" w:bidi="ar-SA"/>
    </w:rPr>
  </w:style>
  <w:style w:type="paragraph" w:customStyle="1" w:styleId="130">
    <w:name w:val="样式１"/>
    <w:basedOn w:val="2"/>
    <w:qFormat/>
    <w:uiPriority w:val="99"/>
    <w:pPr>
      <w:widowControl w:val="0"/>
      <w:spacing w:before="340" w:after="330" w:line="578" w:lineRule="auto"/>
      <w:ind w:firstLine="0" w:firstLineChars="0"/>
      <w:jc w:val="center"/>
    </w:pPr>
    <w:rPr>
      <w:rFonts w:ascii="Arial" w:hAnsi="Arial" w:cs="Arial"/>
      <w:color w:val="auto"/>
      <w:kern w:val="1"/>
      <w:sz w:val="30"/>
      <w:szCs w:val="44"/>
    </w:rPr>
  </w:style>
  <w:style w:type="paragraph" w:customStyle="1" w:styleId="131">
    <w:name w:val="font6"/>
    <w:basedOn w:val="1"/>
    <w:qFormat/>
    <w:uiPriority w:val="99"/>
    <w:pPr>
      <w:spacing w:before="100" w:beforeAutospacing="1" w:after="100" w:afterAutospacing="1"/>
    </w:pPr>
    <w:rPr>
      <w:sz w:val="18"/>
      <w:szCs w:val="18"/>
    </w:rPr>
  </w:style>
  <w:style w:type="paragraph" w:customStyle="1" w:styleId="132">
    <w:name w:val="闻政正文"/>
    <w:basedOn w:val="1"/>
    <w:link w:val="219"/>
    <w:qFormat/>
    <w:uiPriority w:val="99"/>
    <w:pPr>
      <w:widowControl w:val="0"/>
      <w:spacing w:line="500" w:lineRule="exact"/>
      <w:ind w:firstLine="200" w:firstLineChars="200"/>
      <w:jc w:val="both"/>
    </w:pPr>
    <w:rPr>
      <w:rFonts w:ascii="Times New Roman" w:hAnsi="Times New Roman" w:eastAsia="仿宋_GB2312" w:cs="Times New Roman"/>
      <w:sz w:val="28"/>
      <w:szCs w:val="28"/>
      <w:lang w:val="zh-CN"/>
    </w:rPr>
  </w:style>
  <w:style w:type="paragraph" w:customStyle="1" w:styleId="133">
    <w:name w:val="闻政图表名"/>
    <w:basedOn w:val="1"/>
    <w:link w:val="220"/>
    <w:qFormat/>
    <w:uiPriority w:val="99"/>
    <w:pPr>
      <w:widowControl w:val="0"/>
      <w:spacing w:before="60" w:after="60"/>
      <w:jc w:val="center"/>
    </w:pPr>
    <w:rPr>
      <w:rFonts w:ascii="Times New Roman" w:hAnsi="Times New Roman" w:eastAsia="仿宋_GB2312" w:cs="Times New Roman"/>
      <w:b/>
      <w:szCs w:val="28"/>
    </w:rPr>
  </w:style>
  <w:style w:type="paragraph" w:customStyle="1" w:styleId="134">
    <w:name w:val="闻政表文字"/>
    <w:basedOn w:val="132"/>
    <w:link w:val="221"/>
    <w:qFormat/>
    <w:uiPriority w:val="99"/>
    <w:pPr>
      <w:widowControl/>
      <w:spacing w:line="320" w:lineRule="exact"/>
      <w:ind w:firstLine="0" w:firstLineChars="0"/>
      <w:jc w:val="center"/>
    </w:pPr>
    <w:rPr>
      <w:bCs/>
      <w:color w:val="000000"/>
      <w:sz w:val="22"/>
    </w:rPr>
  </w:style>
  <w:style w:type="paragraph" w:customStyle="1" w:styleId="135">
    <w:name w:val="正文-闻政"/>
    <w:link w:val="222"/>
    <w:qFormat/>
    <w:uiPriority w:val="99"/>
    <w:pPr>
      <w:spacing w:line="500" w:lineRule="exact"/>
      <w:ind w:firstLine="200" w:firstLineChars="200"/>
      <w:jc w:val="both"/>
    </w:pPr>
    <w:rPr>
      <w:rFonts w:ascii="Times New Roman" w:hAnsi="Times New Roman" w:eastAsia="仿宋_GB2312" w:cs="Times New Roman"/>
      <w:kern w:val="2"/>
      <w:sz w:val="28"/>
      <w:szCs w:val="22"/>
      <w:lang w:val="en-US" w:eastAsia="zh-CN" w:bidi="ar-SA"/>
    </w:rPr>
  </w:style>
  <w:style w:type="paragraph" w:customStyle="1" w:styleId="136">
    <w:name w:val="闻政封面完成时间"/>
    <w:basedOn w:val="1"/>
    <w:qFormat/>
    <w:uiPriority w:val="99"/>
    <w:pPr>
      <w:widowControl w:val="0"/>
      <w:spacing w:before="120"/>
      <w:jc w:val="center"/>
    </w:pPr>
    <w:rPr>
      <w:rFonts w:ascii="Times New Roman" w:hAnsi="Times New Roman" w:eastAsia="黑体" w:cs="Times New Roman"/>
      <w:b/>
      <w:sz w:val="28"/>
      <w:szCs w:val="28"/>
      <w:lang w:val="zh-CN"/>
    </w:rPr>
  </w:style>
  <w:style w:type="paragraph" w:customStyle="1" w:styleId="137">
    <w:name w:val="闻政页码"/>
    <w:qFormat/>
    <w:uiPriority w:val="99"/>
    <w:pPr>
      <w:jc w:val="center"/>
    </w:pPr>
    <w:rPr>
      <w:rFonts w:ascii="Times New Roman" w:hAnsi="Times New Roman" w:eastAsia="宋体" w:cs="Times New Roman"/>
      <w:sz w:val="21"/>
      <w:szCs w:val="28"/>
      <w:lang w:val="en-US" w:eastAsia="zh-CN" w:bidi="ar-SA"/>
    </w:rPr>
  </w:style>
  <w:style w:type="paragraph" w:customStyle="1" w:styleId="138">
    <w:name w:val="一级"/>
    <w:basedOn w:val="1"/>
    <w:link w:val="225"/>
    <w:qFormat/>
    <w:uiPriority w:val="99"/>
    <w:pPr>
      <w:spacing w:line="580" w:lineRule="exact"/>
      <w:ind w:firstLine="640" w:firstLineChars="200"/>
      <w:outlineLvl w:val="0"/>
    </w:pPr>
    <w:rPr>
      <w:rFonts w:ascii="Times New Roman" w:hAnsi="Times New Roman" w:eastAsia="黑体" w:cs="Times New Roman"/>
      <w:bCs/>
      <w:sz w:val="32"/>
      <w:szCs w:val="32"/>
    </w:rPr>
  </w:style>
  <w:style w:type="paragraph" w:customStyle="1" w:styleId="139">
    <w:name w:val="二级"/>
    <w:basedOn w:val="140"/>
    <w:link w:val="226"/>
    <w:qFormat/>
    <w:uiPriority w:val="99"/>
    <w:rPr>
      <w:rFonts w:cs="Times New Roman"/>
      <w:szCs w:val="32"/>
    </w:rPr>
  </w:style>
  <w:style w:type="paragraph" w:customStyle="1" w:styleId="140">
    <w:name w:val="UserStyle_172"/>
    <w:basedOn w:val="1"/>
    <w:qFormat/>
    <w:uiPriority w:val="99"/>
    <w:pPr>
      <w:spacing w:line="580" w:lineRule="exact"/>
      <w:ind w:firstLine="640" w:firstLineChars="200"/>
    </w:pPr>
    <w:rPr>
      <w:rFonts w:ascii="Times New Roman" w:hAnsi="Times New Roman" w:eastAsia="楷体_GB2312"/>
      <w:sz w:val="32"/>
      <w:szCs w:val="20"/>
    </w:rPr>
  </w:style>
  <w:style w:type="paragraph" w:customStyle="1" w:styleId="141">
    <w:name w:val="TOC 标题4"/>
    <w:basedOn w:val="2"/>
    <w:next w:val="1"/>
    <w:qFormat/>
    <w:uiPriority w:val="99"/>
    <w:pPr>
      <w:spacing w:before="240" w:after="0" w:line="259" w:lineRule="auto"/>
      <w:ind w:firstLine="0" w:firstLineChars="0"/>
      <w:outlineLvl w:val="9"/>
    </w:pPr>
    <w:rPr>
      <w:rFonts w:ascii="等线 Light" w:hAnsi="等线 Light" w:eastAsia="等线 Light"/>
      <w:b w:val="0"/>
      <w:bCs w:val="0"/>
      <w:color w:val="2F5496"/>
      <w:szCs w:val="32"/>
    </w:rPr>
  </w:style>
  <w:style w:type="paragraph" w:customStyle="1" w:styleId="142">
    <w:name w:val="三级"/>
    <w:basedOn w:val="1"/>
    <w:qFormat/>
    <w:uiPriority w:val="99"/>
    <w:pPr>
      <w:spacing w:line="580" w:lineRule="exact"/>
      <w:ind w:firstLine="600" w:firstLineChars="200"/>
      <w:outlineLvl w:val="2"/>
    </w:pPr>
    <w:rPr>
      <w:rFonts w:ascii="Times New Roman" w:hAnsi="Times New Roman" w:eastAsia="楷体_GB2312"/>
      <w:sz w:val="30"/>
      <w:szCs w:val="30"/>
    </w:rPr>
  </w:style>
  <w:style w:type="character" w:customStyle="1" w:styleId="143">
    <w:name w:val="标题 1 Char"/>
    <w:basedOn w:val="41"/>
    <w:link w:val="2"/>
    <w:qFormat/>
    <w:locked/>
    <w:uiPriority w:val="99"/>
    <w:rPr>
      <w:rFonts w:ascii="Times New Roman" w:hAnsi="Times New Roman" w:eastAsia="仿宋_GB2312"/>
      <w:b/>
      <w:color w:val="000000"/>
      <w:sz w:val="28"/>
    </w:rPr>
  </w:style>
  <w:style w:type="character" w:customStyle="1" w:styleId="144">
    <w:name w:val="标题 2 Char"/>
    <w:basedOn w:val="41"/>
    <w:link w:val="3"/>
    <w:qFormat/>
    <w:locked/>
    <w:uiPriority w:val="99"/>
    <w:rPr>
      <w:rFonts w:ascii="Times New Roman" w:hAnsi="Times New Roman" w:eastAsia="仿宋_GB2312"/>
      <w:b/>
      <w:color w:val="000000"/>
      <w:sz w:val="26"/>
    </w:rPr>
  </w:style>
  <w:style w:type="character" w:customStyle="1" w:styleId="145">
    <w:name w:val="标题 3 Char"/>
    <w:basedOn w:val="41"/>
    <w:link w:val="4"/>
    <w:qFormat/>
    <w:locked/>
    <w:uiPriority w:val="99"/>
    <w:rPr>
      <w:rFonts w:ascii="Times New Roman" w:hAnsi="Times New Roman" w:eastAsia="仿宋_GB2312"/>
      <w:b/>
      <w:color w:val="000000"/>
      <w:sz w:val="28"/>
    </w:rPr>
  </w:style>
  <w:style w:type="character" w:customStyle="1" w:styleId="146">
    <w:name w:val="标题 4 Char"/>
    <w:basedOn w:val="41"/>
    <w:link w:val="5"/>
    <w:semiHidden/>
    <w:qFormat/>
    <w:locked/>
    <w:uiPriority w:val="99"/>
    <w:rPr>
      <w:rFonts w:ascii="Cambria" w:hAnsi="Cambria" w:eastAsia="宋体"/>
      <w:b/>
      <w:i/>
      <w:color w:val="4F81BD"/>
    </w:rPr>
  </w:style>
  <w:style w:type="character" w:customStyle="1" w:styleId="147">
    <w:name w:val="标题 5 Char"/>
    <w:basedOn w:val="41"/>
    <w:link w:val="6"/>
    <w:semiHidden/>
    <w:qFormat/>
    <w:locked/>
    <w:uiPriority w:val="99"/>
    <w:rPr>
      <w:rFonts w:ascii="Cambria" w:hAnsi="Cambria" w:eastAsia="宋体"/>
      <w:color w:val="244061"/>
    </w:rPr>
  </w:style>
  <w:style w:type="character" w:customStyle="1" w:styleId="148">
    <w:name w:val="标题 6 Char"/>
    <w:basedOn w:val="41"/>
    <w:link w:val="7"/>
    <w:semiHidden/>
    <w:qFormat/>
    <w:locked/>
    <w:uiPriority w:val="99"/>
    <w:rPr>
      <w:rFonts w:ascii="Cambria" w:hAnsi="Cambria" w:eastAsia="宋体"/>
      <w:i/>
      <w:color w:val="244061"/>
    </w:rPr>
  </w:style>
  <w:style w:type="character" w:customStyle="1" w:styleId="149">
    <w:name w:val="标题 7 Char"/>
    <w:basedOn w:val="41"/>
    <w:link w:val="8"/>
    <w:semiHidden/>
    <w:qFormat/>
    <w:locked/>
    <w:uiPriority w:val="99"/>
    <w:rPr>
      <w:rFonts w:ascii="Cambria" w:hAnsi="Cambria" w:eastAsia="宋体"/>
      <w:i/>
      <w:color w:val="404040"/>
    </w:rPr>
  </w:style>
  <w:style w:type="character" w:customStyle="1" w:styleId="150">
    <w:name w:val="标题 8 Char"/>
    <w:basedOn w:val="41"/>
    <w:link w:val="9"/>
    <w:semiHidden/>
    <w:qFormat/>
    <w:locked/>
    <w:uiPriority w:val="99"/>
    <w:rPr>
      <w:rFonts w:ascii="Cambria" w:hAnsi="Cambria" w:eastAsia="宋体"/>
      <w:color w:val="4F81BD"/>
      <w:sz w:val="20"/>
    </w:rPr>
  </w:style>
  <w:style w:type="character" w:customStyle="1" w:styleId="151">
    <w:name w:val="标题 9 Char"/>
    <w:basedOn w:val="41"/>
    <w:link w:val="10"/>
    <w:semiHidden/>
    <w:qFormat/>
    <w:locked/>
    <w:uiPriority w:val="99"/>
    <w:rPr>
      <w:rFonts w:ascii="Cambria" w:hAnsi="Cambria" w:eastAsia="宋体"/>
      <w:i/>
      <w:color w:val="404040"/>
      <w:sz w:val="20"/>
    </w:rPr>
  </w:style>
  <w:style w:type="character" w:customStyle="1" w:styleId="152">
    <w:name w:val="批注文字 Char"/>
    <w:basedOn w:val="41"/>
    <w:link w:val="16"/>
    <w:qFormat/>
    <w:locked/>
    <w:uiPriority w:val="99"/>
  </w:style>
  <w:style w:type="character" w:customStyle="1" w:styleId="153">
    <w:name w:val="批注主题 Char"/>
    <w:basedOn w:val="152"/>
    <w:link w:val="37"/>
    <w:semiHidden/>
    <w:qFormat/>
    <w:locked/>
    <w:uiPriority w:val="99"/>
    <w:rPr>
      <w:b/>
    </w:rPr>
  </w:style>
  <w:style w:type="character" w:customStyle="1" w:styleId="154">
    <w:name w:val="文档结构图 Char"/>
    <w:basedOn w:val="41"/>
    <w:link w:val="14"/>
    <w:semiHidden/>
    <w:qFormat/>
    <w:locked/>
    <w:uiPriority w:val="99"/>
    <w:rPr>
      <w:rFonts w:ascii="Microsoft YaHei UI" w:eastAsia="Microsoft YaHei UI"/>
      <w:sz w:val="18"/>
    </w:rPr>
  </w:style>
  <w:style w:type="character" w:customStyle="1" w:styleId="155">
    <w:name w:val="正文文本 Char"/>
    <w:basedOn w:val="41"/>
    <w:link w:val="17"/>
    <w:qFormat/>
    <w:locked/>
    <w:uiPriority w:val="99"/>
    <w:rPr>
      <w:kern w:val="2"/>
      <w:sz w:val="22"/>
    </w:rPr>
  </w:style>
  <w:style w:type="character" w:customStyle="1" w:styleId="156">
    <w:name w:val="正文文本缩进 Char"/>
    <w:basedOn w:val="41"/>
    <w:link w:val="18"/>
    <w:qFormat/>
    <w:locked/>
    <w:uiPriority w:val="99"/>
    <w:rPr>
      <w:rFonts w:eastAsia="Times New Roman"/>
      <w:sz w:val="21"/>
      <w:lang w:val="en-US" w:eastAsia="zh-CN"/>
    </w:rPr>
  </w:style>
  <w:style w:type="character" w:customStyle="1" w:styleId="157">
    <w:name w:val="纯文本 Char"/>
    <w:basedOn w:val="41"/>
    <w:link w:val="21"/>
    <w:qFormat/>
    <w:locked/>
    <w:uiPriority w:val="99"/>
    <w:rPr>
      <w:rFonts w:ascii="宋体" w:hAnsi="Courier New"/>
      <w:kern w:val="2"/>
      <w:sz w:val="21"/>
    </w:rPr>
  </w:style>
  <w:style w:type="character" w:customStyle="1" w:styleId="158">
    <w:name w:val="日期 Char"/>
    <w:basedOn w:val="41"/>
    <w:link w:val="23"/>
    <w:qFormat/>
    <w:locked/>
    <w:uiPriority w:val="99"/>
    <w:rPr>
      <w:kern w:val="2"/>
      <w:sz w:val="22"/>
    </w:rPr>
  </w:style>
  <w:style w:type="character" w:customStyle="1" w:styleId="159">
    <w:name w:val="批注框文本 Char"/>
    <w:basedOn w:val="41"/>
    <w:link w:val="24"/>
    <w:semiHidden/>
    <w:qFormat/>
    <w:locked/>
    <w:uiPriority w:val="99"/>
    <w:rPr>
      <w:sz w:val="18"/>
    </w:rPr>
  </w:style>
  <w:style w:type="character" w:customStyle="1" w:styleId="160">
    <w:name w:val="页脚 Char"/>
    <w:basedOn w:val="41"/>
    <w:link w:val="25"/>
    <w:qFormat/>
    <w:locked/>
    <w:uiPriority w:val="99"/>
    <w:rPr>
      <w:sz w:val="18"/>
    </w:rPr>
  </w:style>
  <w:style w:type="character" w:customStyle="1" w:styleId="161">
    <w:name w:val="页眉 Char"/>
    <w:basedOn w:val="41"/>
    <w:link w:val="26"/>
    <w:qFormat/>
    <w:locked/>
    <w:uiPriority w:val="99"/>
    <w:rPr>
      <w:sz w:val="18"/>
    </w:rPr>
  </w:style>
  <w:style w:type="character" w:customStyle="1" w:styleId="162">
    <w:name w:val="副标题 Char"/>
    <w:basedOn w:val="41"/>
    <w:link w:val="29"/>
    <w:qFormat/>
    <w:locked/>
    <w:uiPriority w:val="99"/>
    <w:rPr>
      <w:rFonts w:ascii="Cambria" w:hAnsi="Cambria" w:eastAsia="宋体"/>
      <w:i/>
      <w:color w:val="4F81BD"/>
      <w:spacing w:val="15"/>
      <w:sz w:val="24"/>
    </w:rPr>
  </w:style>
  <w:style w:type="character" w:customStyle="1" w:styleId="163">
    <w:name w:val="脚注文本 Char"/>
    <w:basedOn w:val="41"/>
    <w:link w:val="30"/>
    <w:qFormat/>
    <w:locked/>
    <w:uiPriority w:val="99"/>
    <w:rPr>
      <w:rFonts w:ascii="Calibri" w:hAnsi="Calibri" w:eastAsia="仿宋_GB2312"/>
      <w:kern w:val="0"/>
      <w:sz w:val="18"/>
    </w:rPr>
  </w:style>
  <w:style w:type="character" w:customStyle="1" w:styleId="164">
    <w:name w:val="正文文本 2 Char"/>
    <w:basedOn w:val="41"/>
    <w:link w:val="34"/>
    <w:qFormat/>
    <w:locked/>
    <w:uiPriority w:val="99"/>
    <w:rPr>
      <w:kern w:val="2"/>
      <w:sz w:val="24"/>
    </w:rPr>
  </w:style>
  <w:style w:type="character" w:customStyle="1" w:styleId="165">
    <w:name w:val="标题 Char"/>
    <w:basedOn w:val="41"/>
    <w:link w:val="36"/>
    <w:qFormat/>
    <w:locked/>
    <w:uiPriority w:val="99"/>
    <w:rPr>
      <w:rFonts w:ascii="Cambria" w:hAnsi="Cambria" w:eastAsia="宋体"/>
      <w:color w:val="17365D"/>
      <w:spacing w:val="5"/>
      <w:sz w:val="52"/>
    </w:rPr>
  </w:style>
  <w:style w:type="character" w:customStyle="1" w:styleId="166">
    <w:name w:val="111 Char"/>
    <w:link w:val="57"/>
    <w:qFormat/>
    <w:locked/>
    <w:uiPriority w:val="99"/>
    <w:rPr>
      <w:rFonts w:ascii="黑体" w:hAnsi="黑体" w:eastAsia="黑体"/>
      <w:sz w:val="32"/>
    </w:rPr>
  </w:style>
  <w:style w:type="character" w:customStyle="1" w:styleId="167">
    <w:name w:val="列出段落 Char"/>
    <w:link w:val="60"/>
    <w:qFormat/>
    <w:locked/>
    <w:uiPriority w:val="99"/>
    <w:rPr>
      <w:rFonts w:ascii="Times New Roman" w:hAnsi="Times New Roman" w:eastAsia="宋体"/>
      <w:sz w:val="24"/>
    </w:rPr>
  </w:style>
  <w:style w:type="character" w:customStyle="1" w:styleId="168">
    <w:name w:val="11 Char"/>
    <w:link w:val="68"/>
    <w:qFormat/>
    <w:locked/>
    <w:uiPriority w:val="99"/>
    <w:rPr>
      <w:rFonts w:ascii="Times New Roman" w:hAnsi="Times New Roman" w:eastAsia="仿宋_GB2312"/>
      <w:b/>
      <w:kern w:val="0"/>
      <w:sz w:val="32"/>
    </w:rPr>
  </w:style>
  <w:style w:type="character" w:customStyle="1" w:styleId="169">
    <w:name w:val="报告表 Char"/>
    <w:link w:val="73"/>
    <w:qFormat/>
    <w:locked/>
    <w:uiPriority w:val="99"/>
    <w:rPr>
      <w:rFonts w:eastAsia="黑体"/>
      <w:sz w:val="28"/>
    </w:rPr>
  </w:style>
  <w:style w:type="character" w:customStyle="1" w:styleId="170">
    <w:name w:val="正文-自用 Char"/>
    <w:link w:val="80"/>
    <w:qFormat/>
    <w:locked/>
    <w:uiPriority w:val="99"/>
    <w:rPr>
      <w:rFonts w:eastAsia="仿宋_GB2312"/>
      <w:kern w:val="2"/>
      <w:sz w:val="22"/>
      <w:lang w:val="en-US" w:eastAsia="zh-CN"/>
    </w:rPr>
  </w:style>
  <w:style w:type="character" w:customStyle="1" w:styleId="171">
    <w:name w:val="自用正文 Char"/>
    <w:link w:val="82"/>
    <w:qFormat/>
    <w:locked/>
    <w:uiPriority w:val="99"/>
    <w:rPr>
      <w:rFonts w:ascii="Times New Roman" w:hAnsi="Times New Roman" w:eastAsia="仿宋_GB2312"/>
      <w:kern w:val="0"/>
      <w:sz w:val="28"/>
    </w:rPr>
  </w:style>
  <w:style w:type="character" w:customStyle="1" w:styleId="172">
    <w:name w:val="description"/>
    <w:qFormat/>
    <w:uiPriority w:val="99"/>
  </w:style>
  <w:style w:type="character" w:customStyle="1" w:styleId="173">
    <w:name w:val="apple-converted-space"/>
    <w:qFormat/>
    <w:uiPriority w:val="99"/>
  </w:style>
  <w:style w:type="character" w:customStyle="1" w:styleId="174">
    <w:name w:val="ifenglogo"/>
    <w:qFormat/>
    <w:uiPriority w:val="99"/>
  </w:style>
  <w:style w:type="character" w:customStyle="1" w:styleId="175">
    <w:name w:val="批注文字 Char1"/>
    <w:semiHidden/>
    <w:qFormat/>
    <w:uiPriority w:val="99"/>
    <w:rPr>
      <w:rFonts w:ascii="Times New Roman" w:hAnsi="Times New Roman" w:eastAsia="宋体"/>
      <w:sz w:val="24"/>
    </w:rPr>
  </w:style>
  <w:style w:type="character" w:customStyle="1" w:styleId="176">
    <w:name w:val="font61"/>
    <w:qFormat/>
    <w:uiPriority w:val="99"/>
    <w:rPr>
      <w:rFonts w:ascii="仿宋_GB2312" w:eastAsia="仿宋_GB2312"/>
      <w:b/>
      <w:color w:val="000000"/>
      <w:sz w:val="22"/>
      <w:u w:val="none"/>
    </w:rPr>
  </w:style>
  <w:style w:type="character" w:customStyle="1" w:styleId="177">
    <w:name w:val="font71"/>
    <w:qFormat/>
    <w:uiPriority w:val="99"/>
    <w:rPr>
      <w:rFonts w:ascii="仿宋_GB2312" w:eastAsia="仿宋_GB2312"/>
      <w:color w:val="000000"/>
      <w:sz w:val="22"/>
      <w:u w:val="none"/>
    </w:rPr>
  </w:style>
  <w:style w:type="character" w:customStyle="1" w:styleId="178">
    <w:name w:val="font91"/>
    <w:qFormat/>
    <w:uiPriority w:val="99"/>
    <w:rPr>
      <w:rFonts w:ascii="Times New Roman" w:hAnsi="Times New Roman"/>
      <w:color w:val="000000"/>
      <w:sz w:val="22"/>
      <w:u w:val="none"/>
    </w:rPr>
  </w:style>
  <w:style w:type="character" w:customStyle="1" w:styleId="179">
    <w:name w:val="font21"/>
    <w:qFormat/>
    <w:uiPriority w:val="99"/>
    <w:rPr>
      <w:rFonts w:ascii="仿宋_GB2312" w:eastAsia="仿宋_GB2312"/>
      <w:color w:val="000000"/>
      <w:sz w:val="24"/>
      <w:u w:val="none"/>
    </w:rPr>
  </w:style>
  <w:style w:type="character" w:customStyle="1" w:styleId="180">
    <w:name w:val="font81"/>
    <w:qFormat/>
    <w:uiPriority w:val="99"/>
    <w:rPr>
      <w:rFonts w:ascii="Times New Roman" w:hAnsi="Times New Roman"/>
      <w:color w:val="000000"/>
      <w:sz w:val="24"/>
      <w:u w:val="none"/>
    </w:rPr>
  </w:style>
  <w:style w:type="character" w:customStyle="1" w:styleId="181">
    <w:name w:val="font112"/>
    <w:qFormat/>
    <w:uiPriority w:val="99"/>
    <w:rPr>
      <w:rFonts w:ascii="仿宋_GB2312" w:eastAsia="仿宋_GB2312"/>
      <w:color w:val="000000"/>
      <w:sz w:val="22"/>
      <w:u w:val="none"/>
    </w:rPr>
  </w:style>
  <w:style w:type="character" w:customStyle="1" w:styleId="182">
    <w:name w:val="font31"/>
    <w:qFormat/>
    <w:uiPriority w:val="99"/>
    <w:rPr>
      <w:rFonts w:ascii="Times New Roman" w:hAnsi="Times New Roman"/>
      <w:color w:val="000000"/>
      <w:sz w:val="22"/>
      <w:u w:val="none"/>
    </w:rPr>
  </w:style>
  <w:style w:type="character" w:customStyle="1" w:styleId="183">
    <w:name w:val="font41"/>
    <w:qFormat/>
    <w:uiPriority w:val="99"/>
    <w:rPr>
      <w:rFonts w:ascii="Times New Roman" w:hAnsi="Times New Roman"/>
      <w:color w:val="000000"/>
      <w:sz w:val="22"/>
      <w:u w:val="none"/>
      <w:vertAlign w:val="subscript"/>
    </w:rPr>
  </w:style>
  <w:style w:type="character" w:customStyle="1" w:styleId="184">
    <w:name w:val="font51"/>
    <w:qFormat/>
    <w:uiPriority w:val="99"/>
    <w:rPr>
      <w:rFonts w:ascii="宋体" w:hAnsi="宋体" w:eastAsia="宋体"/>
      <w:color w:val="000000"/>
      <w:sz w:val="22"/>
      <w:u w:val="none"/>
    </w:rPr>
  </w:style>
  <w:style w:type="character" w:customStyle="1" w:styleId="185">
    <w:name w:val="font11"/>
    <w:qFormat/>
    <w:uiPriority w:val="99"/>
    <w:rPr>
      <w:rFonts w:ascii="宋体" w:hAnsi="宋体" w:eastAsia="宋体"/>
      <w:color w:val="000000"/>
      <w:sz w:val="22"/>
      <w:u w:val="none"/>
    </w:rPr>
  </w:style>
  <w:style w:type="character" w:customStyle="1" w:styleId="186">
    <w:name w:val="font01"/>
    <w:qFormat/>
    <w:uiPriority w:val="99"/>
    <w:rPr>
      <w:rFonts w:ascii="Times New Roman" w:hAnsi="Times New Roman"/>
      <w:color w:val="000000"/>
      <w:sz w:val="22"/>
      <w:u w:val="none"/>
    </w:rPr>
  </w:style>
  <w:style w:type="character" w:customStyle="1" w:styleId="187">
    <w:name w:val="font101"/>
    <w:qFormat/>
    <w:uiPriority w:val="99"/>
    <w:rPr>
      <w:rFonts w:ascii="仿宋_GB2312" w:eastAsia="仿宋_GB2312"/>
      <w:b/>
      <w:color w:val="000000"/>
      <w:sz w:val="20"/>
      <w:u w:val="none"/>
    </w:rPr>
  </w:style>
  <w:style w:type="character" w:customStyle="1" w:styleId="188">
    <w:name w:val="font121"/>
    <w:qFormat/>
    <w:uiPriority w:val="99"/>
    <w:rPr>
      <w:rFonts w:ascii="Times New Roman" w:hAnsi="Times New Roman"/>
      <w:color w:val="000000"/>
      <w:sz w:val="20"/>
      <w:u w:val="none"/>
    </w:rPr>
  </w:style>
  <w:style w:type="character" w:customStyle="1" w:styleId="189">
    <w:name w:val="font141"/>
    <w:qFormat/>
    <w:uiPriority w:val="99"/>
    <w:rPr>
      <w:rFonts w:ascii="仿宋_GB2312" w:eastAsia="仿宋_GB2312"/>
      <w:color w:val="000000"/>
      <w:sz w:val="20"/>
      <w:u w:val="none"/>
    </w:rPr>
  </w:style>
  <w:style w:type="character" w:customStyle="1" w:styleId="190">
    <w:name w:val="font151"/>
    <w:qFormat/>
    <w:uiPriority w:val="99"/>
    <w:rPr>
      <w:rFonts w:ascii="仿宋_GB2312" w:eastAsia="仿宋_GB2312"/>
      <w:color w:val="000000"/>
      <w:sz w:val="20"/>
      <w:u w:val="none"/>
    </w:rPr>
  </w:style>
  <w:style w:type="character" w:customStyle="1" w:styleId="191">
    <w:name w:val="引用 Char"/>
    <w:link w:val="93"/>
    <w:qFormat/>
    <w:locked/>
    <w:uiPriority w:val="99"/>
    <w:rPr>
      <w:i/>
      <w:color w:val="000000"/>
    </w:rPr>
  </w:style>
  <w:style w:type="character" w:customStyle="1" w:styleId="192">
    <w:name w:val="明显引用 Char"/>
    <w:link w:val="94"/>
    <w:qFormat/>
    <w:locked/>
    <w:uiPriority w:val="99"/>
    <w:rPr>
      <w:b/>
      <w:i/>
      <w:color w:val="4F81BD"/>
    </w:rPr>
  </w:style>
  <w:style w:type="character" w:customStyle="1" w:styleId="193">
    <w:name w:val="不明显强调1"/>
    <w:qFormat/>
    <w:uiPriority w:val="99"/>
    <w:rPr>
      <w:i/>
      <w:color w:val="7F7F7F"/>
    </w:rPr>
  </w:style>
  <w:style w:type="character" w:customStyle="1" w:styleId="194">
    <w:name w:val="明显强调1"/>
    <w:qFormat/>
    <w:uiPriority w:val="99"/>
    <w:rPr>
      <w:b/>
      <w:i/>
      <w:color w:val="4F81BD"/>
    </w:rPr>
  </w:style>
  <w:style w:type="character" w:customStyle="1" w:styleId="195">
    <w:name w:val="不明显参考1"/>
    <w:qFormat/>
    <w:uiPriority w:val="99"/>
    <w:rPr>
      <w:smallCaps/>
      <w:color w:val="C0504D"/>
      <w:u w:val="single"/>
    </w:rPr>
  </w:style>
  <w:style w:type="character" w:customStyle="1" w:styleId="196">
    <w:name w:val="明显参考1"/>
    <w:qFormat/>
    <w:uiPriority w:val="99"/>
    <w:rPr>
      <w:b/>
      <w:smallCaps/>
      <w:color w:val="C0504D"/>
      <w:spacing w:val="5"/>
      <w:u w:val="single"/>
    </w:rPr>
  </w:style>
  <w:style w:type="character" w:customStyle="1" w:styleId="197">
    <w:name w:val="书籍标题1"/>
    <w:qFormat/>
    <w:uiPriority w:val="99"/>
    <w:rPr>
      <w:b/>
      <w:smallCaps/>
      <w:spacing w:val="5"/>
    </w:rPr>
  </w:style>
  <w:style w:type="character" w:customStyle="1" w:styleId="198">
    <w:name w:val="font111"/>
    <w:qFormat/>
    <w:uiPriority w:val="99"/>
    <w:rPr>
      <w:rFonts w:ascii="仿宋_GB2312" w:eastAsia="仿宋_GB2312"/>
      <w:b/>
      <w:color w:val="000000"/>
      <w:sz w:val="22"/>
      <w:u w:val="none"/>
    </w:rPr>
  </w:style>
  <w:style w:type="character" w:customStyle="1" w:styleId="199">
    <w:name w:val="font131"/>
    <w:qFormat/>
    <w:uiPriority w:val="99"/>
    <w:rPr>
      <w:rFonts w:ascii="宋体" w:hAnsi="宋体" w:eastAsia="宋体"/>
      <w:color w:val="000000"/>
      <w:sz w:val="22"/>
      <w:u w:val="none"/>
    </w:rPr>
  </w:style>
  <w:style w:type="character" w:customStyle="1" w:styleId="200">
    <w:name w:val="font161"/>
    <w:qFormat/>
    <w:uiPriority w:val="99"/>
    <w:rPr>
      <w:rFonts w:ascii="仿宋_GB2312" w:eastAsia="仿宋_GB2312"/>
      <w:color w:val="000000"/>
      <w:sz w:val="22"/>
      <w:u w:val="none"/>
    </w:rPr>
  </w:style>
  <w:style w:type="character" w:customStyle="1" w:styleId="201">
    <w:name w:val="font12"/>
    <w:qFormat/>
    <w:uiPriority w:val="99"/>
    <w:rPr>
      <w:rFonts w:ascii="仿宋_GB2312" w:eastAsia="仿宋_GB2312"/>
      <w:color w:val="000000"/>
      <w:sz w:val="22"/>
      <w:u w:val="none"/>
    </w:rPr>
  </w:style>
  <w:style w:type="character" w:customStyle="1" w:styleId="202">
    <w:name w:val="报告正文 Char"/>
    <w:link w:val="100"/>
    <w:qFormat/>
    <w:locked/>
    <w:uiPriority w:val="99"/>
    <w:rPr>
      <w:rFonts w:ascii="宋体" w:hAnsi="宋体" w:eastAsia="仿宋"/>
      <w:sz w:val="28"/>
    </w:rPr>
  </w:style>
  <w:style w:type="character" w:customStyle="1" w:styleId="203">
    <w:name w:val="脚注 字符"/>
    <w:link w:val="101"/>
    <w:qFormat/>
    <w:locked/>
    <w:uiPriority w:val="99"/>
    <w:rPr>
      <w:rFonts w:eastAsia="仿宋_GB2312"/>
      <w:color w:val="000000"/>
      <w:kern w:val="2"/>
      <w:sz w:val="21"/>
    </w:rPr>
  </w:style>
  <w:style w:type="character" w:customStyle="1" w:styleId="204">
    <w:name w:val="自用表 Char"/>
    <w:link w:val="102"/>
    <w:qFormat/>
    <w:locked/>
    <w:uiPriority w:val="99"/>
    <w:rPr>
      <w:rFonts w:eastAsia="仿宋_GB2312"/>
      <w:b/>
      <w:sz w:val="28"/>
      <w:lang w:val="zh-CN" w:eastAsia="zh-CN"/>
    </w:rPr>
  </w:style>
  <w:style w:type="character" w:customStyle="1" w:styleId="205">
    <w:name w:val="str"/>
    <w:basedOn w:val="41"/>
    <w:qFormat/>
    <w:uiPriority w:val="99"/>
    <w:rPr>
      <w:rFonts w:cs="Times New Roman"/>
    </w:rPr>
  </w:style>
  <w:style w:type="character" w:customStyle="1" w:styleId="206">
    <w:name w:val="附件内容 Char"/>
    <w:link w:val="104"/>
    <w:qFormat/>
    <w:locked/>
    <w:uiPriority w:val="99"/>
    <w:rPr>
      <w:rFonts w:eastAsia="仿宋_GB2312"/>
      <w:sz w:val="28"/>
    </w:rPr>
  </w:style>
  <w:style w:type="character" w:customStyle="1" w:styleId="207">
    <w:name w:val="样式 仿宋"/>
    <w:qFormat/>
    <w:uiPriority w:val="99"/>
    <w:rPr>
      <w:rFonts w:ascii="仿宋" w:hAnsi="仿宋" w:eastAsia="仿宋"/>
      <w:kern w:val="1"/>
    </w:rPr>
  </w:style>
  <w:style w:type="character" w:customStyle="1" w:styleId="208">
    <w:name w:val="正文文本 Char1"/>
    <w:semiHidden/>
    <w:qFormat/>
    <w:uiPriority w:val="99"/>
    <w:rPr>
      <w:rFonts w:ascii="Times New Roman" w:hAnsi="Times New Roman" w:eastAsia="仿宋"/>
      <w:kern w:val="2"/>
      <w:sz w:val="22"/>
    </w:rPr>
  </w:style>
  <w:style w:type="character" w:customStyle="1" w:styleId="209">
    <w:name w:val="日期 Char1"/>
    <w:semiHidden/>
    <w:qFormat/>
    <w:uiPriority w:val="99"/>
    <w:rPr>
      <w:rFonts w:ascii="Times New Roman" w:hAnsi="Times New Roman" w:eastAsia="仿宋"/>
      <w:kern w:val="2"/>
      <w:sz w:val="22"/>
    </w:rPr>
  </w:style>
  <w:style w:type="character" w:customStyle="1" w:styleId="210">
    <w:name w:val="自用标题3 Char"/>
    <w:link w:val="105"/>
    <w:qFormat/>
    <w:locked/>
    <w:uiPriority w:val="99"/>
    <w:rPr>
      <w:rFonts w:ascii="黑体" w:hAnsi="黑体" w:eastAsia="仿宋"/>
      <w:b/>
      <w:sz w:val="32"/>
    </w:rPr>
  </w:style>
  <w:style w:type="character" w:customStyle="1" w:styleId="211">
    <w:name w:val="自用标题4 Char"/>
    <w:link w:val="106"/>
    <w:qFormat/>
    <w:locked/>
    <w:uiPriority w:val="99"/>
    <w:rPr>
      <w:rFonts w:eastAsia="仿宋_GB2312"/>
      <w:b/>
      <w:sz w:val="32"/>
    </w:rPr>
  </w:style>
  <w:style w:type="character" w:customStyle="1" w:styleId="212">
    <w:name w:val="楷体 (中文) 楷体"/>
    <w:qFormat/>
    <w:uiPriority w:val="99"/>
    <w:rPr>
      <w:rFonts w:ascii="楷体" w:hAnsi="楷体" w:eastAsia="楷体"/>
      <w:kern w:val="1"/>
      <w:sz w:val="28"/>
    </w:rPr>
  </w:style>
  <w:style w:type="character" w:customStyle="1" w:styleId="213">
    <w:name w:val="正文文本缩进 Char1"/>
    <w:qFormat/>
    <w:uiPriority w:val="99"/>
    <w:rPr>
      <w:rFonts w:ascii="Cambria" w:hAnsi="Cambria"/>
      <w:kern w:val="2"/>
      <w:sz w:val="24"/>
    </w:rPr>
  </w:style>
  <w:style w:type="character" w:customStyle="1" w:styleId="214">
    <w:name w:val="正文文本 2 Char1"/>
    <w:semiHidden/>
    <w:qFormat/>
    <w:uiPriority w:val="99"/>
    <w:rPr>
      <w:rFonts w:ascii="Times New Roman" w:hAnsi="Times New Roman" w:eastAsia="仿宋"/>
      <w:kern w:val="2"/>
      <w:sz w:val="22"/>
    </w:rPr>
  </w:style>
  <w:style w:type="character" w:customStyle="1" w:styleId="215">
    <w:name w:val="正文文本 2 Char2"/>
    <w:semiHidden/>
    <w:qFormat/>
    <w:uiPriority w:val="99"/>
    <w:rPr>
      <w:rFonts w:ascii="宋体" w:eastAsia="宋体"/>
      <w:sz w:val="24"/>
    </w:rPr>
  </w:style>
  <w:style w:type="character" w:customStyle="1" w:styleId="216">
    <w:name w:val="正文文本 Char2"/>
    <w:semiHidden/>
    <w:qFormat/>
    <w:uiPriority w:val="99"/>
    <w:rPr>
      <w:rFonts w:ascii="宋体" w:eastAsia="宋体"/>
      <w:sz w:val="24"/>
    </w:rPr>
  </w:style>
  <w:style w:type="character" w:customStyle="1" w:styleId="217">
    <w:name w:val="日期 Char2"/>
    <w:semiHidden/>
    <w:qFormat/>
    <w:uiPriority w:val="99"/>
    <w:rPr>
      <w:rFonts w:ascii="宋体" w:eastAsia="宋体"/>
      <w:sz w:val="24"/>
    </w:rPr>
  </w:style>
  <w:style w:type="character" w:customStyle="1" w:styleId="218">
    <w:name w:val="正文文本缩进 Char2"/>
    <w:semiHidden/>
    <w:qFormat/>
    <w:uiPriority w:val="99"/>
    <w:rPr>
      <w:rFonts w:ascii="宋体" w:eastAsia="宋体"/>
      <w:sz w:val="24"/>
    </w:rPr>
  </w:style>
  <w:style w:type="character" w:customStyle="1" w:styleId="219">
    <w:name w:val="闻政正文 Char"/>
    <w:link w:val="132"/>
    <w:qFormat/>
    <w:locked/>
    <w:uiPriority w:val="99"/>
    <w:rPr>
      <w:rFonts w:eastAsia="仿宋_GB2312"/>
      <w:sz w:val="28"/>
      <w:lang w:val="zh-CN"/>
    </w:rPr>
  </w:style>
  <w:style w:type="character" w:customStyle="1" w:styleId="220">
    <w:name w:val="闻政图表名 字符"/>
    <w:link w:val="133"/>
    <w:qFormat/>
    <w:locked/>
    <w:uiPriority w:val="99"/>
    <w:rPr>
      <w:rFonts w:eastAsia="仿宋_GB2312"/>
      <w:b/>
      <w:sz w:val="28"/>
    </w:rPr>
  </w:style>
  <w:style w:type="character" w:customStyle="1" w:styleId="221">
    <w:name w:val="闻政表文字 字符"/>
    <w:link w:val="134"/>
    <w:qFormat/>
    <w:locked/>
    <w:uiPriority w:val="99"/>
    <w:rPr>
      <w:rFonts w:eastAsia="仿宋_GB2312"/>
      <w:color w:val="000000"/>
      <w:sz w:val="28"/>
      <w:lang w:val="zh-CN"/>
    </w:rPr>
  </w:style>
  <w:style w:type="character" w:customStyle="1" w:styleId="222">
    <w:name w:val="正文-闻政 Char"/>
    <w:link w:val="135"/>
    <w:qFormat/>
    <w:locked/>
    <w:uiPriority w:val="99"/>
    <w:rPr>
      <w:rFonts w:eastAsia="仿宋_GB2312"/>
      <w:kern w:val="2"/>
      <w:sz w:val="22"/>
    </w:rPr>
  </w:style>
  <w:style w:type="character" w:customStyle="1" w:styleId="223">
    <w:name w:val="脚注文本 字符"/>
    <w:qFormat/>
    <w:uiPriority w:val="99"/>
    <w:rPr>
      <w:rFonts w:ascii="Times New Roman" w:hAnsi="Times New Roman" w:eastAsia="仿宋_GB2312"/>
      <w:sz w:val="18"/>
    </w:rPr>
  </w:style>
  <w:style w:type="character" w:customStyle="1" w:styleId="224">
    <w:name w:val="标题 3 字符"/>
    <w:qFormat/>
    <w:uiPriority w:val="99"/>
    <w:rPr>
      <w:rFonts w:ascii="Times New Roman" w:hAnsi="Times New Roman" w:eastAsia="仿宋_GB2312"/>
      <w:b/>
      <w:kern w:val="0"/>
      <w:sz w:val="32"/>
      <w:lang w:val="zh-CN"/>
    </w:rPr>
  </w:style>
  <w:style w:type="character" w:customStyle="1" w:styleId="225">
    <w:name w:val="一级 字符"/>
    <w:link w:val="138"/>
    <w:qFormat/>
    <w:locked/>
    <w:uiPriority w:val="99"/>
    <w:rPr>
      <w:rFonts w:eastAsia="黑体"/>
      <w:sz w:val="32"/>
    </w:rPr>
  </w:style>
  <w:style w:type="character" w:customStyle="1" w:styleId="226">
    <w:name w:val="二级 字符"/>
    <w:link w:val="139"/>
    <w:qFormat/>
    <w:locked/>
    <w:uiPriority w:val="99"/>
    <w:rPr>
      <w:rFonts w:eastAsia="楷体_GB2312"/>
      <w:sz w:val="32"/>
    </w:rPr>
  </w:style>
  <w:style w:type="character" w:customStyle="1" w:styleId="227">
    <w:name w:val="NormalCharacter"/>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1105</Words>
  <Characters>6304</Characters>
  <Lines>52</Lines>
  <Paragraphs>14</Paragraphs>
  <TotalTime>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2020-10-14T10:37:00Z</dcterms:created>
  <dc:creator>CHY</dc:creator>
  <cp:lastModifiedBy>小黑</cp:lastModifiedBy>
  <cp:lastPrinted>2021-06-03T02:23:00Z</cp:lastPrinted>
  <dcterms:modified xsi:type="dcterms:W3CDTF">2021-06-03T06:27:59Z</dcterms:modified>
  <dc:title>2019年度质量与标准化发展专项资金</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