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overflowPunct w:val="0"/>
        <w:spacing w:line="560" w:lineRule="exact"/>
        <w:rPr>
          <w:rFonts w:ascii="方正小标宋_GBK" w:hAnsi="方正小标宋简体" w:eastAsia="方正小标宋_GBK" w:cs="方正小标宋简体"/>
          <w:color w:val="000000"/>
          <w:sz w:val="44"/>
          <w:szCs w:val="44"/>
        </w:rPr>
      </w:pPr>
    </w:p>
    <w:p>
      <w:pPr>
        <w:widowControl w:val="0"/>
        <w:wordWrap/>
        <w:overflowPunct w:val="0"/>
        <w:spacing w:line="560" w:lineRule="exact"/>
        <w:jc w:val="center"/>
        <w:textAlignment w:val="auto"/>
        <w:rPr>
          <w:rFonts w:ascii="楷体_GB2312" w:hAnsi="楷体_GB2312" w:eastAsia="楷体_GB2312" w:cs="楷体_GB2312"/>
          <w:color w:val="auto"/>
        </w:rPr>
      </w:pPr>
      <w:r>
        <w:rPr>
          <w:rFonts w:hint="eastAsia" w:ascii="方正小标宋_GBK" w:hAnsi="方正小标宋简体" w:eastAsia="方正小标宋_GBK" w:cs="方正小标宋简体"/>
          <w:color w:val="auto"/>
          <w:sz w:val="44"/>
          <w:szCs w:val="44"/>
          <w:lang w:val="en-US" w:eastAsia="zh-CN"/>
        </w:rPr>
        <w:t>市人力资源社会保障局2024年</w:t>
      </w:r>
      <w:r>
        <w:rPr>
          <w:rFonts w:hint="eastAsia" w:ascii="方正小标宋_GBK" w:hAnsi="方正小标宋简体" w:eastAsia="方正小标宋_GBK" w:cs="方正小标宋简体"/>
          <w:color w:val="auto"/>
          <w:sz w:val="44"/>
          <w:szCs w:val="44"/>
        </w:rPr>
        <w:t>工作要点</w:t>
      </w:r>
    </w:p>
    <w:p>
      <w:pPr>
        <w:pStyle w:val="3"/>
        <w:widowControl w:val="0"/>
        <w:wordWrap/>
        <w:overflowPunct w:val="0"/>
        <w:spacing w:after="0" w:line="560" w:lineRule="exact"/>
        <w:ind w:left="0" w:leftChars="0" w:firstLine="0" w:firstLineChars="0"/>
        <w:textAlignment w:val="auto"/>
        <w:rPr>
          <w:rFonts w:ascii="仿宋_GB2312" w:hAnsi="仿宋_GB2312" w:cs="仿宋_GB2312"/>
        </w:rPr>
      </w:pPr>
    </w:p>
    <w:p>
      <w:pPr>
        <w:widowControl w:val="0"/>
        <w:wordWrap/>
        <w:overflowPunct w:val="0"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仿宋_GB2312"/>
          <w:color w:val="000000"/>
          <w:kern w:val="0"/>
          <w:szCs w:val="32"/>
        </w:rPr>
      </w:pPr>
      <w:r>
        <w:rPr>
          <w:rFonts w:hint="eastAsia" w:ascii="仿宋_GB2312" w:hAnsi="仿宋_GB2312" w:eastAsia="仿宋_GB2312" w:cs="仿宋_GB2312"/>
          <w:color w:val="000000"/>
        </w:rPr>
        <w:t>2024年，全市人力资源社会保障工作总体要求是：</w:t>
      </w:r>
      <w:r>
        <w:rPr>
          <w:rFonts w:hint="eastAsia" w:ascii="仿宋_GB2312" w:hAnsi="宋体" w:eastAsia="仿宋_GB2312" w:cs="仿宋_GB2312"/>
          <w:color w:val="000000"/>
          <w:kern w:val="0"/>
          <w:szCs w:val="32"/>
        </w:rPr>
        <w:t>以习近平新时代中国特色社会主义思想为指导，深入贯彻党的二十大和二十届二中全会精神，</w:t>
      </w:r>
      <w:r>
        <w:rPr>
          <w:rFonts w:hint="eastAsia" w:ascii="仿宋_GB2312" w:hAnsi="仿宋_GB2312" w:eastAsia="仿宋_GB2312" w:cs="仿宋_GB2312"/>
          <w:color w:val="000000"/>
        </w:rPr>
        <w:t>贯彻落实中央、省委、市委有关工作要求和国家、省人力资源社会保障工作部署，</w:t>
      </w:r>
      <w:r>
        <w:rPr>
          <w:rFonts w:hint="eastAsia" w:ascii="仿宋_GB2312" w:hAnsi="仿宋_GB2312" w:eastAsia="仿宋_GB2312" w:cs="仿宋_GB2312"/>
          <w:szCs w:val="32"/>
        </w:rPr>
        <w:t>坚持稳中求进、以进促稳、先立后破，</w:t>
      </w:r>
      <w:r>
        <w:rPr>
          <w:rFonts w:hint="eastAsia" w:ascii="仿宋_GB2312" w:hAnsi="仿宋_GB2312" w:eastAsia="仿宋_GB2312" w:cs="仿宋_GB2312"/>
          <w:color w:val="000000"/>
        </w:rPr>
        <w:t>以加强党的建设为引领，</w:t>
      </w:r>
      <w:r>
        <w:rPr>
          <w:rFonts w:hint="eastAsia" w:ascii="仿宋_GB2312" w:hAnsi="仿宋_GB2312" w:eastAsia="仿宋_GB2312" w:cs="仿宋_GB2312"/>
          <w:szCs w:val="32"/>
        </w:rPr>
        <w:t>以人力资源开发利用为主题主线，</w:t>
      </w:r>
      <w:r>
        <w:rPr>
          <w:rFonts w:hint="eastAsia" w:ascii="仿宋_GB2312" w:hAnsi="宋体" w:eastAsia="仿宋_GB2312" w:cs="仿宋_GB2312"/>
          <w:color w:val="000000"/>
          <w:kern w:val="0"/>
          <w:szCs w:val="32"/>
        </w:rPr>
        <w:t>统筹推进就业创业、社会保障、人事人才、劳动关系、行风建设等各项工作，在保障和改善民生、助力经济社会发展中打头阵、当先锋，为中国式现代化青岛实践增光添彩。</w:t>
      </w:r>
    </w:p>
    <w:p>
      <w:pPr>
        <w:pStyle w:val="3"/>
        <w:widowControl w:val="0"/>
        <w:wordWrap/>
        <w:overflowPunct w:val="0"/>
        <w:spacing w:after="0" w:line="560" w:lineRule="exact"/>
        <w:ind w:left="0" w:leftChars="0" w:firstLine="640" w:firstLineChars="200"/>
        <w:textAlignment w:val="auto"/>
        <w:rPr>
          <w:color w:val="000000"/>
        </w:rPr>
      </w:pPr>
      <w:r>
        <w:rPr>
          <w:rFonts w:hint="eastAsia" w:ascii="黑体" w:hAnsi="黑体" w:eastAsia="黑体" w:cs="黑体"/>
          <w:color w:val="000000"/>
        </w:rPr>
        <w:t>一、坚持就业优先战略，确保就业工作稳中提质</w:t>
      </w:r>
      <w:r>
        <w:rPr>
          <w:rFonts w:hint="eastAsia" w:ascii="黑体" w:hAnsi="黑体" w:eastAsia="黑体" w:cs="黑体"/>
          <w:color w:val="000000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全年实现城镇新增就业35万人以上。突出就业优先导向，出台促进高质量充分就业实施意见，统筹推动农村劳动力就业工作集成改革，健全城乡一体就业工作体系。启动先进制造业促就业行动，完善促进灵活就业激励保障措施。</w:t>
      </w:r>
      <w:r>
        <w:rPr>
          <w:rFonts w:hint="eastAsia" w:ascii="仿宋_GB2312" w:hAnsi="仿宋_GB2312" w:eastAsia="仿宋_GB2312" w:cs="仿宋_GB2312"/>
          <w:color w:val="000000"/>
        </w:rPr>
        <w:t>延续实施阶段性降低失业保险费率、稳岗返还、技能提升补贴等政策。</w:t>
      </w:r>
      <w:r>
        <w:rPr>
          <w:rFonts w:hint="eastAsia" w:ascii="仿宋_GB2312" w:hAnsi="仿宋_GB2312" w:eastAsia="仿宋_GB2312" w:cs="仿宋_GB2312"/>
          <w:color w:val="000000"/>
          <w:szCs w:val="32"/>
          <w:highlight w:val="none"/>
        </w:rPr>
        <w:t>做好离校未就业高校毕业生实名制服务，创新推进青年求职能力实训。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滚动实施城乡公益性岗位扩容提质行动。深化跨区域劳务协作，优化零工市场布局。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  <w:t>完善支持家政服务业发展促就业政策措施</w:t>
      </w:r>
      <w:r>
        <w:rPr>
          <w:rFonts w:hint="eastAsia" w:ascii="仿宋_GB2312" w:hAnsi="仿宋_GB2312" w:eastAsia="仿宋_GB2312" w:cs="仿宋_GB2312"/>
          <w:color w:val="auto"/>
          <w:szCs w:val="32"/>
        </w:rPr>
        <w:t>。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完善创业担保贷款服务机制。优化全链条创业服务体系，打造智能化数字化创业服务生态</w:t>
      </w:r>
      <w:r>
        <w:rPr>
          <w:rFonts w:hint="eastAsia" w:ascii="仿宋_GB2312" w:hAnsi="仿宋_GB2312" w:eastAsia="仿宋_GB2312" w:cs="仿宋_GB2312"/>
          <w:color w:val="000000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Cs w:val="32"/>
          <w:highlight w:val="none"/>
        </w:rPr>
        <w:t>全年扶持创业3万人以上。举办2024“创·在青岛”创新创业大赛和留学人员创新创业大赛。</w:t>
      </w:r>
      <w:r>
        <w:rPr>
          <w:rFonts w:hint="eastAsia" w:ascii="仿宋_GB2312" w:hAnsi="仿宋_GB2312" w:eastAsia="仿宋_GB2312" w:cs="仿宋_GB2312"/>
          <w:color w:val="000000"/>
          <w:highlight w:val="none"/>
        </w:rPr>
        <w:t>实施“社区微业”行动，打造“就享家”乐业服务站</w:t>
      </w:r>
      <w:r>
        <w:rPr>
          <w:rFonts w:hint="eastAsia" w:ascii="仿宋_GB2312" w:hAnsi="仿宋_GB2312" w:eastAsia="仿宋_GB2312" w:cs="仿宋_GB2312"/>
          <w:color w:val="000000"/>
          <w:highlight w:val="none"/>
          <w:lang w:val="en-US" w:eastAsia="zh-CN"/>
        </w:rPr>
        <w:t>150</w:t>
      </w:r>
      <w:r>
        <w:rPr>
          <w:rFonts w:hint="eastAsia" w:ascii="仿宋_GB2312" w:hAnsi="仿宋_GB2312" w:eastAsia="仿宋_GB2312" w:cs="仿宋_GB2312"/>
          <w:color w:val="000000"/>
          <w:highlight w:val="none"/>
        </w:rPr>
        <w:t>个。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常态化开展重点企业用工保障专项行动。完善区域内劳动用工余缺调剂机制。</w:t>
      </w:r>
    </w:p>
    <w:p>
      <w:pPr>
        <w:pStyle w:val="8"/>
        <w:widowControl w:val="0"/>
        <w:wordWrap/>
        <w:overflowPunct w:val="0"/>
        <w:spacing w:line="56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color w:val="auto"/>
          <w:kern w:val="24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二、健全完善多层次社保体系，织密兜牢民生保障安全网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聚焦新增就业人员、新业态从业人员等群体，开展精准扩面行动。巩固养老保险脱贫攻坚同乡村振兴衔接成果，做好被征地农民参加居民养老保险工作。推进人才年金在青先行试点，</w:t>
      </w:r>
      <w:r>
        <w:rPr>
          <w:rFonts w:ascii="仿宋_GB2312" w:hAnsi="宋体" w:eastAsia="仿宋_GB2312" w:cs="仿宋_GB2312"/>
          <w:color w:val="000000"/>
          <w:sz w:val="32"/>
          <w:szCs w:val="32"/>
          <w:shd w:val="clear" w:color="auto" w:fill="FFFFFF"/>
        </w:rPr>
        <w:t>落实养老保险全国统筹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</w:rPr>
        <w:t>制度，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推进企业年金、个人养老金发展。深化实施补充工伤保险与伤养服务相结合的新型工伤保障制度。有序推进工伤保险基金省级统收统支。按时、足额、准确发放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各项社保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待遇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优化工伤保险智能服务平台，做好劳动能力鉴定经办服务。进一步拓宽大数据认证渠道，确保社保待遇资格认证率在99%以上。创新灵活就业人员退休“社银联办”服务模式。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实施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“社会保障卡主题公园”“社会保障卡·惠享山东行”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行动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，推进社保卡居民服务“一卡通”多领域应用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/>
        </w:rPr>
        <w:t>推进胶东经济圈社保一体化向纵深发展。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贯彻实施省“社银直联”方案，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/>
        </w:rPr>
        <w:t>推进社保资金拨付向“省标模式”切换。研究建立社会保险财政投入长效管理机制，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强化社保基金运行管理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推进社会保险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基金管理巩固提升行动，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利用信息化技术手段开展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常态化数据稽核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，加强社会保险基金监督检查</w:t>
      </w:r>
      <w:r>
        <w:rPr>
          <w:rFonts w:hint="eastAsia" w:ascii="仿宋_GB2312" w:hAnsi="仿宋_GB2312" w:eastAsia="仿宋_GB2312" w:cs="仿宋_GB2312"/>
          <w:color w:val="auto"/>
          <w:kern w:val="24"/>
          <w:sz w:val="32"/>
          <w:szCs w:val="32"/>
          <w:highlight w:val="none"/>
        </w:rPr>
        <w:t>。</w:t>
      </w:r>
    </w:p>
    <w:p>
      <w:pPr>
        <w:widowControl w:val="0"/>
        <w:wordWrap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/>
          <w:szCs w:val="32"/>
        </w:rPr>
      </w:pPr>
      <w:r>
        <w:rPr>
          <w:rFonts w:hint="eastAsia" w:ascii="黑体" w:hAnsi="黑体" w:eastAsia="黑体" w:cs="黑体"/>
          <w:color w:val="000000"/>
        </w:rPr>
        <w:t>三、打造人才集聚高地，增强服务经济社会发展能力</w:t>
      </w:r>
      <w:r>
        <w:rPr>
          <w:rFonts w:hint="eastAsia" w:ascii="黑体" w:hAnsi="黑体" w:eastAsia="黑体" w:cs="黑体"/>
          <w:color w:val="000000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</w:rPr>
        <w:t>年度集聚各类人才25万人以上。</w:t>
      </w:r>
      <w:r>
        <w:rPr>
          <w:rFonts w:hint="eastAsia" w:ascii="仿宋_GB2312" w:hAnsi="仿宋_GB2312" w:eastAsia="仿宋_GB2312" w:cs="仿宋_GB2312"/>
          <w:color w:val="000000"/>
          <w:lang w:val="en-US" w:eastAsia="zh-CN"/>
        </w:rPr>
        <w:t>推进实施“人才强青”计划，</w:t>
      </w:r>
      <w:r>
        <w:rPr>
          <w:rFonts w:hint="eastAsia" w:ascii="仿宋_GB2312" w:hAnsi="仿宋_GB2312" w:eastAsia="仿宋_GB2312" w:cs="仿宋_GB2312"/>
          <w:color w:val="000000"/>
        </w:rPr>
        <w:t>落实顶尖人才认定奖励、研究生实习生活补贴、留学人员创业支持</w:t>
      </w:r>
      <w:r>
        <w:rPr>
          <w:rFonts w:hint="eastAsia" w:ascii="仿宋_GB2312" w:hAnsi="仿宋_GB2312" w:eastAsia="仿宋_GB2312" w:cs="仿宋_GB2312"/>
          <w:color w:val="000000"/>
          <w:lang w:val="en-US" w:eastAsia="zh-CN"/>
        </w:rPr>
        <w:t>计划</w:t>
      </w:r>
      <w:r>
        <w:rPr>
          <w:rFonts w:hint="eastAsia" w:ascii="仿宋_GB2312" w:hAnsi="仿宋_GB2312" w:eastAsia="仿宋_GB2312" w:cs="仿宋_GB2312"/>
          <w:color w:val="000000"/>
        </w:rPr>
        <w:t>等政策。构建富有青岛特色的招才引智新模式，办好“招才引智名校行”“青雁归巢”等品牌引才活动</w:t>
      </w:r>
      <w:r>
        <w:rPr>
          <w:rFonts w:hint="eastAsia" w:ascii="仿宋_GB2312" w:hAnsi="仿宋_GB2312" w:eastAsia="仿宋_GB2312" w:cs="仿宋_GB2312"/>
          <w:color w:val="000000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组织开展“智引全球”蓝色招聘活动，举办第二十四届“蓝洽会”。持续推进职称制度改革，</w:t>
      </w:r>
      <w:r>
        <w:rPr>
          <w:rFonts w:hint="eastAsia" w:ascii="仿宋_GB2312" w:hAnsi="仿宋_GB2312" w:eastAsia="仿宋_GB2312" w:cs="仿宋_GB2312"/>
          <w:color w:val="000000"/>
          <w:szCs w:val="32"/>
          <w:highlight w:val="none"/>
        </w:rPr>
        <w:t>深入实施“专精特新”企业职称申报“举荐制”。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全面推进博士后创新创业三年行动计划，开展博士后创新创业“五大行动”。大规模开展专技人员继续教育，全年培训专技人员20万人次。</w:t>
      </w:r>
      <w:r>
        <w:rPr>
          <w:rFonts w:hint="eastAsia" w:ascii="仿宋_GB2312" w:hAnsi="仿宋_GB2312" w:eastAsia="仿宋_GB2312" w:cs="仿宋_GB2312"/>
          <w:color w:val="000000"/>
          <w:szCs w:val="32"/>
          <w:highlight w:val="none"/>
        </w:rPr>
        <w:t>开展专家服务基层活动，推动新时代专家服务基层工作提质扩面增效。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持续推行终身职业技能培训制度，强化重点群体和企业职工职业技能培训。推进国家、省、市加强新时代高技能人才队伍建设意见落地实施。深化技能人才评价改革，完善“新八级工”职业技能等级制度，全年开展职业技能等级认定2万人。组织开展第十七届职业技能大赛。“一校一策”推进技工院校高质量发展，全市技工院校招生1.3万人。</w:t>
      </w:r>
      <w:r>
        <w:rPr>
          <w:rFonts w:hint="eastAsia" w:ascii="仿宋_GB2312" w:hAnsi="仿宋_GB2312" w:eastAsia="仿宋_GB2312" w:cs="仿宋_GB2312"/>
          <w:color w:val="000000"/>
          <w:szCs w:val="32"/>
          <w:highlight w:val="none"/>
          <w:shd w:val="clear" w:color="auto" w:fill="FFFFFF"/>
        </w:rPr>
        <w:t>统筹全市人力资源服务业发展规划布局，做强做大头部骨干企业。引导人力资源服务机构积极参与稳就业促就业行动。</w:t>
      </w:r>
      <w:r>
        <w:rPr>
          <w:rStyle w:val="12"/>
          <w:rFonts w:hint="eastAsia" w:ascii="仿宋_GB2312" w:hAnsi="仿宋_GB2312" w:eastAsia="仿宋_GB2312" w:cs="仿宋_GB2312"/>
          <w:b w:val="0"/>
          <w:color w:val="000000"/>
          <w:szCs w:val="32"/>
          <w:highlight w:val="none"/>
          <w:shd w:val="clear" w:color="auto" w:fill="FFFFFF"/>
        </w:rPr>
        <w:t>发展专业性行业性人才市场，</w:t>
      </w:r>
      <w:r>
        <w:rPr>
          <w:rFonts w:hint="eastAsia" w:ascii="仿宋_GB2312" w:hAnsi="仿宋_GB2312" w:eastAsia="仿宋_GB2312" w:cs="仿宋_GB2312"/>
          <w:color w:val="000000"/>
          <w:szCs w:val="32"/>
          <w:highlight w:val="none"/>
        </w:rPr>
        <w:t>打造中国海洋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  <w:t>人才</w:t>
      </w:r>
      <w:r>
        <w:rPr>
          <w:rFonts w:hint="eastAsia" w:ascii="仿宋_GB2312" w:hAnsi="仿宋_GB2312" w:eastAsia="仿宋_GB2312" w:cs="仿宋_GB2312"/>
          <w:color w:val="000000"/>
          <w:szCs w:val="32"/>
          <w:highlight w:val="none"/>
        </w:rPr>
        <w:t>市场特色服务品牌</w:t>
      </w:r>
      <w:r>
        <w:rPr>
          <w:rFonts w:hint="eastAsia" w:ascii="仿宋_GB2312" w:hAnsi="仿宋_GB2312" w:eastAsia="仿宋_GB2312" w:cs="仿宋_GB2312"/>
          <w:color w:val="000000"/>
          <w:szCs w:val="32"/>
          <w:highlight w:val="none"/>
        </w:rPr>
        <w:t>。</w:t>
      </w:r>
      <w:r>
        <w:rPr>
          <w:rFonts w:hint="eastAsia" w:ascii="仿宋_GB2312" w:hAnsi="仿宋_GB2312" w:eastAsia="仿宋_GB2312" w:cs="仿宋_GB2312"/>
          <w:color w:val="000000"/>
        </w:rPr>
        <w:t>健全完善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需求驱动服务机制，持续提升“</w:t>
      </w:r>
      <w:r>
        <w:rPr>
          <w:rFonts w:hint="eastAsia" w:ascii="仿宋_GB2312" w:hAnsi="仿宋_GB2312" w:eastAsia="仿宋_GB2312" w:cs="仿宋_GB2312"/>
          <w:color w:val="000000"/>
        </w:rPr>
        <w:t>一站式、市场化、无感化、定制化、国际化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”人才服务水平。</w:t>
      </w:r>
    </w:p>
    <w:p>
      <w:pPr>
        <w:pStyle w:val="2"/>
        <w:widowControl w:val="0"/>
        <w:wordWrap/>
        <w:overflowPunct w:val="0"/>
        <w:spacing w:after="0"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/>
        </w:rPr>
      </w:pPr>
      <w:r>
        <w:rPr>
          <w:rFonts w:hint="eastAsia" w:ascii="黑体" w:hAnsi="黑体" w:eastAsia="黑体" w:cs="黑体"/>
          <w:color w:val="000000"/>
        </w:rPr>
        <w:t>四、优化事业单位人事管理，激发创新创造活力</w:t>
      </w:r>
      <w:r>
        <w:rPr>
          <w:rFonts w:hint="eastAsia" w:ascii="黑体" w:hAnsi="黑体" w:eastAsia="黑体" w:cs="黑体"/>
          <w:color w:val="000000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完善人事管理制度体系建设，建立事业单位紧缺急需人才定制机制。加强事业单位人事规范管理，制定公开招聘面试工作规程，组织开展基层遴选。开展事业单位人事管理专项检查，完善事中事后监管机制。</w:t>
      </w:r>
      <w:r>
        <w:rPr>
          <w:rFonts w:hint="eastAsia" w:ascii="仿宋_GB2312" w:hAnsi="宋体" w:eastAsia="仿宋_GB2312"/>
          <w:color w:val="000000"/>
          <w:szCs w:val="32"/>
        </w:rPr>
        <w:t>优化高层次人才评价，组织专业技术高等级岗位评聘。</w:t>
      </w:r>
      <w:r>
        <w:rPr>
          <w:rFonts w:hint="eastAsia" w:ascii="仿宋_GB2312" w:hAnsi="仿宋_GB2312" w:eastAsia="仿宋_GB2312" w:cs="仿宋_GB2312"/>
          <w:color w:val="000000"/>
          <w:szCs w:val="32"/>
          <w:highlight w:val="none"/>
        </w:rPr>
        <w:t>启用市流动人员人事档案管理服务中心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。研究出台事业单位绩效工资监督检查办法</w:t>
      </w:r>
      <w:r>
        <w:rPr>
          <w:rFonts w:hint="eastAsia" w:ascii="仿宋_GB2312" w:hAnsi="仿宋_GB2312" w:eastAsia="仿宋_GB2312" w:cs="仿宋_GB2312"/>
          <w:bCs/>
          <w:color w:val="000000"/>
          <w:szCs w:val="32"/>
        </w:rPr>
        <w:t>，规范事业单位收入分配秩序</w:t>
      </w:r>
      <w:r>
        <w:rPr>
          <w:rFonts w:hint="eastAsia" w:ascii="仿宋_GB2312" w:hAnsi="仿宋_GB2312" w:eastAsia="仿宋_GB2312" w:cs="仿宋_GB2312"/>
          <w:bCs/>
          <w:color w:val="000000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开发建设工资“六个自动套改”系统，提升工资福利管理数字化水平。推进人事考试信息化建设，打造人事考试综合管理平台。</w:t>
      </w:r>
      <w:r>
        <w:rPr>
          <w:rFonts w:hint="eastAsia" w:ascii="仿宋_GB2312" w:hAnsi="仿宋_GB2312" w:eastAsia="仿宋_GB2312" w:cs="仿宋_GB2312"/>
          <w:color w:val="000000"/>
        </w:rPr>
        <w:t>动态调整创建示范目录，推进全市创建示范活动有序开展。</w:t>
      </w:r>
    </w:p>
    <w:p>
      <w:pPr>
        <w:pStyle w:val="3"/>
        <w:widowControl w:val="0"/>
        <w:wordWrap/>
        <w:overflowPunct w:val="0"/>
        <w:spacing w:after="0" w:line="560" w:lineRule="exact"/>
        <w:ind w:left="0" w:leftChars="0" w:firstLine="640" w:firstLineChars="200"/>
        <w:textAlignment w:val="auto"/>
        <w:rPr>
          <w:rFonts w:ascii="仿宋_GB2312" w:hAnsi="仿宋_GB2312" w:eastAsia="仿宋_GB2312" w:cs="仿宋_GB2312"/>
          <w:color w:val="000000"/>
          <w:szCs w:val="32"/>
        </w:rPr>
      </w:pPr>
      <w:r>
        <w:rPr>
          <w:rFonts w:hint="eastAsia" w:ascii="黑体" w:hAnsi="黑体" w:eastAsia="黑体" w:cs="黑体"/>
          <w:color w:val="000000"/>
        </w:rPr>
        <w:t>五、提升劳动关系治理效能，维护劳动者合法权益</w:t>
      </w:r>
      <w:r>
        <w:rPr>
          <w:rFonts w:hint="eastAsia" w:ascii="黑体" w:hAnsi="黑体" w:eastAsia="黑体" w:cs="黑体"/>
          <w:color w:val="000000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完善劳动关系协商协调机制，提升劳动关系协同治理效能。推进新时代和谐劳动关系创建</w:t>
      </w:r>
      <w:r>
        <w:rPr>
          <w:rFonts w:hint="eastAsia" w:ascii="仿宋_GB2312" w:hAnsi="黑体" w:eastAsia="仿宋_GB2312"/>
          <w:color w:val="000000"/>
          <w:szCs w:val="32"/>
        </w:rPr>
        <w:t>，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落实新就业形态劳动者劳动权益保障措施。强化劳务派遣“监管+服务”模式。</w:t>
      </w:r>
      <w:r>
        <w:rPr>
          <w:rFonts w:hint="eastAsia" w:ascii="仿宋_GB2312" w:hAnsi="楷体_GB2312" w:eastAsia="仿宋_GB2312" w:cs="楷体_GB2312"/>
          <w:color w:val="000000"/>
        </w:rPr>
        <w:t>加强企业工资宏观调控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，发布人力资源市场工资价位和重点行业人工成本信息。强化劳动人事争议源头治理，</w:t>
      </w:r>
      <w:r>
        <w:rPr>
          <w:rFonts w:hint="eastAsia" w:ascii="仿宋_GB2312" w:hAnsi="仿宋_GB2312" w:eastAsia="仿宋_GB2312" w:cs="仿宋_GB2312"/>
          <w:color w:val="000000"/>
          <w:szCs w:val="32"/>
          <w:highlight w:val="none"/>
        </w:rPr>
        <w:t>优化“大数据监测预警+跨部门联动处置”工作机制。开展基层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调解组织金牌调解员评选活动。</w:t>
      </w:r>
      <w:r>
        <w:rPr>
          <w:rFonts w:hint="eastAsia" w:ascii="仿宋_GB2312" w:hAnsi="仿宋_GB2312" w:eastAsia="仿宋_GB2312" w:cs="仿宋_GB2312"/>
          <w:color w:val="000000"/>
          <w:kern w:val="0"/>
          <w:szCs w:val="32"/>
        </w:rPr>
        <w:t>推动仲裁院调解中心建设，打造“一站式”维权服务</w:t>
      </w:r>
      <w:bookmarkStart w:id="0" w:name="_GoBack"/>
      <w:r>
        <w:rPr>
          <w:rFonts w:hint="eastAsia" w:ascii="仿宋_GB2312" w:hAnsi="仿宋_GB2312" w:eastAsia="仿宋_GB2312" w:cs="仿宋_GB2312"/>
          <w:color w:val="000000"/>
          <w:kern w:val="0"/>
          <w:szCs w:val="32"/>
          <w:highlight w:val="none"/>
        </w:rPr>
        <w:t>。</w:t>
      </w:r>
      <w:r>
        <w:rPr>
          <w:rFonts w:hint="eastAsia" w:ascii="仿宋_GB2312" w:hAnsi="仿宋_GB2312" w:eastAsia="仿宋_GB2312" w:cs="仿宋_GB2312"/>
          <w:color w:val="000000"/>
          <w:szCs w:val="32"/>
          <w:highlight w:val="none"/>
        </w:rPr>
        <w:t>深化“智慧仲裁”建设。严厉打击欠薪违法违规行为，创新欠薪治理格局，全面实施</w:t>
      </w:r>
      <w:r>
        <w:rPr>
          <w:rFonts w:hint="eastAsia" w:ascii="仿宋_GB2312" w:hAnsi="仿宋_GB2312" w:eastAsia="仿宋_GB2312" w:cs="仿宋_GB2312"/>
          <w:color w:val="000000"/>
          <w:highlight w:val="none"/>
        </w:rPr>
        <w:t>“五</w:t>
      </w:r>
      <w:bookmarkEnd w:id="0"/>
      <w:r>
        <w:rPr>
          <w:rFonts w:hint="eastAsia" w:ascii="仿宋_GB2312" w:hAnsi="仿宋_GB2312" w:eastAsia="仿宋_GB2312" w:cs="仿宋_GB2312"/>
          <w:color w:val="000000"/>
        </w:rPr>
        <w:t>员管理”责任制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。推进智慧监察建设，提升劳动保障监察执法能力。</w:t>
      </w:r>
      <w:r>
        <w:rPr>
          <w:rFonts w:hint="eastAsia" w:ascii="仿宋_GB2312" w:hAnsi="仿宋_GB2312" w:eastAsia="仿宋_GB2312" w:cs="仿宋_GB2312"/>
          <w:color w:val="000000"/>
        </w:rPr>
        <w:t>全面落实工程建设领域农民工工资支付保障制度。推进用人单位诚信建设，加大重大劳动保障违法行为社会公布和失信联合惩戒力度。</w:t>
      </w:r>
    </w:p>
    <w:p>
      <w:pPr>
        <w:pStyle w:val="10"/>
        <w:widowControl w:val="0"/>
        <w:wordWrap/>
        <w:overflowPunct w:val="0"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六、抓好综合性基础性工作，提升人社服务质效</w:t>
      </w: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。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制定胶东经济圈人社领域营商环境跨地区“一体化”协同改革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val="en-US" w:eastAsia="zh-CN"/>
        </w:rPr>
        <w:t>试点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任务清单，持续推动胶东经济圈人社一体化发展。统筹推进全市人社领域要素市场化改革。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深入学习宣传贯彻习近平法治思想，提高依法行政意识。全面优化营商环境，推进行政事项、服务事项规范化标准化便利化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制定实施人社领域“促进经济巩固向好、加快绿色低碳高质量发展”政策清单。做好政府安排工作退役士兵安置和随军家属安置计划的编制实施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  <w:r>
        <w:rPr>
          <w:rFonts w:hint="eastAsia" w:ascii="仿宋_GB2312" w:hAnsi="仿宋" w:eastAsia="仿宋_GB2312" w:cs="仿宋_GB2312"/>
          <w:color w:val="000000"/>
          <w:kern w:val="2"/>
          <w:sz w:val="32"/>
          <w:szCs w:val="32"/>
        </w:rPr>
        <w:t>推进</w:t>
      </w:r>
      <w:r>
        <w:rPr>
          <w:rFonts w:hint="eastAsia" w:ascii="仿宋_GB2312" w:hAnsi="仿宋" w:eastAsia="仿宋_GB2312" w:cs="仿宋_GB2312"/>
          <w:color w:val="000000"/>
          <w:kern w:val="2"/>
          <w:sz w:val="32"/>
          <w:szCs w:val="32"/>
          <w:lang w:val="en-US" w:eastAsia="zh-CN"/>
        </w:rPr>
        <w:t>政务</w:t>
      </w:r>
      <w:r>
        <w:rPr>
          <w:rFonts w:hint="eastAsia" w:ascii="仿宋_GB2312" w:hAnsi="仿宋" w:eastAsia="仿宋_GB2312" w:cs="仿宋_GB2312"/>
          <w:color w:val="000000"/>
          <w:kern w:val="2"/>
          <w:sz w:val="32"/>
          <w:szCs w:val="32"/>
        </w:rPr>
        <w:t>公开，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优化人社政策“月月讲、周周问”宣传解读机制，</w:t>
      </w:r>
      <w:r>
        <w:rPr>
          <w:rFonts w:hint="eastAsia" w:ascii="仿宋_GB2312" w:hAnsi="仿宋" w:eastAsia="仿宋_GB2312" w:cs="仿宋_GB2312"/>
          <w:color w:val="000000"/>
          <w:kern w:val="2"/>
          <w:sz w:val="32"/>
          <w:szCs w:val="32"/>
        </w:rPr>
        <w:t>举办“政府开放日”系列活动，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开展人社政策进社区、进企业、进高校宣讲活动</w:t>
      </w:r>
      <w:r>
        <w:rPr>
          <w:rFonts w:hint="eastAsia" w:ascii="仿宋_GB2312" w:hAnsi="仿宋" w:eastAsia="仿宋_GB2312" w:cs="仿宋_GB2312"/>
          <w:color w:val="000000"/>
          <w:kern w:val="2"/>
          <w:sz w:val="32"/>
          <w:szCs w:val="32"/>
        </w:rPr>
        <w:t>推动政策落地见效。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推进12333热线多渠道智能化发展。做好省“智慧人社”一体化平台接入和建设推进工作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贯彻落实“数字青岛”建设部署，建立智慧人社服务“一核双擎三平台”架构体系。</w:t>
      </w:r>
    </w:p>
    <w:p>
      <w:pPr>
        <w:pStyle w:val="2"/>
        <w:widowControl w:val="0"/>
        <w:wordWrap/>
        <w:overflowPunct w:val="0"/>
        <w:spacing w:after="0" w:line="560" w:lineRule="exact"/>
        <w:ind w:firstLine="640" w:firstLineChars="200"/>
        <w:textAlignment w:val="auto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color w:val="000000"/>
        </w:rPr>
        <w:t>七、全面加强党的建设，锻造新时代过硬人社队伍</w:t>
      </w:r>
      <w:r>
        <w:rPr>
          <w:rFonts w:hint="eastAsia" w:ascii="黑体" w:hAnsi="黑体" w:eastAsia="黑体" w:cs="黑体"/>
          <w:color w:val="000000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</w:rPr>
        <w:t>巩固拓展主题教育成果，深入学习贯彻习近平新时代中国特色社会主义思想</w:t>
      </w:r>
      <w:r>
        <w:rPr>
          <w:rFonts w:hint="eastAsia" w:ascii="仿宋_GB2312" w:hAnsi="仿宋_GB2312" w:eastAsia="仿宋_GB2312" w:cs="仿宋_GB2312"/>
          <w:color w:val="000000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</w:rPr>
        <w:t>深刻领悟“两个确立”的决定性意义，切实增强“四个意识”、坚定“四个自信”、做到“两个维护”。强化理论武装，及时跟进学习习近平总书记重要讲话、重要指示批示精神。加强基层组织建设，完善上下贯通、执行有力的组织体系。深入开展精神文明创建，抓牢意识形态</w:t>
      </w:r>
      <w:r>
        <w:rPr>
          <w:rFonts w:hint="eastAsia" w:ascii="仿宋_GB2312" w:hAnsi="仿宋_GB2312" w:eastAsia="仿宋_GB2312" w:cs="仿宋_GB2312"/>
          <w:color w:val="000000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color w:val="000000"/>
        </w:rPr>
        <w:t>统一战线工作。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严格落实全面从严治党主体责任，</w:t>
      </w:r>
      <w:r>
        <w:rPr>
          <w:rFonts w:hint="eastAsia" w:ascii="仿宋_GB2312" w:hAnsi="仿宋_GB2312" w:eastAsia="仿宋_GB2312" w:cs="仿宋_GB2312"/>
          <w:color w:val="000000"/>
        </w:rPr>
        <w:t>持续加强“清廉人社”建设。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落实新时代好干部标准，锻造人社“实干家”干部队伍。持续组织各类亮绩、晒绩擂台活动，优化提升干部作风能力。深入推进“人社服务快办行动”</w:t>
      </w:r>
      <w:r>
        <w:rPr>
          <w:rFonts w:hint="eastAsia" w:ascii="仿宋_GB2312" w:hAnsi="仿宋_GB2312" w:eastAsia="仿宋_GB2312" w:cs="仿宋_GB2312"/>
          <w:color w:val="000000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常态化开展</w:t>
      </w:r>
      <w:r>
        <w:rPr>
          <w:rFonts w:hint="eastAsia" w:ascii="仿宋_GB2312" w:hAnsi="仿宋_GB2312" w:eastAsia="仿宋_GB2312" w:cs="仿宋_GB2312"/>
          <w:color w:val="000000"/>
        </w:rPr>
        <w:t>“人社干部走流程”</w:t>
      </w:r>
      <w:r>
        <w:rPr>
          <w:rFonts w:hint="eastAsia" w:ascii="仿宋_GB2312" w:hAnsi="仿宋_GB2312" w:eastAsia="仿宋_GB2312" w:cs="仿宋_GB2312"/>
          <w:color w:val="000000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</w:rPr>
        <w:t>持续开展“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身边一件事”服务活动。</w:t>
      </w:r>
    </w:p>
    <w:sectPr>
      <w:footerReference r:id="rId4" w:type="default"/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w:pict>
        <v:rect id="文本框 1" o:spid="_x0000_s1025" style="position:absolute;left:0;margin-top:0pt;height:144pt;width:144pt;mso-position-horizontal:center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8"/>
                  <w:rPr>
                    <w:rFonts w:ascii="宋体" w:hAnsi="宋体" w:eastAsia="宋体" w:cs="宋体"/>
                    <w:sz w:val="24"/>
                    <w:szCs w:val="24"/>
                  </w:rPr>
                </w:pPr>
                <w:r>
                  <w:rPr>
                    <w:rFonts w:hint="eastAsia" w:ascii="宋体" w:hAnsi="宋体" w:eastAsia="宋体" w:cs="宋体"/>
                    <w:sz w:val="24"/>
                    <w:szCs w:val="24"/>
                  </w:rPr>
                  <w:t xml:space="preserve">— </w:t>
                </w:r>
                <w:r>
                  <w:rPr>
                    <w:rFonts w:hint="eastAsia" w:ascii="宋体" w:hAnsi="宋体" w:eastAsia="宋体" w:cs="宋体"/>
                    <w:sz w:val="24"/>
                    <w:szCs w:val="24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4"/>
                    <w:szCs w:val="24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 w:ascii="宋体" w:hAnsi="宋体" w:eastAsia="宋体" w:cs="宋体"/>
                    <w:sz w:val="24"/>
                    <w:szCs w:val="24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4"/>
                    <w:szCs w:val="24"/>
                  </w:rPr>
                  <w:t xml:space="preserve"> —</w:t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ZDNkNDk2OWI1NTZiMTU0OTQ5MDI4ZTRiZWYxYjNlOGEifQ=="/>
  </w:docVars>
  <w:rsids>
    <w:rsidRoot w:val="2BF8627D"/>
    <w:rsid w:val="00133F29"/>
    <w:rsid w:val="00143372"/>
    <w:rsid w:val="003F5F2A"/>
    <w:rsid w:val="00692B2D"/>
    <w:rsid w:val="00704697"/>
    <w:rsid w:val="0071721E"/>
    <w:rsid w:val="007A0405"/>
    <w:rsid w:val="007C2CDB"/>
    <w:rsid w:val="008E6ADB"/>
    <w:rsid w:val="009049D8"/>
    <w:rsid w:val="00A06B46"/>
    <w:rsid w:val="00D336D4"/>
    <w:rsid w:val="00E21DDF"/>
    <w:rsid w:val="00F9095F"/>
    <w:rsid w:val="01536654"/>
    <w:rsid w:val="01810306"/>
    <w:rsid w:val="01CD0898"/>
    <w:rsid w:val="023D0B8F"/>
    <w:rsid w:val="02727ED8"/>
    <w:rsid w:val="02901D23"/>
    <w:rsid w:val="02922C89"/>
    <w:rsid w:val="02B15F68"/>
    <w:rsid w:val="03343D40"/>
    <w:rsid w:val="03B60333"/>
    <w:rsid w:val="044F0706"/>
    <w:rsid w:val="047A5F30"/>
    <w:rsid w:val="04806B11"/>
    <w:rsid w:val="05CD222A"/>
    <w:rsid w:val="06093262"/>
    <w:rsid w:val="065A13C7"/>
    <w:rsid w:val="068529D3"/>
    <w:rsid w:val="06B01930"/>
    <w:rsid w:val="070F2710"/>
    <w:rsid w:val="07375BAD"/>
    <w:rsid w:val="074B1659"/>
    <w:rsid w:val="07854B6B"/>
    <w:rsid w:val="07DF7E70"/>
    <w:rsid w:val="0808754A"/>
    <w:rsid w:val="08167EB9"/>
    <w:rsid w:val="082F0F7A"/>
    <w:rsid w:val="08566507"/>
    <w:rsid w:val="086C77D2"/>
    <w:rsid w:val="08777BCA"/>
    <w:rsid w:val="08836BD0"/>
    <w:rsid w:val="095C18FB"/>
    <w:rsid w:val="09644C54"/>
    <w:rsid w:val="098F0B0A"/>
    <w:rsid w:val="09AE72E5"/>
    <w:rsid w:val="09EB2C7F"/>
    <w:rsid w:val="09EF276F"/>
    <w:rsid w:val="0A2A747D"/>
    <w:rsid w:val="0AA7129C"/>
    <w:rsid w:val="0ABB4D47"/>
    <w:rsid w:val="0B90054B"/>
    <w:rsid w:val="0B9C7D1B"/>
    <w:rsid w:val="0BB2024E"/>
    <w:rsid w:val="0BE5540A"/>
    <w:rsid w:val="0C256E9A"/>
    <w:rsid w:val="0CE916F8"/>
    <w:rsid w:val="0D2B61B4"/>
    <w:rsid w:val="0D8B0A01"/>
    <w:rsid w:val="0DAB10A3"/>
    <w:rsid w:val="0DAE649D"/>
    <w:rsid w:val="0DC65EDD"/>
    <w:rsid w:val="0E2039F7"/>
    <w:rsid w:val="0E2F12B5"/>
    <w:rsid w:val="0E4D215A"/>
    <w:rsid w:val="0E51464F"/>
    <w:rsid w:val="0E664FCA"/>
    <w:rsid w:val="0EB36461"/>
    <w:rsid w:val="0ECC27A5"/>
    <w:rsid w:val="0F2729AB"/>
    <w:rsid w:val="0F6B6D3C"/>
    <w:rsid w:val="0F8E6586"/>
    <w:rsid w:val="0FA22032"/>
    <w:rsid w:val="0FBC2B82"/>
    <w:rsid w:val="0FED59A3"/>
    <w:rsid w:val="107514F4"/>
    <w:rsid w:val="10BA3678"/>
    <w:rsid w:val="10C761F4"/>
    <w:rsid w:val="115F467E"/>
    <w:rsid w:val="11AB53A0"/>
    <w:rsid w:val="126B6286"/>
    <w:rsid w:val="127777A6"/>
    <w:rsid w:val="12B02AB5"/>
    <w:rsid w:val="13451F5A"/>
    <w:rsid w:val="13631AD8"/>
    <w:rsid w:val="13DE273F"/>
    <w:rsid w:val="145F6743"/>
    <w:rsid w:val="149611B9"/>
    <w:rsid w:val="14F7697C"/>
    <w:rsid w:val="14FB46BE"/>
    <w:rsid w:val="15E15C75"/>
    <w:rsid w:val="16810BF3"/>
    <w:rsid w:val="16A14DF1"/>
    <w:rsid w:val="16BB1925"/>
    <w:rsid w:val="16BE1E47"/>
    <w:rsid w:val="16CD4552"/>
    <w:rsid w:val="1720040C"/>
    <w:rsid w:val="17306175"/>
    <w:rsid w:val="174165D4"/>
    <w:rsid w:val="17485BB5"/>
    <w:rsid w:val="175613C2"/>
    <w:rsid w:val="17CA65CA"/>
    <w:rsid w:val="1818352B"/>
    <w:rsid w:val="18466934"/>
    <w:rsid w:val="197131A1"/>
    <w:rsid w:val="19BD0D56"/>
    <w:rsid w:val="19EB5F20"/>
    <w:rsid w:val="19FB335D"/>
    <w:rsid w:val="1A023DF9"/>
    <w:rsid w:val="1A534C40"/>
    <w:rsid w:val="1AE45BF4"/>
    <w:rsid w:val="1AE70ACE"/>
    <w:rsid w:val="1B4337E7"/>
    <w:rsid w:val="1B5E59A7"/>
    <w:rsid w:val="1BBE1FA1"/>
    <w:rsid w:val="1C025D48"/>
    <w:rsid w:val="1C3109C5"/>
    <w:rsid w:val="1C8431EB"/>
    <w:rsid w:val="1C9C42C6"/>
    <w:rsid w:val="1CAE64BA"/>
    <w:rsid w:val="1CF53A0D"/>
    <w:rsid w:val="1D183933"/>
    <w:rsid w:val="1D203450"/>
    <w:rsid w:val="1D5726AE"/>
    <w:rsid w:val="1E016615"/>
    <w:rsid w:val="1EC27FFB"/>
    <w:rsid w:val="1EDA70C7"/>
    <w:rsid w:val="1F0C1276"/>
    <w:rsid w:val="1FAB0A8F"/>
    <w:rsid w:val="1FBF1E16"/>
    <w:rsid w:val="1FE65F6B"/>
    <w:rsid w:val="20442FE5"/>
    <w:rsid w:val="20452C91"/>
    <w:rsid w:val="20605D1D"/>
    <w:rsid w:val="20D12777"/>
    <w:rsid w:val="212A1E87"/>
    <w:rsid w:val="213D605E"/>
    <w:rsid w:val="215936D9"/>
    <w:rsid w:val="21D270C2"/>
    <w:rsid w:val="223236E9"/>
    <w:rsid w:val="22BB3D01"/>
    <w:rsid w:val="22E91FFA"/>
    <w:rsid w:val="23027955"/>
    <w:rsid w:val="230C63BD"/>
    <w:rsid w:val="2322375E"/>
    <w:rsid w:val="2335523F"/>
    <w:rsid w:val="235E3810"/>
    <w:rsid w:val="2377001E"/>
    <w:rsid w:val="23DA1943"/>
    <w:rsid w:val="24D1092D"/>
    <w:rsid w:val="25034794"/>
    <w:rsid w:val="260B392E"/>
    <w:rsid w:val="26573321"/>
    <w:rsid w:val="266320C3"/>
    <w:rsid w:val="278D3BAC"/>
    <w:rsid w:val="27982240"/>
    <w:rsid w:val="27A75FE0"/>
    <w:rsid w:val="27D05536"/>
    <w:rsid w:val="281C4C20"/>
    <w:rsid w:val="282D0BDB"/>
    <w:rsid w:val="283006CB"/>
    <w:rsid w:val="287560DE"/>
    <w:rsid w:val="28BC4A27"/>
    <w:rsid w:val="28D15A0A"/>
    <w:rsid w:val="28D734EE"/>
    <w:rsid w:val="29114058"/>
    <w:rsid w:val="291A315C"/>
    <w:rsid w:val="29453D02"/>
    <w:rsid w:val="296028EA"/>
    <w:rsid w:val="296A4D0B"/>
    <w:rsid w:val="2A5306A1"/>
    <w:rsid w:val="2A876BAC"/>
    <w:rsid w:val="2A930A9D"/>
    <w:rsid w:val="2B0379D1"/>
    <w:rsid w:val="2B1E480B"/>
    <w:rsid w:val="2B2F4C6A"/>
    <w:rsid w:val="2BDC10FF"/>
    <w:rsid w:val="2BF8627D"/>
    <w:rsid w:val="2BFD2672"/>
    <w:rsid w:val="2C3A5674"/>
    <w:rsid w:val="2D087520"/>
    <w:rsid w:val="2D616C31"/>
    <w:rsid w:val="2D7D7F0E"/>
    <w:rsid w:val="2D9661B9"/>
    <w:rsid w:val="2DA159E6"/>
    <w:rsid w:val="2DCE2070"/>
    <w:rsid w:val="2DE24837"/>
    <w:rsid w:val="2DF9330D"/>
    <w:rsid w:val="2E516CA5"/>
    <w:rsid w:val="2F0D715C"/>
    <w:rsid w:val="2F103B63"/>
    <w:rsid w:val="2F5B427F"/>
    <w:rsid w:val="2F666780"/>
    <w:rsid w:val="2F6F1AD9"/>
    <w:rsid w:val="2F7166FB"/>
    <w:rsid w:val="2F745341"/>
    <w:rsid w:val="301C02EE"/>
    <w:rsid w:val="30AC5D12"/>
    <w:rsid w:val="3126266B"/>
    <w:rsid w:val="314B289F"/>
    <w:rsid w:val="314D5D30"/>
    <w:rsid w:val="31950990"/>
    <w:rsid w:val="31A43590"/>
    <w:rsid w:val="31D772B9"/>
    <w:rsid w:val="32273586"/>
    <w:rsid w:val="322D3C25"/>
    <w:rsid w:val="3264344B"/>
    <w:rsid w:val="328525BE"/>
    <w:rsid w:val="328E2BFF"/>
    <w:rsid w:val="32943604"/>
    <w:rsid w:val="32CD497A"/>
    <w:rsid w:val="32D54349"/>
    <w:rsid w:val="32E26A66"/>
    <w:rsid w:val="33541711"/>
    <w:rsid w:val="337376BE"/>
    <w:rsid w:val="33784CD4"/>
    <w:rsid w:val="33955886"/>
    <w:rsid w:val="33C87A09"/>
    <w:rsid w:val="33F151B2"/>
    <w:rsid w:val="33F225DE"/>
    <w:rsid w:val="340053F5"/>
    <w:rsid w:val="34125F30"/>
    <w:rsid w:val="345A5CDB"/>
    <w:rsid w:val="34831B82"/>
    <w:rsid w:val="349E2F7E"/>
    <w:rsid w:val="35125F60"/>
    <w:rsid w:val="3538471B"/>
    <w:rsid w:val="36767BF1"/>
    <w:rsid w:val="368045CB"/>
    <w:rsid w:val="36D6243D"/>
    <w:rsid w:val="36EA5EE9"/>
    <w:rsid w:val="370E5675"/>
    <w:rsid w:val="37503F9E"/>
    <w:rsid w:val="39BC3B6C"/>
    <w:rsid w:val="39E92488"/>
    <w:rsid w:val="3A067668"/>
    <w:rsid w:val="3A211C22"/>
    <w:rsid w:val="3A442604"/>
    <w:rsid w:val="3A7F400B"/>
    <w:rsid w:val="3ADE123E"/>
    <w:rsid w:val="3AE8273F"/>
    <w:rsid w:val="3B881B73"/>
    <w:rsid w:val="3BCE5DD9"/>
    <w:rsid w:val="3C3C0A98"/>
    <w:rsid w:val="3CBE7BFC"/>
    <w:rsid w:val="3CD4741F"/>
    <w:rsid w:val="3CD72A6B"/>
    <w:rsid w:val="3D181E49"/>
    <w:rsid w:val="3D363C36"/>
    <w:rsid w:val="3D97431C"/>
    <w:rsid w:val="3DDC1483"/>
    <w:rsid w:val="3E3D7695"/>
    <w:rsid w:val="3E5C6190"/>
    <w:rsid w:val="3E7E3AE6"/>
    <w:rsid w:val="3E8B7FB1"/>
    <w:rsid w:val="3EE80F60"/>
    <w:rsid w:val="3F285C7B"/>
    <w:rsid w:val="3F627ED3"/>
    <w:rsid w:val="3F6F51DD"/>
    <w:rsid w:val="3F74288E"/>
    <w:rsid w:val="3F8E7D59"/>
    <w:rsid w:val="3FA70E1B"/>
    <w:rsid w:val="3FF44198"/>
    <w:rsid w:val="40337EDF"/>
    <w:rsid w:val="40D043A1"/>
    <w:rsid w:val="417D6A2A"/>
    <w:rsid w:val="41B94075"/>
    <w:rsid w:val="421F113C"/>
    <w:rsid w:val="42380887"/>
    <w:rsid w:val="42EF4FB3"/>
    <w:rsid w:val="430F2F5F"/>
    <w:rsid w:val="43126D69"/>
    <w:rsid w:val="435D6CE3"/>
    <w:rsid w:val="44071E88"/>
    <w:rsid w:val="44827761"/>
    <w:rsid w:val="448E4357"/>
    <w:rsid w:val="44F07327"/>
    <w:rsid w:val="45622B78"/>
    <w:rsid w:val="4677113D"/>
    <w:rsid w:val="46FE7E32"/>
    <w:rsid w:val="471640E6"/>
    <w:rsid w:val="47684736"/>
    <w:rsid w:val="478131A3"/>
    <w:rsid w:val="478163F5"/>
    <w:rsid w:val="479A3013"/>
    <w:rsid w:val="47B42327"/>
    <w:rsid w:val="48357040"/>
    <w:rsid w:val="48535370"/>
    <w:rsid w:val="485D29BF"/>
    <w:rsid w:val="48741AB6"/>
    <w:rsid w:val="487D3D7D"/>
    <w:rsid w:val="489857A5"/>
    <w:rsid w:val="48C45C6F"/>
    <w:rsid w:val="4950607F"/>
    <w:rsid w:val="495F2991"/>
    <w:rsid w:val="49801469"/>
    <w:rsid w:val="498A77E3"/>
    <w:rsid w:val="49B22896"/>
    <w:rsid w:val="49D96075"/>
    <w:rsid w:val="4A4554B8"/>
    <w:rsid w:val="4ABB39CC"/>
    <w:rsid w:val="4AFD5D93"/>
    <w:rsid w:val="4B7F735B"/>
    <w:rsid w:val="4BE17463"/>
    <w:rsid w:val="4BE86A43"/>
    <w:rsid w:val="4BEA1320"/>
    <w:rsid w:val="4C0A0767"/>
    <w:rsid w:val="4C285091"/>
    <w:rsid w:val="4C6360CA"/>
    <w:rsid w:val="4CCD0D72"/>
    <w:rsid w:val="4D5368C5"/>
    <w:rsid w:val="4D622825"/>
    <w:rsid w:val="4D7A36CB"/>
    <w:rsid w:val="4D901140"/>
    <w:rsid w:val="4DB52C4D"/>
    <w:rsid w:val="4E0F475B"/>
    <w:rsid w:val="4E6A1991"/>
    <w:rsid w:val="4F3B332E"/>
    <w:rsid w:val="4F63587C"/>
    <w:rsid w:val="4FD23C92"/>
    <w:rsid w:val="50772144"/>
    <w:rsid w:val="50F815B1"/>
    <w:rsid w:val="5109750B"/>
    <w:rsid w:val="514C1822"/>
    <w:rsid w:val="518B234A"/>
    <w:rsid w:val="51ED5DCB"/>
    <w:rsid w:val="52270592"/>
    <w:rsid w:val="52783FF0"/>
    <w:rsid w:val="52BE7ACF"/>
    <w:rsid w:val="52D93AE7"/>
    <w:rsid w:val="534C3D5B"/>
    <w:rsid w:val="534F1156"/>
    <w:rsid w:val="54001829"/>
    <w:rsid w:val="544467E1"/>
    <w:rsid w:val="546D471F"/>
    <w:rsid w:val="54880DC3"/>
    <w:rsid w:val="54BF230B"/>
    <w:rsid w:val="553920BD"/>
    <w:rsid w:val="55741347"/>
    <w:rsid w:val="56124994"/>
    <w:rsid w:val="565A22EB"/>
    <w:rsid w:val="56A63FEE"/>
    <w:rsid w:val="56DE2F1C"/>
    <w:rsid w:val="571563B6"/>
    <w:rsid w:val="5755554B"/>
    <w:rsid w:val="57607DD5"/>
    <w:rsid w:val="5776389C"/>
    <w:rsid w:val="589870FB"/>
    <w:rsid w:val="58CF5213"/>
    <w:rsid w:val="58DA6709"/>
    <w:rsid w:val="59036C6A"/>
    <w:rsid w:val="5907070E"/>
    <w:rsid w:val="59622E18"/>
    <w:rsid w:val="596D53B7"/>
    <w:rsid w:val="5A533C21"/>
    <w:rsid w:val="5A6E5909"/>
    <w:rsid w:val="5A7D2A4C"/>
    <w:rsid w:val="5AA1673B"/>
    <w:rsid w:val="5AB86A1E"/>
    <w:rsid w:val="5B1B7148"/>
    <w:rsid w:val="5B1C2265"/>
    <w:rsid w:val="5B42386F"/>
    <w:rsid w:val="5BA364E3"/>
    <w:rsid w:val="5BA5225B"/>
    <w:rsid w:val="5C643EC4"/>
    <w:rsid w:val="5C901728"/>
    <w:rsid w:val="5CBC1B3E"/>
    <w:rsid w:val="5CC2508E"/>
    <w:rsid w:val="5CD31049"/>
    <w:rsid w:val="5D3E1BE0"/>
    <w:rsid w:val="5D6166D5"/>
    <w:rsid w:val="5D645056"/>
    <w:rsid w:val="5D9A56C3"/>
    <w:rsid w:val="5E1216FE"/>
    <w:rsid w:val="5E1C257C"/>
    <w:rsid w:val="5E2356B9"/>
    <w:rsid w:val="5E756369"/>
    <w:rsid w:val="5EDD7F5D"/>
    <w:rsid w:val="5FB94285"/>
    <w:rsid w:val="5FB94527"/>
    <w:rsid w:val="5FD37DBD"/>
    <w:rsid w:val="5FE576BB"/>
    <w:rsid w:val="60003F04"/>
    <w:rsid w:val="606F72DB"/>
    <w:rsid w:val="60AD570E"/>
    <w:rsid w:val="60B60A66"/>
    <w:rsid w:val="60DA29A7"/>
    <w:rsid w:val="60E92BEA"/>
    <w:rsid w:val="610B7004"/>
    <w:rsid w:val="611B16B9"/>
    <w:rsid w:val="6157306D"/>
    <w:rsid w:val="61AB4343"/>
    <w:rsid w:val="61AB7E9F"/>
    <w:rsid w:val="61E33F36"/>
    <w:rsid w:val="624C78D4"/>
    <w:rsid w:val="62A4517E"/>
    <w:rsid w:val="62DD052C"/>
    <w:rsid w:val="63072F03"/>
    <w:rsid w:val="63D86F45"/>
    <w:rsid w:val="64414AEB"/>
    <w:rsid w:val="644F2D58"/>
    <w:rsid w:val="64564FAD"/>
    <w:rsid w:val="6502071E"/>
    <w:rsid w:val="65164D65"/>
    <w:rsid w:val="653D3F7B"/>
    <w:rsid w:val="654E5711"/>
    <w:rsid w:val="659A1239"/>
    <w:rsid w:val="65C9123C"/>
    <w:rsid w:val="660C6084"/>
    <w:rsid w:val="66256DBE"/>
    <w:rsid w:val="668F1B3D"/>
    <w:rsid w:val="672C1A82"/>
    <w:rsid w:val="67517C14"/>
    <w:rsid w:val="676D0397"/>
    <w:rsid w:val="676E5BF7"/>
    <w:rsid w:val="67AE693B"/>
    <w:rsid w:val="686F60CA"/>
    <w:rsid w:val="687C07E7"/>
    <w:rsid w:val="688C3C05"/>
    <w:rsid w:val="68B22C44"/>
    <w:rsid w:val="68F95994"/>
    <w:rsid w:val="6917478D"/>
    <w:rsid w:val="69247985"/>
    <w:rsid w:val="69503AB2"/>
    <w:rsid w:val="69F34AD9"/>
    <w:rsid w:val="6A0E2A76"/>
    <w:rsid w:val="6AD43AD2"/>
    <w:rsid w:val="6B0D5727"/>
    <w:rsid w:val="6B413622"/>
    <w:rsid w:val="6C0825E1"/>
    <w:rsid w:val="6C186F7E"/>
    <w:rsid w:val="6C4B6506"/>
    <w:rsid w:val="6C90660F"/>
    <w:rsid w:val="6CCF20A4"/>
    <w:rsid w:val="6D1C037E"/>
    <w:rsid w:val="6D404BA8"/>
    <w:rsid w:val="6D51565A"/>
    <w:rsid w:val="6D527766"/>
    <w:rsid w:val="6D7B2E1B"/>
    <w:rsid w:val="6D7C6B93"/>
    <w:rsid w:val="6DC42A14"/>
    <w:rsid w:val="6DD7226C"/>
    <w:rsid w:val="6DF36E56"/>
    <w:rsid w:val="6E250FD9"/>
    <w:rsid w:val="6E8E3022"/>
    <w:rsid w:val="6EE36ECA"/>
    <w:rsid w:val="6EEB4B04"/>
    <w:rsid w:val="6F1C0381"/>
    <w:rsid w:val="6F5C6C7D"/>
    <w:rsid w:val="6F7246F2"/>
    <w:rsid w:val="6FEC0000"/>
    <w:rsid w:val="6FEC5BAA"/>
    <w:rsid w:val="6FF9199B"/>
    <w:rsid w:val="703D085C"/>
    <w:rsid w:val="70F04A0B"/>
    <w:rsid w:val="71155335"/>
    <w:rsid w:val="71BE48F3"/>
    <w:rsid w:val="71CD3E62"/>
    <w:rsid w:val="7210336D"/>
    <w:rsid w:val="721D26F3"/>
    <w:rsid w:val="72345C8F"/>
    <w:rsid w:val="723E4816"/>
    <w:rsid w:val="726245AA"/>
    <w:rsid w:val="727A5D97"/>
    <w:rsid w:val="72944B4C"/>
    <w:rsid w:val="729A3D44"/>
    <w:rsid w:val="72D32F00"/>
    <w:rsid w:val="72EC0317"/>
    <w:rsid w:val="7315786E"/>
    <w:rsid w:val="73247AB1"/>
    <w:rsid w:val="734F6DDC"/>
    <w:rsid w:val="73AF7CC3"/>
    <w:rsid w:val="73D50AB3"/>
    <w:rsid w:val="74335F8F"/>
    <w:rsid w:val="74E90FB2"/>
    <w:rsid w:val="74FF415D"/>
    <w:rsid w:val="75041948"/>
    <w:rsid w:val="755B3E63"/>
    <w:rsid w:val="757F092E"/>
    <w:rsid w:val="75C64E50"/>
    <w:rsid w:val="75E2200E"/>
    <w:rsid w:val="75F23E97"/>
    <w:rsid w:val="763D14D8"/>
    <w:rsid w:val="76E83F89"/>
    <w:rsid w:val="77000835"/>
    <w:rsid w:val="77020147"/>
    <w:rsid w:val="77512E3F"/>
    <w:rsid w:val="77A45665"/>
    <w:rsid w:val="77A86F03"/>
    <w:rsid w:val="77CA50CB"/>
    <w:rsid w:val="77D93560"/>
    <w:rsid w:val="77F32BDE"/>
    <w:rsid w:val="77F53065"/>
    <w:rsid w:val="78A07E89"/>
    <w:rsid w:val="78D67A6E"/>
    <w:rsid w:val="795C1D84"/>
    <w:rsid w:val="79633D54"/>
    <w:rsid w:val="79767D04"/>
    <w:rsid w:val="79B60BF1"/>
    <w:rsid w:val="7A2D36EF"/>
    <w:rsid w:val="7A420816"/>
    <w:rsid w:val="7A7F1A71"/>
    <w:rsid w:val="7AA42131"/>
    <w:rsid w:val="7B1A0118"/>
    <w:rsid w:val="7BA3748A"/>
    <w:rsid w:val="7C2D4B10"/>
    <w:rsid w:val="7C3074C7"/>
    <w:rsid w:val="7C4F3DF1"/>
    <w:rsid w:val="7CDB7433"/>
    <w:rsid w:val="7D0C3A90"/>
    <w:rsid w:val="7D254B52"/>
    <w:rsid w:val="7DA01B27"/>
    <w:rsid w:val="7DBE4DD2"/>
    <w:rsid w:val="7E3A7074"/>
    <w:rsid w:val="7E6B0C8A"/>
    <w:rsid w:val="7EA36676"/>
    <w:rsid w:val="7EAA3560"/>
    <w:rsid w:val="7EB10D93"/>
    <w:rsid w:val="7EB47670"/>
    <w:rsid w:val="7EB51F05"/>
    <w:rsid w:val="7FD12D6F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11">
    <w:name w:val="Default Paragraph Font"/>
    <w:unhideWhenUsed/>
    <w:qFormat/>
    <w:uiPriority w:val="1"/>
  </w:style>
  <w:style w:type="table" w:default="1" w:styleId="13">
    <w:name w:val="Normal Table"/>
    <w:unhideWhenUsed/>
    <w:qFormat/>
    <w:uiPriority w:val="99"/>
    <w:tblPr>
      <w:tblStyle w:val="1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ody Text"/>
    <w:basedOn w:val="1"/>
    <w:next w:val="3"/>
    <w:qFormat/>
    <w:uiPriority w:val="99"/>
    <w:pPr>
      <w:spacing w:after="120"/>
    </w:pPr>
  </w:style>
  <w:style w:type="paragraph" w:styleId="3">
    <w:name w:val="Body Text First Indent 2"/>
    <w:basedOn w:val="4"/>
    <w:next w:val="6"/>
    <w:qFormat/>
    <w:uiPriority w:val="99"/>
    <w:pPr>
      <w:ind w:firstLine="420" w:firstLineChars="200"/>
    </w:pPr>
  </w:style>
  <w:style w:type="paragraph" w:styleId="4">
    <w:name w:val="Body Text Indent"/>
    <w:basedOn w:val="1"/>
    <w:next w:val="5"/>
    <w:qFormat/>
    <w:uiPriority w:val="99"/>
    <w:pPr>
      <w:spacing w:after="120"/>
      <w:ind w:left="420" w:leftChars="200"/>
    </w:pPr>
  </w:style>
  <w:style w:type="paragraph" w:styleId="5">
    <w:name w:val="Normal Indent"/>
    <w:basedOn w:val="1"/>
    <w:next w:val="1"/>
    <w:qFormat/>
    <w:uiPriority w:val="0"/>
    <w:pPr>
      <w:ind w:firstLine="200" w:firstLineChars="200"/>
    </w:pPr>
  </w:style>
  <w:style w:type="paragraph" w:customStyle="1" w:styleId="6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32"/>
      <w:szCs w:val="24"/>
      <w:lang w:val="en-US" w:eastAsia="zh-CN" w:bidi="ar-SA"/>
    </w:rPr>
  </w:style>
  <w:style w:type="paragraph" w:styleId="7">
    <w:name w:val="index 5"/>
    <w:basedOn w:val="1"/>
    <w:next w:val="1"/>
    <w:qFormat/>
    <w:uiPriority w:val="0"/>
    <w:pPr>
      <w:ind w:left="1680"/>
    </w:pPr>
  </w:style>
  <w:style w:type="paragraph" w:styleId="8">
    <w:name w:val="footer"/>
    <w:basedOn w:val="1"/>
    <w:next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styleId="12">
    <w:name w:val="Strong"/>
    <w:basedOn w:val="11"/>
    <w:qFormat/>
    <w:uiPriority w:val="0"/>
    <w:rPr>
      <w:b/>
    </w:rPr>
  </w:style>
  <w:style w:type="paragraph" w:customStyle="1" w:styleId="14">
    <w:name w:val="排版"/>
    <w:basedOn w:val="1"/>
    <w:qFormat/>
    <w:uiPriority w:val="0"/>
    <w:pPr>
      <w:spacing w:before="300" w:after="150" w:line="580" w:lineRule="exact"/>
      <w:ind w:firstLine="200" w:firstLineChars="200"/>
    </w:pPr>
    <w:rPr>
      <w:rFonts w:ascii="仿宋_GB2312" w:hAnsi="仿宋" w:eastAsia="仿宋_GB2312" w:cs="仿宋"/>
      <w:color w:val="00000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6</Pages>
  <Words>3039</Words>
  <Characters>3064</Characters>
  <Lines>54</Lines>
  <Paragraphs>15</Paragraphs>
  <ScaleCrop>false</ScaleCrop>
  <LinksUpToDate>false</LinksUpToDate>
  <CharactersWithSpaces>0</CharactersWithSpaces>
  <Application>WPS Office 专业版_9.1.0.5432_F1E327BC-269C-435d-A152-05C5408002CA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2023-01-05T03:04:00Z</dcterms:created>
  <dc:creator>Administrator</dc:creator>
  <cp:lastModifiedBy>hp</cp:lastModifiedBy>
  <cp:lastPrinted>2024-02-27T04:24:00Z</cp:lastPrinted>
  <dcterms:modified xsi:type="dcterms:W3CDTF">2024-02-28T02:57:36Z</dcterms:modified>
  <dc:title>市人力资源社会保障局2024年工作要点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2052-9.1.0.5432</vt:lpwstr>
  </property>
  <property fmtid="{D5CDD505-2E9C-101B-9397-08002B2CF9AE}" pid="3" name="ICV">
    <vt:lpwstr>6F5FA39EE6044EF493DEB9ECB302642F</vt:lpwstr>
  </property>
</Properties>
</file>