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B5B7C" w14:textId="77777777" w:rsidR="00C61232" w:rsidRDefault="00C61232">
      <w:pPr>
        <w:spacing w:line="560" w:lineRule="exact"/>
        <w:jc w:val="center"/>
        <w:rPr>
          <w:rFonts w:ascii="方正小标宋_GBK" w:eastAsia="方正小标宋_GBK" w:hAnsi="宋体" w:hint="eastAsia"/>
          <w:color w:val="000000"/>
          <w:sz w:val="28"/>
          <w:szCs w:val="28"/>
        </w:rPr>
      </w:pPr>
      <w:bookmarkStart w:id="0" w:name="OLE_LINK21"/>
    </w:p>
    <w:p w14:paraId="27F182CC" w14:textId="77777777" w:rsidR="00C61232" w:rsidRDefault="00C61232">
      <w:pPr>
        <w:spacing w:line="560" w:lineRule="exact"/>
        <w:jc w:val="center"/>
        <w:rPr>
          <w:rFonts w:ascii="方正小标宋_GBK" w:eastAsia="方正小标宋_GBK" w:hAnsi="宋体" w:hint="eastAsia"/>
          <w:color w:val="000000"/>
          <w:sz w:val="32"/>
          <w:szCs w:val="32"/>
        </w:rPr>
      </w:pPr>
    </w:p>
    <w:p w14:paraId="773386B3" w14:textId="77777777" w:rsidR="00C61232" w:rsidRDefault="00000000">
      <w:pPr>
        <w:spacing w:line="1400" w:lineRule="exact"/>
        <w:jc w:val="distribute"/>
        <w:rPr>
          <w:rFonts w:ascii="方正小标宋_GBK" w:eastAsia="方正小标宋_GBK" w:cs="FZXBSK--GBK1-0"/>
          <w:b/>
          <w:snapToGrid w:val="0"/>
          <w:color w:val="FF0000"/>
          <w:w w:val="65"/>
          <w:sz w:val="120"/>
          <w:szCs w:val="120"/>
        </w:rPr>
      </w:pPr>
      <w:r>
        <w:rPr>
          <w:rFonts w:ascii="方正小标宋_GBK" w:eastAsia="方正小标宋_GBK" w:cs="FZXBSK--GBK1-0" w:hint="eastAsia"/>
          <w:b/>
          <w:snapToGrid w:val="0"/>
          <w:color w:val="FF0000"/>
          <w:w w:val="65"/>
          <w:sz w:val="120"/>
          <w:szCs w:val="120"/>
        </w:rPr>
        <w:t>青岛市农业技术推广中心</w:t>
      </w:r>
    </w:p>
    <w:p w14:paraId="0EC382E2" w14:textId="77777777" w:rsidR="00C61232" w:rsidRDefault="00C61232">
      <w:pPr>
        <w:spacing w:line="560" w:lineRule="exact"/>
        <w:rPr>
          <w:rFonts w:ascii="方正小标宋_GBK" w:eastAsia="方正小标宋_GBK" w:hAnsi="宋体" w:hint="eastAsia"/>
          <w:color w:val="000000"/>
          <w:sz w:val="44"/>
          <w:szCs w:val="44"/>
        </w:rPr>
      </w:pPr>
    </w:p>
    <w:p w14:paraId="7D80C355" w14:textId="77777777" w:rsidR="00C61232" w:rsidRDefault="00C61232">
      <w:pPr>
        <w:spacing w:line="560" w:lineRule="exact"/>
        <w:rPr>
          <w:rFonts w:ascii="方正小标宋_GBK" w:eastAsia="方正小标宋_GBK" w:hAnsi="宋体" w:hint="eastAsia"/>
          <w:color w:val="000000"/>
          <w:sz w:val="44"/>
          <w:szCs w:val="44"/>
        </w:rPr>
      </w:pPr>
    </w:p>
    <w:p w14:paraId="4FD28CAA" w14:textId="77777777" w:rsidR="00C61232" w:rsidRDefault="00000000" w:rsidP="00F77B9B">
      <w:pPr>
        <w:spacing w:line="640" w:lineRule="exact"/>
        <w:jc w:val="center"/>
        <w:rPr>
          <w:rFonts w:ascii="方正小标宋_GBK" w:eastAsia="方正小标宋_GBK" w:hAnsi="宋体" w:hint="eastAsia"/>
          <w:color w:val="000000"/>
          <w:sz w:val="44"/>
          <w:szCs w:val="44"/>
        </w:rPr>
      </w:pPr>
      <w:r>
        <w:rPr>
          <w:rFonts w:ascii="方正小标宋_GBK" w:eastAsia="方正小标宋_GBK" w:hAnsi="宋体" w:hint="eastAsia"/>
          <w:color w:val="000000"/>
          <w:sz w:val="44"/>
          <w:szCs w:val="44"/>
        </w:rPr>
        <w:t>青岛市农业技术推广中心</w:t>
      </w:r>
    </w:p>
    <w:p w14:paraId="5B6B281A" w14:textId="77777777" w:rsidR="00C61232" w:rsidRDefault="00000000" w:rsidP="00F77B9B">
      <w:pPr>
        <w:spacing w:line="64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关于印发青岛市</w:t>
      </w:r>
      <w:bookmarkStart w:id="1" w:name="_Hlk240533602"/>
      <w:r>
        <w:rPr>
          <w:rFonts w:ascii="方正小标宋_GBK" w:eastAsia="方正小标宋_GBK" w:hint="eastAsia"/>
          <w:sz w:val="44"/>
          <w:szCs w:val="44"/>
        </w:rPr>
        <w:t>2026年秋冬季</w:t>
      </w:r>
      <w:bookmarkEnd w:id="1"/>
      <w:r>
        <w:rPr>
          <w:rFonts w:ascii="方正小标宋_GBK" w:eastAsia="方正小标宋_GBK" w:hint="eastAsia"/>
          <w:sz w:val="44"/>
          <w:szCs w:val="44"/>
        </w:rPr>
        <w:t>蔬菜增产提质</w:t>
      </w:r>
    </w:p>
    <w:p w14:paraId="38EE5F30" w14:textId="77777777" w:rsidR="00C61232" w:rsidRDefault="00000000" w:rsidP="00F77B9B">
      <w:pPr>
        <w:spacing w:line="640" w:lineRule="exact"/>
        <w:jc w:val="center"/>
        <w:rPr>
          <w:rFonts w:ascii="仿宋_GB2312" w:eastAsia="仿宋_GB2312"/>
          <w:sz w:val="24"/>
        </w:rPr>
      </w:pPr>
      <w:r>
        <w:rPr>
          <w:rFonts w:ascii="方正小标宋_GBK" w:eastAsia="方正小标宋_GBK" w:hint="eastAsia"/>
          <w:sz w:val="44"/>
          <w:szCs w:val="44"/>
        </w:rPr>
        <w:t>科学施肥指导意见的通知</w:t>
      </w:r>
    </w:p>
    <w:p w14:paraId="2BC683F0" w14:textId="77777777" w:rsidR="00C61232" w:rsidRDefault="00C61232" w:rsidP="00F77B9B">
      <w:pPr>
        <w:spacing w:line="576" w:lineRule="exact"/>
        <w:rPr>
          <w:rFonts w:ascii="仿宋_GB2312" w:eastAsia="仿宋_GB2312"/>
          <w:sz w:val="32"/>
          <w:szCs w:val="32"/>
        </w:rPr>
      </w:pPr>
    </w:p>
    <w:p w14:paraId="79C05D4F" w14:textId="77777777" w:rsidR="00C61232" w:rsidRDefault="00000000" w:rsidP="007B793F">
      <w:pPr>
        <w:spacing w:line="576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各区（市）农技推广部门：</w:t>
      </w:r>
    </w:p>
    <w:p w14:paraId="63C898B5" w14:textId="77777777" w:rsidR="00C61232" w:rsidRDefault="00000000" w:rsidP="007B793F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为切实提升蔬菜产量与品质，现将《青岛市2026年秋冬季蔬菜增产提质科学施肥指导意见》印发给你们，请结合生产实际，认真参照执行，确保科学施肥技术落地。</w:t>
      </w:r>
    </w:p>
    <w:p w14:paraId="21973F15" w14:textId="131651C3" w:rsidR="00C61232" w:rsidRDefault="00000000" w:rsidP="007B793F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各区</w:t>
      </w:r>
      <w:r w:rsidR="007B793F">
        <w:rPr>
          <w:rFonts w:ascii="仿宋_GB2312" w:eastAsia="仿宋_GB2312" w:hint="eastAsia"/>
          <w:sz w:val="32"/>
          <w:szCs w:val="32"/>
        </w:rPr>
        <w:t>（</w:t>
      </w:r>
      <w:r w:rsidR="007B793F">
        <w:rPr>
          <w:rFonts w:ascii="仿宋_GB2312" w:eastAsia="仿宋_GB2312" w:hint="eastAsia"/>
          <w:sz w:val="32"/>
          <w:szCs w:val="32"/>
        </w:rPr>
        <w:t>市</w:t>
      </w:r>
      <w:r w:rsidR="007B793F">
        <w:rPr>
          <w:rFonts w:ascii="仿宋_GB2312" w:eastAsia="仿宋_GB2312" w:hint="eastAsia"/>
          <w:sz w:val="32"/>
          <w:szCs w:val="32"/>
        </w:rPr>
        <w:t>）</w:t>
      </w:r>
      <w:r>
        <w:rPr>
          <w:rFonts w:ascii="仿宋_GB2312" w:eastAsia="仿宋_GB2312" w:hint="eastAsia"/>
          <w:sz w:val="32"/>
          <w:szCs w:val="32"/>
        </w:rPr>
        <w:t>可引导种植户扫描</w:t>
      </w:r>
      <w:bookmarkStart w:id="2" w:name="_Hlk240621282"/>
      <w:r>
        <w:rPr>
          <w:rFonts w:ascii="仿宋_GB2312" w:eastAsia="仿宋_GB2312" w:hint="eastAsia"/>
          <w:sz w:val="32"/>
          <w:szCs w:val="32"/>
        </w:rPr>
        <w:t>“养分专家智慧施肥大模型”和“NE推荐施肥专家系统”二维码</w:t>
      </w:r>
      <w:bookmarkEnd w:id="2"/>
      <w:r>
        <w:rPr>
          <w:rFonts w:ascii="仿宋_GB2312" w:eastAsia="仿宋_GB2312" w:hint="eastAsia"/>
          <w:sz w:val="32"/>
          <w:szCs w:val="32"/>
        </w:rPr>
        <w:t>，结合地力状况及种植作物测算施肥比例及用量，实现科学精准施肥。</w:t>
      </w:r>
    </w:p>
    <w:p w14:paraId="13D8DE5D" w14:textId="77777777" w:rsidR="007B793F" w:rsidRDefault="007B793F" w:rsidP="007B793F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14:paraId="3B9B1B95" w14:textId="77777777" w:rsidR="007B793F" w:rsidRDefault="007B793F" w:rsidP="007B793F">
      <w:pPr>
        <w:spacing w:line="576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14:paraId="487DE8E4" w14:textId="77777777" w:rsidR="007B793F" w:rsidRDefault="007B793F" w:rsidP="007B793F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黑体" w:eastAsia="黑体" w:hAnsi="黑体" w:hint="eastAsia"/>
          <w:noProof/>
          <w:sz w:val="32"/>
          <w:szCs w:val="32"/>
        </w:rPr>
        <w:lastRenderedPageBreak/>
        <w:drawing>
          <wp:inline distT="0" distB="0" distL="0" distR="0" wp14:anchorId="6B46E131" wp14:editId="1939F28A">
            <wp:extent cx="1839798" cy="1653489"/>
            <wp:effectExtent l="0" t="0" r="8255" b="4445"/>
            <wp:docPr id="15595131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237" cy="16817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仿宋_GB2312" w:eastAsia="仿宋_GB2312" w:hint="eastAsia"/>
          <w:sz w:val="32"/>
          <w:szCs w:val="32"/>
        </w:rPr>
        <w:t xml:space="preserve">           </w:t>
      </w:r>
      <w:r w:rsidRPr="00440C9A">
        <w:rPr>
          <w:noProof/>
        </w:rPr>
        <w:drawing>
          <wp:inline distT="0" distB="0" distL="0" distR="0" wp14:anchorId="5F1A5499" wp14:editId="102C61D4">
            <wp:extent cx="1514246" cy="1581199"/>
            <wp:effectExtent l="0" t="0" r="0" b="0"/>
            <wp:docPr id="16246076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60766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60092" cy="1629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C416E" w14:textId="77777777" w:rsidR="007B793F" w:rsidRDefault="007B793F" w:rsidP="007B793F">
      <w:pPr>
        <w:spacing w:beforeLines="50" w:before="156" w:line="400" w:lineRule="exact"/>
        <w:ind w:firstLineChars="200" w:firstLine="560"/>
        <w:rPr>
          <w:rFonts w:ascii="宋体" w:hAnsi="宋体" w:cs="宋体" w:hint="eastAsia"/>
          <w:kern w:val="0"/>
          <w:sz w:val="28"/>
          <w:szCs w:val="28"/>
        </w:rPr>
      </w:pPr>
      <w:r w:rsidRPr="00D74938">
        <w:rPr>
          <w:rFonts w:ascii="宋体" w:hAnsi="宋体" w:cs="宋体" w:hint="eastAsia"/>
          <w:kern w:val="0"/>
          <w:sz w:val="28"/>
          <w:szCs w:val="28"/>
        </w:rPr>
        <w:t xml:space="preserve">养分专家智慧施肥大模型       </w:t>
      </w:r>
      <w:r>
        <w:rPr>
          <w:rFonts w:ascii="宋体" w:hAnsi="宋体" w:cs="宋体" w:hint="eastAsia"/>
          <w:kern w:val="0"/>
          <w:sz w:val="28"/>
          <w:szCs w:val="28"/>
        </w:rPr>
        <w:t xml:space="preserve">  </w:t>
      </w:r>
      <w:r w:rsidRPr="00D74938">
        <w:rPr>
          <w:rFonts w:ascii="宋体" w:hAnsi="宋体" w:cs="宋体" w:hint="eastAsia"/>
          <w:kern w:val="0"/>
          <w:sz w:val="28"/>
          <w:szCs w:val="28"/>
        </w:rPr>
        <w:t xml:space="preserve">   NE推荐施肥专家系统</w:t>
      </w:r>
    </w:p>
    <w:p w14:paraId="15C4DF98" w14:textId="77777777" w:rsidR="007B793F" w:rsidRDefault="007B793F" w:rsidP="00F77B9B">
      <w:pPr>
        <w:spacing w:line="576" w:lineRule="exact"/>
        <w:ind w:rightChars="363" w:right="762"/>
        <w:jc w:val="right"/>
        <w:rPr>
          <w:rFonts w:ascii="仿宋_GB2312" w:eastAsia="仿宋_GB2312"/>
          <w:sz w:val="32"/>
          <w:szCs w:val="32"/>
        </w:rPr>
      </w:pPr>
    </w:p>
    <w:p w14:paraId="0FCC7FC4" w14:textId="77777777" w:rsidR="007B793F" w:rsidRDefault="007B793F" w:rsidP="00F77B9B">
      <w:pPr>
        <w:spacing w:line="576" w:lineRule="exact"/>
        <w:ind w:rightChars="363" w:right="762"/>
        <w:jc w:val="right"/>
        <w:rPr>
          <w:rFonts w:ascii="仿宋_GB2312" w:eastAsia="仿宋_GB2312"/>
          <w:sz w:val="32"/>
          <w:szCs w:val="32"/>
        </w:rPr>
      </w:pPr>
    </w:p>
    <w:p w14:paraId="3A745BC3" w14:textId="3CC294A0" w:rsidR="00C61232" w:rsidRDefault="00000000" w:rsidP="00F77B9B">
      <w:pPr>
        <w:spacing w:line="576" w:lineRule="exact"/>
        <w:ind w:rightChars="363" w:right="762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青岛市农业技术推广中心</w:t>
      </w:r>
    </w:p>
    <w:p w14:paraId="4B144D05" w14:textId="2730F9EF" w:rsidR="007B793F" w:rsidRDefault="00000000" w:rsidP="003344CC">
      <w:pPr>
        <w:spacing w:line="576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   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2026年9月</w:t>
      </w:r>
      <w:r w:rsidR="008454D0">
        <w:rPr>
          <w:rFonts w:ascii="仿宋_GB2312" w:eastAsia="仿宋_GB2312" w:hint="eastAsia"/>
          <w:sz w:val="32"/>
          <w:szCs w:val="32"/>
        </w:rPr>
        <w:t>20</w:t>
      </w:r>
      <w:r>
        <w:rPr>
          <w:rFonts w:ascii="仿宋_GB2312" w:eastAsia="仿宋_GB2312" w:hint="eastAsia"/>
          <w:sz w:val="32"/>
          <w:szCs w:val="32"/>
        </w:rPr>
        <w:t>日</w:t>
      </w:r>
    </w:p>
    <w:p w14:paraId="5B1A9E1F" w14:textId="65399DE4" w:rsidR="00C61232" w:rsidRDefault="007B793F" w:rsidP="007B793F">
      <w:pPr>
        <w:widowControl/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br w:type="page"/>
      </w:r>
    </w:p>
    <w:p w14:paraId="431868D6" w14:textId="77777777" w:rsidR="00C61232" w:rsidRDefault="00000000">
      <w:pPr>
        <w:spacing w:line="640" w:lineRule="exact"/>
        <w:jc w:val="center"/>
        <w:outlineLvl w:val="0"/>
        <w:rPr>
          <w:rFonts w:ascii="方正小标宋_GBK" w:eastAsia="方正小标宋_GBK" w:hAnsi="等线" w:hint="eastAsia"/>
          <w:bCs/>
          <w:color w:val="000000"/>
          <w:kern w:val="36"/>
          <w:sz w:val="44"/>
          <w:szCs w:val="44"/>
        </w:rPr>
      </w:pPr>
      <w:r>
        <w:rPr>
          <w:rFonts w:ascii="方正小标宋_GBK" w:eastAsia="方正小标宋_GBK" w:hAnsi="等线" w:hint="eastAsia"/>
          <w:bCs/>
          <w:color w:val="000000"/>
          <w:kern w:val="36"/>
          <w:sz w:val="44"/>
          <w:szCs w:val="44"/>
        </w:rPr>
        <w:lastRenderedPageBreak/>
        <w:t>青岛市2026年秋冬季蔬菜增产提质</w:t>
      </w:r>
    </w:p>
    <w:p w14:paraId="1A7AC232" w14:textId="77777777" w:rsidR="00C61232" w:rsidRDefault="00000000">
      <w:pPr>
        <w:spacing w:line="640" w:lineRule="exact"/>
        <w:jc w:val="center"/>
        <w:outlineLvl w:val="0"/>
        <w:rPr>
          <w:rFonts w:ascii="方正小标宋_GBK" w:eastAsia="方正小标宋_GBK" w:hAnsi="等线" w:hint="eastAsia"/>
          <w:bCs/>
          <w:color w:val="000000"/>
          <w:kern w:val="36"/>
          <w:sz w:val="44"/>
          <w:szCs w:val="44"/>
        </w:rPr>
      </w:pPr>
      <w:r>
        <w:rPr>
          <w:rFonts w:ascii="方正小标宋_GBK" w:eastAsia="方正小标宋_GBK" w:hAnsi="等线" w:hint="eastAsia"/>
          <w:bCs/>
          <w:color w:val="000000"/>
          <w:kern w:val="36"/>
          <w:sz w:val="44"/>
          <w:szCs w:val="44"/>
        </w:rPr>
        <w:t>科学施肥指导意见</w:t>
      </w:r>
    </w:p>
    <w:bookmarkEnd w:id="0"/>
    <w:p w14:paraId="7278B394" w14:textId="77777777" w:rsidR="00C61232" w:rsidRDefault="00C61232">
      <w:pPr>
        <w:rPr>
          <w:rFonts w:ascii="仿宋_GB2312" w:eastAsia="仿宋_GB2312"/>
          <w:sz w:val="32"/>
          <w:szCs w:val="32"/>
        </w:rPr>
      </w:pPr>
    </w:p>
    <w:p w14:paraId="1B8E368B" w14:textId="77777777" w:rsidR="00C61232" w:rsidRDefault="00000000" w:rsidP="00701E28">
      <w:pPr>
        <w:spacing w:line="576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bookmarkStart w:id="3" w:name="OLE_LINK1"/>
      <w:r>
        <w:rPr>
          <w:rFonts w:ascii="黑体" w:eastAsia="黑体" w:hAnsi="黑体" w:hint="eastAsia"/>
          <w:sz w:val="32"/>
          <w:szCs w:val="32"/>
        </w:rPr>
        <w:t>一、露地甘蓝</w:t>
      </w:r>
    </w:p>
    <w:bookmarkEnd w:id="3"/>
    <w:p w14:paraId="39CF3D0D" w14:textId="77777777" w:rsidR="00C61232" w:rsidRDefault="00000000" w:rsidP="00701E28">
      <w:pPr>
        <w:spacing w:line="576" w:lineRule="exact"/>
        <w:ind w:firstLineChars="200" w:firstLine="640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（一）施肥原则</w:t>
      </w:r>
    </w:p>
    <w:p w14:paraId="5E65EB4C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针对露地甘蓝生产中有机肥施用量差异较大，氮、磷肥用量高、钾肥和中微量元素施用不足，施用时期和施肥方式不合理，过量灌溉等问题，提出以下施肥原则：</w:t>
      </w:r>
    </w:p>
    <w:p w14:paraId="070098B5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1.有机无机配合，合理施用有机肥，控氮、稳磷、增钾。依据土壤肥力条件，适当调整化肥用量。</w:t>
      </w:r>
    </w:p>
    <w:p w14:paraId="3CEEFFEA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2.基肥和追肥相结合，追肥以氮为主，氮磷钾合理搭配，提高肥料利用效率，降低养分损失。</w:t>
      </w:r>
    </w:p>
    <w:p w14:paraId="37DC9BA2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3.注意在莲座期至结球后期适当喷施钙、硼等中微量元素肥料，防止“干烧心”等生理性病害发生。</w:t>
      </w:r>
    </w:p>
    <w:p w14:paraId="254B77B6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4.土壤酸化严重时适量施用石灰、钙镁磷肥等具有改良酸性土壤功效的肥料或土壤调理剂。</w:t>
      </w:r>
    </w:p>
    <w:p w14:paraId="5B3C3D22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5.推广节水灌溉，提倡采用水肥一体化技术，提高水肥利用效率。</w:t>
      </w:r>
    </w:p>
    <w:p w14:paraId="31022E26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6.施肥与高产栽培结合，选育</w:t>
      </w:r>
      <w:proofErr w:type="gramStart"/>
      <w:r>
        <w:rPr>
          <w:rFonts w:ascii="仿宋_GB2312" w:eastAsia="仿宋_GB2312" w:hint="eastAsia"/>
          <w:sz w:val="32"/>
          <w:szCs w:val="32"/>
        </w:rPr>
        <w:t>高产耐密品种</w:t>
      </w:r>
      <w:proofErr w:type="gramEnd"/>
      <w:r>
        <w:rPr>
          <w:rFonts w:ascii="仿宋_GB2312" w:eastAsia="仿宋_GB2312" w:hint="eastAsia"/>
          <w:sz w:val="32"/>
          <w:szCs w:val="32"/>
        </w:rPr>
        <w:t>，提高育苗质量，采用合理种植密度，选择适宜播期/移栽期。</w:t>
      </w:r>
    </w:p>
    <w:p w14:paraId="3BB137C1" w14:textId="77777777" w:rsidR="00C61232" w:rsidRDefault="00000000" w:rsidP="00701E28">
      <w:pPr>
        <w:spacing w:line="576" w:lineRule="exact"/>
        <w:ind w:firstLineChars="200" w:firstLine="640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（二）施肥建议</w:t>
      </w:r>
    </w:p>
    <w:p w14:paraId="18B4B9B0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1.基肥施用猪粪、鸡粪、牛粪等经过充分腐熟的优质农家肥2-3方/亩或商品有机肥（含生物有机肥）200-300公斤/亩，推荐施用高碳氮比、</w:t>
      </w:r>
      <w:proofErr w:type="gramStart"/>
      <w:r>
        <w:rPr>
          <w:rFonts w:ascii="仿宋_GB2312" w:eastAsia="仿宋_GB2312" w:hint="eastAsia"/>
          <w:sz w:val="32"/>
          <w:szCs w:val="32"/>
        </w:rPr>
        <w:t>高碳磷比有机肥</w:t>
      </w:r>
      <w:proofErr w:type="gramEnd"/>
      <w:r>
        <w:rPr>
          <w:rFonts w:ascii="仿宋_GB2312" w:eastAsia="仿宋_GB2312" w:hint="eastAsia"/>
          <w:sz w:val="32"/>
          <w:szCs w:val="32"/>
        </w:rPr>
        <w:t>。</w:t>
      </w:r>
    </w:p>
    <w:p w14:paraId="68444EDB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2.产量水平5500公斤/亩以上，氮肥（N）14-16公斤/亩，磷肥（P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）5-8公斤/亩，钾肥（K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O）10-12公斤/亩。</w:t>
      </w:r>
    </w:p>
    <w:p w14:paraId="1F92110F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3.产量水平4500-5500公斤/亩，氮肥（N）12-14公斤/亩，磷肥（P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）4-5公斤/亩，钾肥（K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O）8-10公斤/亩。</w:t>
      </w:r>
    </w:p>
    <w:p w14:paraId="41A53CB3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4.产量水平低于4500公斤/亩，氮肥（N）10</w:t>
      </w:r>
      <w:bookmarkStart w:id="4" w:name="OLE_LINK24"/>
      <w:r>
        <w:rPr>
          <w:rFonts w:ascii="仿宋_GB2312" w:eastAsia="仿宋_GB2312" w:hint="eastAsia"/>
          <w:sz w:val="32"/>
          <w:szCs w:val="32"/>
        </w:rPr>
        <w:t>-</w:t>
      </w:r>
      <w:bookmarkEnd w:id="4"/>
      <w:r>
        <w:rPr>
          <w:rFonts w:ascii="仿宋_GB2312" w:eastAsia="仿宋_GB2312" w:hint="eastAsia"/>
          <w:sz w:val="32"/>
          <w:szCs w:val="32"/>
        </w:rPr>
        <w:t>12公斤/亩，磷肥（P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）3-4公斤/亩，钾肥（K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O）6-8公斤/亩。</w:t>
      </w:r>
    </w:p>
    <w:p w14:paraId="7B16671B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5.氮肥和钾肥总量的30%-40%作基施，60%-70%在莲座期和结球初期分两次追施，磷肥全部作基肥条施或穴施。</w:t>
      </w:r>
    </w:p>
    <w:p w14:paraId="257E6CF9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6.土壤肥力水平较低的地块，在</w:t>
      </w:r>
      <w:proofErr w:type="gramStart"/>
      <w:r>
        <w:rPr>
          <w:rFonts w:ascii="仿宋_GB2312" w:eastAsia="仿宋_GB2312" w:hint="eastAsia"/>
          <w:sz w:val="32"/>
          <w:szCs w:val="32"/>
        </w:rPr>
        <w:t>莲座期前封行时</w:t>
      </w:r>
      <w:proofErr w:type="gramEnd"/>
      <w:r>
        <w:rPr>
          <w:rFonts w:ascii="仿宋_GB2312" w:eastAsia="仿宋_GB2312" w:hint="eastAsia"/>
          <w:sz w:val="32"/>
          <w:szCs w:val="32"/>
        </w:rPr>
        <w:t>分配10%-15%的氮肥用量。</w:t>
      </w:r>
    </w:p>
    <w:p w14:paraId="7E27512A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7.有条件的地块，推荐施用一次性控释专用肥。</w:t>
      </w:r>
    </w:p>
    <w:p w14:paraId="4561A7C0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8.寒潮、低温</w:t>
      </w:r>
      <w:proofErr w:type="gramStart"/>
      <w:r>
        <w:rPr>
          <w:rFonts w:ascii="仿宋_GB2312" w:eastAsia="仿宋_GB2312" w:hint="eastAsia"/>
          <w:sz w:val="32"/>
          <w:szCs w:val="32"/>
        </w:rPr>
        <w:t>寡</w:t>
      </w:r>
      <w:proofErr w:type="gramEnd"/>
      <w:r>
        <w:rPr>
          <w:rFonts w:ascii="仿宋_GB2312" w:eastAsia="仿宋_GB2312" w:hint="eastAsia"/>
          <w:sz w:val="32"/>
          <w:szCs w:val="32"/>
        </w:rPr>
        <w:t>照、降雪等极端环境期间应控水控氮，连阴天避免浇水以防沤根；根系活力差时追施含腐植酸、海藻酸、氨基酸类等功能性物质的肥料，促进根系生长、增强抗寒性。</w:t>
      </w:r>
    </w:p>
    <w:p w14:paraId="4E6D5561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9.往年“干烧心”发生较严重的地块，</w:t>
      </w:r>
      <w:proofErr w:type="gramStart"/>
      <w:r>
        <w:rPr>
          <w:rFonts w:ascii="仿宋_GB2312" w:eastAsia="仿宋_GB2312" w:hint="eastAsia"/>
          <w:sz w:val="32"/>
          <w:szCs w:val="32"/>
        </w:rPr>
        <w:t>注意控氮补钙</w:t>
      </w:r>
      <w:proofErr w:type="gramEnd"/>
      <w:r>
        <w:rPr>
          <w:rFonts w:ascii="仿宋_GB2312" w:eastAsia="仿宋_GB2312" w:hint="eastAsia"/>
          <w:sz w:val="32"/>
          <w:szCs w:val="32"/>
        </w:rPr>
        <w:t>，可于莲座期至结球后期叶面喷施0.3%—0.5%的氯化钙溶液或硝酸钙溶液2-3次。</w:t>
      </w:r>
    </w:p>
    <w:p w14:paraId="537141E7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10.缺硼的地块基施硼砂0.5-1公斤/亩，或叶面喷施0.2%-0.3%的硼砂（或0.1%—0.2%的糖醇硼）溶液2-3次。</w:t>
      </w:r>
    </w:p>
    <w:p w14:paraId="3AFA28B0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11.可结合喷药喷施2-3次0.5%的磷酸二氢钾溶液，提高甘蓝的</w:t>
      </w:r>
      <w:proofErr w:type="gramStart"/>
      <w:r>
        <w:rPr>
          <w:rFonts w:ascii="仿宋_GB2312" w:eastAsia="仿宋_GB2312" w:hint="eastAsia"/>
          <w:sz w:val="32"/>
          <w:szCs w:val="32"/>
        </w:rPr>
        <w:t>净菜率</w:t>
      </w:r>
      <w:proofErr w:type="gramEnd"/>
      <w:r>
        <w:rPr>
          <w:rFonts w:ascii="仿宋_GB2312" w:eastAsia="仿宋_GB2312" w:hint="eastAsia"/>
          <w:sz w:val="32"/>
          <w:szCs w:val="32"/>
        </w:rPr>
        <w:t>和商品率。</w:t>
      </w:r>
      <w:r>
        <w:rPr>
          <w:rFonts w:ascii="仿宋_GB2312" w:eastAsia="仿宋_GB2312"/>
          <w:sz w:val="32"/>
          <w:szCs w:val="32"/>
        </w:rPr>
        <w:t xml:space="preserve"> </w:t>
      </w:r>
    </w:p>
    <w:p w14:paraId="29F7C5C0" w14:textId="77777777" w:rsidR="00C61232" w:rsidRDefault="00000000" w:rsidP="00701E28">
      <w:pPr>
        <w:spacing w:line="576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二、萝卜</w:t>
      </w:r>
    </w:p>
    <w:p w14:paraId="216A1A1D" w14:textId="77777777" w:rsidR="00C61232" w:rsidRDefault="00000000" w:rsidP="00701E28">
      <w:pPr>
        <w:spacing w:line="576" w:lineRule="exact"/>
        <w:ind w:firstLineChars="200" w:firstLine="640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（一）施肥原则</w:t>
      </w:r>
    </w:p>
    <w:p w14:paraId="7E788952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针对萝卜生产中存在的重氮磷、轻钾肥，比例失调、施肥时期不合理，有机肥、微量元素施用不足等问题，提出以下施肥原则：</w:t>
      </w:r>
    </w:p>
    <w:p w14:paraId="7139173B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1.合理施用有机肥料，提倡施用腐熟的农家肥或商品有机肥，忌用没有充分腐熟的有机肥料，重视有机无机配合施用。</w:t>
      </w:r>
    </w:p>
    <w:p w14:paraId="363D29CC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2.依据土壤肥力和目标产量，优化氮磷钾肥用量，适度降低氮磷肥用量，增施钾肥。</w:t>
      </w:r>
    </w:p>
    <w:p w14:paraId="63793838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3.石灰性土</w:t>
      </w:r>
      <w:proofErr w:type="gramStart"/>
      <w:r>
        <w:rPr>
          <w:rFonts w:ascii="仿宋_GB2312" w:eastAsia="仿宋_GB2312" w:hint="eastAsia"/>
          <w:sz w:val="32"/>
          <w:szCs w:val="32"/>
        </w:rPr>
        <w:t>壤</w:t>
      </w:r>
      <w:proofErr w:type="gramEnd"/>
      <w:r>
        <w:rPr>
          <w:rFonts w:ascii="仿宋_GB2312" w:eastAsia="仿宋_GB2312" w:hint="eastAsia"/>
          <w:sz w:val="32"/>
          <w:szCs w:val="32"/>
        </w:rPr>
        <w:t>应注意补充有效锰、锌、硼、钼等微量元素。</w:t>
      </w:r>
    </w:p>
    <w:p w14:paraId="3C6EB6A1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</w:t>
      </w:r>
      <w:r>
        <w:rPr>
          <w:rFonts w:hint="eastAsia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施肥与高产优质栽培相结合，选用高产优质、适宜当地茬口的品种，合理确定种植密度和播种期，加强苗期管理。</w:t>
      </w:r>
    </w:p>
    <w:p w14:paraId="7E6102BF" w14:textId="77777777" w:rsidR="00C61232" w:rsidRDefault="00000000" w:rsidP="00701E28">
      <w:pPr>
        <w:spacing w:line="576" w:lineRule="exact"/>
        <w:ind w:firstLineChars="200" w:firstLine="640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（二）施肥建议</w:t>
      </w:r>
    </w:p>
    <w:p w14:paraId="6AB3456E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1.有机肥：基肥施用猪粪、鸡粪、牛粪等经过充分腐熟的优质农家肥1.5-3方/亩或商品有机肥（含生物有机肥）150-300公斤/亩，推荐施用高碳氮比、</w:t>
      </w:r>
      <w:proofErr w:type="gramStart"/>
      <w:r>
        <w:rPr>
          <w:rFonts w:ascii="仿宋_GB2312" w:eastAsia="仿宋_GB2312" w:hint="eastAsia"/>
          <w:sz w:val="32"/>
          <w:szCs w:val="32"/>
        </w:rPr>
        <w:t>高碳磷比有机肥</w:t>
      </w:r>
      <w:proofErr w:type="gramEnd"/>
      <w:r>
        <w:rPr>
          <w:rFonts w:ascii="仿宋_GB2312" w:eastAsia="仿宋_GB2312" w:hint="eastAsia"/>
          <w:sz w:val="32"/>
          <w:szCs w:val="32"/>
        </w:rPr>
        <w:t>。</w:t>
      </w:r>
    </w:p>
    <w:p w14:paraId="7A7B8A76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2.化肥：产量水平4000公斤/亩以上，氮肥（N）10-12公斤/亩，磷肥（P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）4-6公斤/亩，钾肥（K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O）8-11公斤/亩。产量水平2500-4000公斤/亩，氮肥（N）6-10公斤/亩，磷肥（P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）3-5公斤/亩，钾肥（K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O）6-8公斤/亩。产量水平1000-2500公</w:t>
      </w:r>
      <w:r>
        <w:rPr>
          <w:rFonts w:ascii="仿宋_GB2312" w:eastAsia="仿宋_GB2312" w:hint="eastAsia"/>
          <w:sz w:val="32"/>
          <w:szCs w:val="32"/>
        </w:rPr>
        <w:lastRenderedPageBreak/>
        <w:t>斤/亩，氮肥（N）4-6公斤/亩，磷肥（P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）2-4公斤/亩，钾肥（K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O）4-6公斤/亩。</w:t>
      </w:r>
    </w:p>
    <w:p w14:paraId="707BDA95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3.30%-40%的氮钾肥作基肥施用，60%-70%的氮肥于莲座期和肉质根生长前期分两次追施，60%-70%的钾肥在肉质根生长前期和膨大期追施，有机肥、磷肥全部作基肥条施或穴施。</w:t>
      </w:r>
    </w:p>
    <w:p w14:paraId="5A7D80EF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缺乏硼的地块，可于播种前基施硼砂1公斤/亩，或于萝卜生长中后期用0.1%-0.5%的硼砂或硼酸，或0.1%-0.2%的糖醇硼水溶液进行叶面喷施，每隔5-6天喷一次，连喷2-3次。追肥时注意不宜靠近肉质根，以免烧根。注意控制施肥量，以免造成萝卜裂根。</w:t>
      </w:r>
    </w:p>
    <w:p w14:paraId="1BC845F1" w14:textId="77777777" w:rsidR="00C61232" w:rsidRDefault="00000000" w:rsidP="00701E28">
      <w:pPr>
        <w:spacing w:line="576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三、大白菜</w:t>
      </w:r>
    </w:p>
    <w:p w14:paraId="6D2FDE5A" w14:textId="77777777" w:rsidR="00C61232" w:rsidRDefault="00000000" w:rsidP="00701E28">
      <w:pPr>
        <w:spacing w:line="576" w:lineRule="exact"/>
        <w:ind w:firstLineChars="200" w:firstLine="640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（一）施肥原则</w:t>
      </w:r>
    </w:p>
    <w:p w14:paraId="60721E8D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针对大白菜生产中有机肥施用量不足，偏施氮肥、单次施肥量过大，盲目施用高磷复合肥，蔬菜地土壤酸化等问题，提出以下施肥原则：</w:t>
      </w:r>
    </w:p>
    <w:p w14:paraId="150AEACE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1.合理施用有机肥料，减少化肥用量，提倡施用腐熟的农家肥或商品有机肥，有机无机配合施用。</w:t>
      </w:r>
    </w:p>
    <w:p w14:paraId="5EDEA3AC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2.依据土壤肥力和目标产量，优化氮磷钾肥用量。</w:t>
      </w:r>
    </w:p>
    <w:p w14:paraId="1E39D83A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3.根据不同生育期养分需求，基肥追肥相结合，追肥以氮钾肥为主，适当补充微量元素。施用增效肥料，提高肥料利用效率，降低养分损失。</w:t>
      </w:r>
    </w:p>
    <w:p w14:paraId="2C28DB46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4.石灰性土</w:t>
      </w:r>
      <w:proofErr w:type="gramStart"/>
      <w:r>
        <w:rPr>
          <w:rFonts w:ascii="仿宋_GB2312" w:eastAsia="仿宋_GB2312" w:hint="eastAsia"/>
          <w:sz w:val="32"/>
          <w:szCs w:val="32"/>
        </w:rPr>
        <w:t>壤</w:t>
      </w:r>
      <w:proofErr w:type="gramEnd"/>
      <w:r>
        <w:rPr>
          <w:rFonts w:ascii="仿宋_GB2312" w:eastAsia="仿宋_GB2312" w:hint="eastAsia"/>
          <w:sz w:val="32"/>
          <w:szCs w:val="32"/>
        </w:rPr>
        <w:t>有效硼含量较低，应注意微量元素的补充。</w:t>
      </w:r>
    </w:p>
    <w:p w14:paraId="3670DABB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5.土壤酸化严重时应适量施用石灰。</w:t>
      </w:r>
    </w:p>
    <w:p w14:paraId="22840AA8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6.施肥与高产栽培结合，选育</w:t>
      </w:r>
      <w:proofErr w:type="gramStart"/>
      <w:r>
        <w:rPr>
          <w:rFonts w:ascii="仿宋_GB2312" w:eastAsia="仿宋_GB2312" w:hint="eastAsia"/>
          <w:sz w:val="32"/>
          <w:szCs w:val="32"/>
        </w:rPr>
        <w:t>高产耐密品种</w:t>
      </w:r>
      <w:proofErr w:type="gramEnd"/>
      <w:r>
        <w:rPr>
          <w:rFonts w:ascii="仿宋_GB2312" w:eastAsia="仿宋_GB2312" w:hint="eastAsia"/>
          <w:sz w:val="32"/>
          <w:szCs w:val="32"/>
        </w:rPr>
        <w:t>，提高育苗质量，采用合理种植密度，选择适宜播期/移栽期。</w:t>
      </w:r>
    </w:p>
    <w:p w14:paraId="3E9996E3" w14:textId="77777777" w:rsidR="00C61232" w:rsidRDefault="00000000" w:rsidP="00701E28">
      <w:pPr>
        <w:spacing w:line="576" w:lineRule="exact"/>
        <w:ind w:firstLineChars="200" w:firstLine="640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（二）施肥建议</w:t>
      </w:r>
    </w:p>
    <w:p w14:paraId="253E63B9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1.产量水平8000-10000公斤/亩，施充分腐熟的优质农家肥3-4方/亩或商品有机肥300-400公斤/亩，氮肥（N）20-25公斤/亩，磷肥（P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）7-9公斤/亩，钾肥（K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O）20-25公斤/亩。</w:t>
      </w:r>
    </w:p>
    <w:p w14:paraId="65848134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2.产量水平6000-8000公斤/亩，施充分腐熟的优质农家肥3-4方/亩或商品有机肥300-400公斤/亩，氮肥（N）15-20公斤/亩，磷肥（P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）5-7公斤/亩，钾肥（K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O）15-20公斤/亩。</w:t>
      </w:r>
    </w:p>
    <w:p w14:paraId="275D8F4B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3.产量水平4500-6000公斤/亩，施充分腐熟的优质农家肥2-3方/亩或商品有机肥200-300公斤/亩，氮肥（N）10-15公斤/亩，磷肥（P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）4-6公斤/亩，钾肥（K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O）10-15公斤/亩。</w:t>
      </w:r>
    </w:p>
    <w:p w14:paraId="4B4EFD32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4.产量水平3500-4500公斤/亩，施充分腐熟的优质农家肥2-3方/亩或商品有机肥200-300公斤/亩，氮肥（N）8-10公斤/亩，磷肥（P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）3-4公斤/亩，钾肥（K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O）8-10公斤/亩。</w:t>
      </w:r>
    </w:p>
    <w:p w14:paraId="305455E9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5.基肥重视有机无机配合施用，全部有机肥和磷肥以条施或穴施方式作基肥，氮肥30%作基肥，70%分别于莲座期和结球前期结合</w:t>
      </w:r>
      <w:proofErr w:type="gramStart"/>
      <w:r>
        <w:rPr>
          <w:rFonts w:ascii="仿宋_GB2312" w:eastAsia="仿宋_GB2312" w:hint="eastAsia"/>
          <w:sz w:val="32"/>
          <w:szCs w:val="32"/>
        </w:rPr>
        <w:t>灌溉分</w:t>
      </w:r>
      <w:proofErr w:type="gramEnd"/>
      <w:r>
        <w:rPr>
          <w:rFonts w:ascii="仿宋_GB2312" w:eastAsia="仿宋_GB2312" w:hint="eastAsia"/>
          <w:sz w:val="32"/>
          <w:szCs w:val="32"/>
        </w:rPr>
        <w:t>两次作追肥施用，注意在包心前期追施钾肥，</w:t>
      </w:r>
      <w:proofErr w:type="gramStart"/>
      <w:r>
        <w:rPr>
          <w:rFonts w:ascii="仿宋_GB2312" w:eastAsia="仿宋_GB2312" w:hint="eastAsia"/>
          <w:sz w:val="32"/>
          <w:szCs w:val="32"/>
        </w:rPr>
        <w:t>占总施钾量</w:t>
      </w:r>
      <w:proofErr w:type="gramEnd"/>
      <w:r>
        <w:rPr>
          <w:rFonts w:ascii="仿宋_GB2312" w:eastAsia="仿宋_GB2312" w:hint="eastAsia"/>
          <w:sz w:val="32"/>
          <w:szCs w:val="32"/>
        </w:rPr>
        <w:t>的50%左右。</w:t>
      </w:r>
    </w:p>
    <w:p w14:paraId="2E7090F4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6.土壤肥力水平较低的地块，提倡施用含脲酶抑制剂、硝化抑制剂的氮肥；在寒潮低温、</w:t>
      </w:r>
      <w:proofErr w:type="gramStart"/>
      <w:r>
        <w:rPr>
          <w:rFonts w:ascii="仿宋_GB2312" w:eastAsia="仿宋_GB2312" w:hint="eastAsia"/>
          <w:sz w:val="32"/>
          <w:szCs w:val="32"/>
        </w:rPr>
        <w:t>寡</w:t>
      </w:r>
      <w:proofErr w:type="gramEnd"/>
      <w:r>
        <w:rPr>
          <w:rFonts w:ascii="仿宋_GB2312" w:eastAsia="仿宋_GB2312" w:hint="eastAsia"/>
          <w:sz w:val="32"/>
          <w:szCs w:val="32"/>
        </w:rPr>
        <w:t>照等极端环境下，可施用含腐植</w:t>
      </w:r>
      <w:r>
        <w:rPr>
          <w:rFonts w:ascii="仿宋_GB2312" w:eastAsia="仿宋_GB2312" w:hint="eastAsia"/>
          <w:sz w:val="32"/>
          <w:szCs w:val="32"/>
        </w:rPr>
        <w:lastRenderedPageBreak/>
        <w:t>酸、海藻酸、氨基酸类等功能性物质的肥料，促进根系生长、增强抗寒性。</w:t>
      </w:r>
    </w:p>
    <w:p w14:paraId="2F75BB28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7.微量元素</w:t>
      </w:r>
      <w:proofErr w:type="gramStart"/>
      <w:r>
        <w:rPr>
          <w:rFonts w:ascii="仿宋_GB2312" w:eastAsia="仿宋_GB2312" w:hint="eastAsia"/>
          <w:sz w:val="32"/>
          <w:szCs w:val="32"/>
        </w:rPr>
        <w:t>硼缺乏</w:t>
      </w:r>
      <w:proofErr w:type="gramEnd"/>
      <w:r>
        <w:rPr>
          <w:rFonts w:ascii="仿宋_GB2312" w:eastAsia="仿宋_GB2312" w:hint="eastAsia"/>
          <w:sz w:val="32"/>
          <w:szCs w:val="32"/>
        </w:rPr>
        <w:t>的地块，可于播种前基施硼砂1公斤/亩，或于生长中后期用0.1%-0.5%的硼砂或0.1%-0.2%的糖醇硼水溶液进行叶面喷施，每隔5-6天喷一次，连喷2-3次。</w:t>
      </w:r>
    </w:p>
    <w:p w14:paraId="5299B131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8.大白菜</w:t>
      </w:r>
      <w:proofErr w:type="gramStart"/>
      <w:r>
        <w:rPr>
          <w:rFonts w:ascii="仿宋_GB2312" w:eastAsia="仿宋_GB2312" w:hint="eastAsia"/>
          <w:sz w:val="32"/>
          <w:szCs w:val="32"/>
        </w:rPr>
        <w:t>为喜钙作物</w:t>
      </w:r>
      <w:proofErr w:type="gramEnd"/>
      <w:r>
        <w:rPr>
          <w:rFonts w:ascii="仿宋_GB2312" w:eastAsia="仿宋_GB2312" w:hint="eastAsia"/>
          <w:sz w:val="32"/>
          <w:szCs w:val="32"/>
        </w:rPr>
        <w:t>，除了基施含钙肥料（如过磷酸钙）以外，还可叶面喷施0.3%-0.5%的氯化钙或硝酸钙溶液。</w:t>
      </w:r>
    </w:p>
    <w:p w14:paraId="6D2F7F76" w14:textId="77777777" w:rsidR="00C61232" w:rsidRDefault="00000000" w:rsidP="00701E28">
      <w:pPr>
        <w:spacing w:line="576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四、莴苣</w:t>
      </w:r>
    </w:p>
    <w:p w14:paraId="5239C9D4" w14:textId="77777777" w:rsidR="00C61232" w:rsidRDefault="00000000" w:rsidP="00701E28">
      <w:pPr>
        <w:spacing w:line="576" w:lineRule="exact"/>
        <w:ind w:firstLineChars="200" w:firstLine="640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（一）施肥原则</w:t>
      </w:r>
    </w:p>
    <w:p w14:paraId="0E009C84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针对莴苣有机肥施用量少，偏施氮肥，钾肥施用量不足，施肥时期和方式不合理等问题，提出以下施肥原则：</w:t>
      </w:r>
    </w:p>
    <w:p w14:paraId="488126E7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1.有机无机配合施用，增施有机肥料，控制氮肥，增施钾肥。依据土壤肥力条件，适当调整化肥用量。</w:t>
      </w:r>
    </w:p>
    <w:p w14:paraId="1DBE598A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2.根据不同生育期养分需求，基肥、追肥结合，追肥以氮为主，合理配施磷钾肥，施用增效肥料，提高肥料利用效率，降低养分损失。</w:t>
      </w:r>
    </w:p>
    <w:p w14:paraId="2A7DD302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3.酸化严重的菜园适量施用石灰。</w:t>
      </w:r>
    </w:p>
    <w:p w14:paraId="3814BF54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4.施肥与优质栽培技术结合，推广高效节水灌溉和水肥一体化技术，提高肥水利用效率。</w:t>
      </w:r>
    </w:p>
    <w:p w14:paraId="0EFCDDEC" w14:textId="77777777" w:rsidR="00C61232" w:rsidRDefault="00000000" w:rsidP="00701E28">
      <w:pPr>
        <w:spacing w:line="576" w:lineRule="exact"/>
        <w:ind w:firstLineChars="200" w:firstLine="640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（二）施肥建议</w:t>
      </w:r>
    </w:p>
    <w:p w14:paraId="15DA6980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1.基肥施用经过充分腐熟的猪粪、鸡粪、牛粪等优质农家肥2-3方/亩或商品有机肥（含生物有机肥）200-300公斤/亩。</w:t>
      </w:r>
    </w:p>
    <w:p w14:paraId="770E00E7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2.产量水平3500公斤/亩以上，氮肥（N）10-12公斤/亩，磷肥（P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）4-6公斤/亩，钾肥（K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O）10-14公斤/亩。</w:t>
      </w:r>
    </w:p>
    <w:p w14:paraId="6F45A0F7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3.产量水平2500-3500公斤/亩，氮肥（N）6-10公斤/亩，磷肥（P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）3-4公斤/亩，钾肥（K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O）8-10公斤/亩。</w:t>
      </w:r>
    </w:p>
    <w:p w14:paraId="5D3D1818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4.产量水平1500-2500公斤/亩，氮肥（N）5-6公斤/亩，磷肥（P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）2-3公斤/亩，钾肥（K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O）6-8公斤/亩。</w:t>
      </w:r>
    </w:p>
    <w:p w14:paraId="0BD22E02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5.氮肥全部作追肥，按照20%、30%和50%的比例分别在移栽返青期、莲座期和肉质</w:t>
      </w:r>
      <w:proofErr w:type="gramStart"/>
      <w:r>
        <w:rPr>
          <w:rFonts w:ascii="仿宋_GB2312" w:eastAsia="仿宋_GB2312" w:hint="eastAsia"/>
          <w:sz w:val="32"/>
          <w:szCs w:val="32"/>
        </w:rPr>
        <w:t>茎</w:t>
      </w:r>
      <w:proofErr w:type="gramEnd"/>
      <w:r>
        <w:rPr>
          <w:rFonts w:ascii="仿宋_GB2312" w:eastAsia="仿宋_GB2312" w:hint="eastAsia"/>
          <w:sz w:val="32"/>
          <w:szCs w:val="32"/>
        </w:rPr>
        <w:t>膨大初期分3次追施。有机肥、磷肥全部作基肥条施或穴施。钾肥40%—50%基施，其余在莲座期和肉质</w:t>
      </w:r>
      <w:proofErr w:type="gramStart"/>
      <w:r>
        <w:rPr>
          <w:rFonts w:ascii="仿宋_GB2312" w:eastAsia="仿宋_GB2312" w:hint="eastAsia"/>
          <w:sz w:val="32"/>
          <w:szCs w:val="32"/>
        </w:rPr>
        <w:t>茎</w:t>
      </w:r>
      <w:proofErr w:type="gramEnd"/>
      <w:r>
        <w:rPr>
          <w:rFonts w:ascii="仿宋_GB2312" w:eastAsia="仿宋_GB2312" w:hint="eastAsia"/>
          <w:sz w:val="32"/>
          <w:szCs w:val="32"/>
        </w:rPr>
        <w:t>膨大初期分两次追施。</w:t>
      </w:r>
    </w:p>
    <w:p w14:paraId="193BBBAD" w14:textId="77777777" w:rsidR="00C61232" w:rsidRDefault="00000000" w:rsidP="00701E28">
      <w:pPr>
        <w:spacing w:line="576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五、设施番茄</w:t>
      </w:r>
    </w:p>
    <w:p w14:paraId="239B9120" w14:textId="77777777" w:rsidR="00C61232" w:rsidRDefault="00000000" w:rsidP="00701E28">
      <w:pPr>
        <w:spacing w:line="576" w:lineRule="exact"/>
        <w:ind w:firstLineChars="200" w:firstLine="640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（一）施肥原则</w:t>
      </w:r>
    </w:p>
    <w:p w14:paraId="221B31B9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针对生产中存在化肥用量偏高，养分投入比例不合理，导致土壤中大量元素积累明显而中微量元素（钙、镁、硼等）供给不足，同时伴随过量灌溉、土壤酸化加剧及质量退化等问题。提出以下施肥原则：</w:t>
      </w:r>
    </w:p>
    <w:p w14:paraId="084F496C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1.有机肥与化肥配合施用，合理确定有机肥种类与用量，调整氮磷钾化肥用量，非石灰性土</w:t>
      </w:r>
      <w:proofErr w:type="gramStart"/>
      <w:r>
        <w:rPr>
          <w:rFonts w:ascii="仿宋_GB2312" w:eastAsia="仿宋_GB2312" w:hint="eastAsia"/>
          <w:sz w:val="32"/>
          <w:szCs w:val="32"/>
        </w:rPr>
        <w:t>壤</w:t>
      </w:r>
      <w:proofErr w:type="gramEnd"/>
      <w:r>
        <w:rPr>
          <w:rFonts w:ascii="仿宋_GB2312" w:eastAsia="仿宋_GB2312" w:hint="eastAsia"/>
          <w:sz w:val="32"/>
          <w:szCs w:val="32"/>
        </w:rPr>
        <w:t>及酸性土壤需补充钙、镁、硼等中微量元素。</w:t>
      </w:r>
    </w:p>
    <w:p w14:paraId="64C06516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2.根据作物产量、茬口及土壤肥力合理分配化肥，大部分磷肥基施，氮钾肥追施。生长前期不宜频繁追肥，重视花后和中后期追肥。推荐施用增效肥料，提高肥料利用效率，降低养分损失。</w:t>
      </w:r>
    </w:p>
    <w:p w14:paraId="43F2E751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3.推广滴灌施肥技术，遵循少量多次的灌溉施肥原则，做到控水控肥、提质增产、提高水肥利用效率。</w:t>
      </w:r>
    </w:p>
    <w:p w14:paraId="58A0DE99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4.土壤退化的</w:t>
      </w:r>
      <w:proofErr w:type="gramStart"/>
      <w:r>
        <w:rPr>
          <w:rFonts w:ascii="仿宋_GB2312" w:eastAsia="仿宋_GB2312" w:hint="eastAsia"/>
          <w:sz w:val="32"/>
          <w:szCs w:val="32"/>
        </w:rPr>
        <w:t>老棚需</w:t>
      </w:r>
      <w:proofErr w:type="gramEnd"/>
      <w:r>
        <w:rPr>
          <w:rFonts w:ascii="仿宋_GB2312" w:eastAsia="仿宋_GB2312" w:hint="eastAsia"/>
          <w:sz w:val="32"/>
          <w:szCs w:val="32"/>
        </w:rPr>
        <w:t>进行秸秆还田或施用高碳氮比的有机肥，少施禽粪肥，增加轮作次数，减轻土壤盐渍化和连作障碍。</w:t>
      </w:r>
    </w:p>
    <w:p w14:paraId="2E887B0F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5.土壤酸化严重时应适量施用石灰调理土壤。</w:t>
      </w:r>
    </w:p>
    <w:p w14:paraId="44E5C25E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6.施肥与高产栽培结合，选用高产优质品种，重视绿色种苗培育，提高育苗质量，采用合理种植密度，选择适宜移栽期。</w:t>
      </w:r>
    </w:p>
    <w:p w14:paraId="3D5E7AC6" w14:textId="77777777" w:rsidR="00C61232" w:rsidRDefault="00000000" w:rsidP="00701E28">
      <w:pPr>
        <w:spacing w:line="576" w:lineRule="exact"/>
        <w:ind w:firstLineChars="200" w:firstLine="640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（二）施肥建议</w:t>
      </w:r>
    </w:p>
    <w:p w14:paraId="6C98C39C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1.基肥施用充分腐熟的优质农家肥3-4方/亩，或者优质商品有机肥300-400公斤/亩。有条件的园区可采用“以磷定量”的方法确定有机肥用量，提倡施用高碳</w:t>
      </w:r>
      <w:proofErr w:type="gramStart"/>
      <w:r>
        <w:rPr>
          <w:rFonts w:ascii="仿宋_GB2312" w:eastAsia="仿宋_GB2312" w:hint="eastAsia"/>
          <w:sz w:val="32"/>
          <w:szCs w:val="32"/>
        </w:rPr>
        <w:t>磷比有机</w:t>
      </w:r>
      <w:proofErr w:type="gramEnd"/>
      <w:r>
        <w:rPr>
          <w:rFonts w:ascii="仿宋_GB2312" w:eastAsia="仿宋_GB2312" w:hint="eastAsia"/>
          <w:sz w:val="32"/>
          <w:szCs w:val="32"/>
        </w:rPr>
        <w:t>物料。依据土壤肥力条件，适当调整化肥用量。</w:t>
      </w:r>
    </w:p>
    <w:p w14:paraId="3B953507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2.产量水平8000-10000公斤/亩，氮肥（N）20-25公斤/亩，磷肥（P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）8-10公斤/亩，钾肥（K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O）22-28公斤/亩。</w:t>
      </w:r>
    </w:p>
    <w:p w14:paraId="66202309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3.产量水平6000-8000公斤/亩，氮肥（N）15-20公斤/亩，磷肥（P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）6-8公斤/亩，钾肥（K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O）17-22公斤/亩。</w:t>
      </w:r>
    </w:p>
    <w:p w14:paraId="79ECF3C5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4.产量水平4000-6000公斤/亩，氮肥（N）12-15公斤/亩，磷肥（P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）5-7公斤/亩，钾肥（K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O）14-17公斤/亩。</w:t>
      </w:r>
    </w:p>
    <w:p w14:paraId="1250D52A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5.基肥重视有机无机配施，70%以上的磷肥作基肥条（穴）施，其余随复合肥追施，20%-30%氮钾肥基施，70%-80%在花后至果穗膨大期间分4-8次随水追施，每次追施氮肥（N）不超过3公斤/亩。</w:t>
      </w:r>
    </w:p>
    <w:p w14:paraId="420E64D4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6.提倡采用滴灌施肥技术，在开花坐果期、结果期和盛果期每间隔7—10天追肥一次，每次施氮（N）量可降至2-3公斤/亩。</w:t>
      </w:r>
    </w:p>
    <w:p w14:paraId="3D3EF82D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7.菜田土壤pH&lt;6时易出现钙、镁、硼缺乏，可基施石灰（钙肥）50-75公斤/亩、无水硫酸镁（镁肥）4-6公斤/亩。在开花期至盛果期叶面喷施2—3次0.1%硼肥水溶液、2-4次</w:t>
      </w:r>
      <w:proofErr w:type="gramStart"/>
      <w:r>
        <w:rPr>
          <w:rFonts w:ascii="仿宋_GB2312" w:eastAsia="仿宋_GB2312" w:hint="eastAsia"/>
          <w:sz w:val="32"/>
          <w:szCs w:val="32"/>
        </w:rPr>
        <w:t>螯合态</w:t>
      </w:r>
      <w:proofErr w:type="gramEnd"/>
      <w:r>
        <w:rPr>
          <w:rFonts w:ascii="仿宋_GB2312" w:eastAsia="仿宋_GB2312" w:hint="eastAsia"/>
          <w:sz w:val="32"/>
          <w:szCs w:val="32"/>
        </w:rPr>
        <w:t>钙肥和硫酸镁肥。</w:t>
      </w:r>
    </w:p>
    <w:p w14:paraId="33C3A40D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8.进入冬季低温季节，为应对突发的寒潮、低温</w:t>
      </w:r>
      <w:proofErr w:type="gramStart"/>
      <w:r>
        <w:rPr>
          <w:rFonts w:ascii="仿宋_GB2312" w:eastAsia="仿宋_GB2312" w:hint="eastAsia"/>
          <w:sz w:val="32"/>
          <w:szCs w:val="32"/>
        </w:rPr>
        <w:t>寡</w:t>
      </w:r>
      <w:proofErr w:type="gramEnd"/>
      <w:r>
        <w:rPr>
          <w:rFonts w:ascii="仿宋_GB2312" w:eastAsia="仿宋_GB2312" w:hint="eastAsia"/>
          <w:sz w:val="32"/>
          <w:szCs w:val="32"/>
        </w:rPr>
        <w:t>照及降雪天气，应提前补充钙、镁、锌、硼等中微量元素，不用或少用氮肥，并配施海藻酸、多糖类等，以增强植株抗寒能力。</w:t>
      </w:r>
    </w:p>
    <w:p w14:paraId="7379480F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9.低温冷害期间需严格控水控氮，连阴天尽量不浇水以防沤根，若遇干旱应采用膜下滴灌浇小水，追施含氨基酸、腐殖酸、海藻酸等功能性物质的肥料，促进根系发育、提高抗逆性。</w:t>
      </w:r>
    </w:p>
    <w:p w14:paraId="0ECE5047" w14:textId="77777777" w:rsidR="00C61232" w:rsidRDefault="00000000" w:rsidP="00701E28">
      <w:pPr>
        <w:spacing w:line="576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六、设施黄瓜</w:t>
      </w:r>
    </w:p>
    <w:p w14:paraId="1BEA6BC4" w14:textId="77777777" w:rsidR="00C61232" w:rsidRDefault="00000000" w:rsidP="00701E28">
      <w:pPr>
        <w:spacing w:line="576" w:lineRule="exact"/>
        <w:ind w:firstLineChars="200" w:firstLine="640"/>
        <w:rPr>
          <w:rFonts w:ascii="楷体_GB2312" w:eastAsia="楷体_GB2312" w:hAnsi="黑体" w:hint="eastAsia"/>
          <w:sz w:val="32"/>
          <w:szCs w:val="32"/>
        </w:rPr>
      </w:pPr>
      <w:r>
        <w:rPr>
          <w:rFonts w:ascii="楷体_GB2312" w:eastAsia="楷体_GB2312" w:hAnsi="黑体" w:hint="eastAsia"/>
          <w:sz w:val="32"/>
          <w:szCs w:val="32"/>
        </w:rPr>
        <w:t>（一）施肥原则</w:t>
      </w:r>
    </w:p>
    <w:p w14:paraId="0B350BFB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针对灌溉和施肥过量，施肥比例不合理，施用的有机肥多以畜禽粪为主，以及连作障碍等土壤质量退化严重，养分吸收效率下降，蔬菜品质下降等问题，提出以下施肥原则：</w:t>
      </w:r>
    </w:p>
    <w:p w14:paraId="0D19647E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1.合理施用有机肥，提倡施用优质有机肥（推荐用植物源有机肥），老菜棚注意多施高碳氮比外源秸秆或有机肥，少施禽粪肥。</w:t>
      </w:r>
    </w:p>
    <w:p w14:paraId="2230F41E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2.根据作物产量、茬口及土壤肥力条件，综合考虑有机肥施用量、土壤养分供应，适当调整氮磷钾化肥用量。</w:t>
      </w:r>
    </w:p>
    <w:p w14:paraId="4B11DB2B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3.推荐采用水肥一体化技术，遵循“少量多次”的灌溉施肥原则。</w:t>
      </w:r>
    </w:p>
    <w:p w14:paraId="0711EA46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4.根据不同生育期养分需求，氮肥和钾肥主要作追肥，少量多次施用，避免追施磷含量高的复合肥，苗期不宜频繁追肥，重视结瓜期追肥。</w:t>
      </w:r>
    </w:p>
    <w:p w14:paraId="55553740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5.土壤酸化严重时应适量施用石灰等酸性土壤调理剂。</w:t>
      </w:r>
    </w:p>
    <w:p w14:paraId="41357874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6.施肥与高产栽培结合，选育高产优质品种，提高育苗质量，采用合理种植密度，选择适宜播期/移栽期。</w:t>
      </w:r>
    </w:p>
    <w:p w14:paraId="3B5ACAB0" w14:textId="77777777" w:rsidR="00C61232" w:rsidRDefault="00000000" w:rsidP="00701E28">
      <w:pPr>
        <w:spacing w:line="576" w:lineRule="exact"/>
        <w:ind w:firstLineChars="200" w:firstLine="640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（二）施肥建议</w:t>
      </w:r>
    </w:p>
    <w:p w14:paraId="251EA5E5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1.基肥施用充分腐熟的优质农家肥3-4方/亩，或者优质商品有机肥（含生物有机肥）300-400公斤/亩。</w:t>
      </w:r>
    </w:p>
    <w:p w14:paraId="23CF0182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2.产量水平14000-16000公斤/亩，氮肥（N）32-36公斤/亩，磷肥（P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）12-14公斤/亩，钾肥（K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O）33-38公斤/亩。</w:t>
      </w:r>
    </w:p>
    <w:p w14:paraId="57799E5C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3.产量水平11000-14000公斤/亩，氮肥（N）27-32公斤/亩，磷肥（P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）10-12公斤/亩，钾肥（K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O）28-33公斤/亩。</w:t>
      </w:r>
    </w:p>
    <w:p w14:paraId="6FBD09DC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4.产量水平7000-11000公斤/亩，氮肥（N）22-27公斤/亩，磷肥（P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）9-11公斤/亩，钾肥（K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O）23-28公斤/亩。</w:t>
      </w:r>
    </w:p>
    <w:p w14:paraId="42301FFA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5.产量水平4000-7000公斤/亩，氮肥（N）17-22公斤/亩，磷肥（P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</w:t>
      </w:r>
      <w:r>
        <w:rPr>
          <w:rFonts w:ascii="仿宋_GB2312" w:eastAsia="仿宋_GB2312" w:hint="eastAsia"/>
          <w:sz w:val="32"/>
          <w:szCs w:val="32"/>
          <w:vertAlign w:val="subscript"/>
        </w:rPr>
        <w:t>5</w:t>
      </w:r>
      <w:r>
        <w:rPr>
          <w:rFonts w:ascii="仿宋_GB2312" w:eastAsia="仿宋_GB2312" w:hint="eastAsia"/>
          <w:sz w:val="32"/>
          <w:szCs w:val="32"/>
        </w:rPr>
        <w:t>）7-9公斤/亩，钾肥（K</w:t>
      </w:r>
      <w:r>
        <w:rPr>
          <w:rFonts w:ascii="仿宋_GB2312" w:eastAsia="仿宋_GB2312" w:hint="eastAsia"/>
          <w:sz w:val="32"/>
          <w:szCs w:val="32"/>
          <w:vertAlign w:val="subscript"/>
        </w:rPr>
        <w:t>2</w:t>
      </w:r>
      <w:r>
        <w:rPr>
          <w:rFonts w:ascii="仿宋_GB2312" w:eastAsia="仿宋_GB2312" w:hint="eastAsia"/>
          <w:sz w:val="32"/>
          <w:szCs w:val="32"/>
        </w:rPr>
        <w:t>O）18-33公斤/亩。</w:t>
      </w:r>
    </w:p>
    <w:p w14:paraId="4B4798C1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6.全部有机肥作基肥施用，60%以上的磷肥、20%-30%氮钾肥作基肥施用，施肥方式为条（穴）施，其余氮钾肥在初花期和结瓜期按养分需求分6-8次追施，其余的</w:t>
      </w:r>
      <w:proofErr w:type="gramStart"/>
      <w:r>
        <w:rPr>
          <w:rFonts w:ascii="仿宋_GB2312" w:eastAsia="仿宋_GB2312" w:hint="eastAsia"/>
          <w:sz w:val="32"/>
          <w:szCs w:val="32"/>
        </w:rPr>
        <w:t>磷肥随氮钾肥</w:t>
      </w:r>
      <w:proofErr w:type="gramEnd"/>
      <w:r>
        <w:rPr>
          <w:rFonts w:ascii="仿宋_GB2312" w:eastAsia="仿宋_GB2312" w:hint="eastAsia"/>
          <w:sz w:val="32"/>
          <w:szCs w:val="32"/>
        </w:rPr>
        <w:t>追施，每次</w:t>
      </w:r>
      <w:r>
        <w:rPr>
          <w:rFonts w:ascii="仿宋_GB2312" w:eastAsia="仿宋_GB2312" w:hint="eastAsia"/>
          <w:sz w:val="32"/>
          <w:szCs w:val="32"/>
        </w:rPr>
        <w:lastRenderedPageBreak/>
        <w:t>追施氮肥用量不超过5公斤/亩。</w:t>
      </w:r>
    </w:p>
    <w:p w14:paraId="14BC0346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7.</w:t>
      </w:r>
      <w:proofErr w:type="gramStart"/>
      <w:r>
        <w:rPr>
          <w:rFonts w:ascii="仿宋_GB2312" w:eastAsia="仿宋_GB2312" w:hint="eastAsia"/>
          <w:sz w:val="32"/>
          <w:szCs w:val="32"/>
        </w:rPr>
        <w:t>秋冬茬和冬春茬</w:t>
      </w:r>
      <w:proofErr w:type="gramEnd"/>
      <w:r>
        <w:rPr>
          <w:rFonts w:ascii="仿宋_GB2312" w:eastAsia="仿宋_GB2312" w:hint="eastAsia"/>
          <w:sz w:val="32"/>
          <w:szCs w:val="32"/>
        </w:rPr>
        <w:t>的氮钾肥在初花期和结瓜期分6-7次追肥，</w:t>
      </w:r>
      <w:proofErr w:type="gramStart"/>
      <w:r>
        <w:rPr>
          <w:rFonts w:ascii="仿宋_GB2312" w:eastAsia="仿宋_GB2312" w:hint="eastAsia"/>
          <w:sz w:val="32"/>
          <w:szCs w:val="32"/>
        </w:rPr>
        <w:t>越冬长茬的</w:t>
      </w:r>
      <w:proofErr w:type="gramEnd"/>
      <w:r>
        <w:rPr>
          <w:rFonts w:ascii="仿宋_GB2312" w:eastAsia="仿宋_GB2312" w:hint="eastAsia"/>
          <w:sz w:val="32"/>
          <w:szCs w:val="32"/>
        </w:rPr>
        <w:t>氮钾肥在初花期和结瓜期分8-11次追肥。提倡滴灌施肥技术，可减少20%左右的化肥施用量，采取少量多次的原则，灌溉施肥次数在15次左右。</w:t>
      </w:r>
    </w:p>
    <w:p w14:paraId="0BD66222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8.适当补充钙、镁、硼肥。可基施石灰（钙肥）50-75公斤/亩、无水硫酸镁（镁肥）4-6公斤/亩。在开花期至盛果期叶面喷施2-3次0.1%硼肥水溶液、2-4次</w:t>
      </w:r>
      <w:proofErr w:type="gramStart"/>
      <w:r>
        <w:rPr>
          <w:rFonts w:ascii="仿宋_GB2312" w:eastAsia="仿宋_GB2312" w:hint="eastAsia"/>
          <w:sz w:val="32"/>
          <w:szCs w:val="32"/>
        </w:rPr>
        <w:t>螯合态</w:t>
      </w:r>
      <w:proofErr w:type="gramEnd"/>
      <w:r>
        <w:rPr>
          <w:rFonts w:ascii="仿宋_GB2312" w:eastAsia="仿宋_GB2312" w:hint="eastAsia"/>
          <w:sz w:val="32"/>
          <w:szCs w:val="32"/>
        </w:rPr>
        <w:t>钙肥和硫酸镁肥。</w:t>
      </w:r>
    </w:p>
    <w:p w14:paraId="3A7F73B1" w14:textId="77777777" w:rsidR="00C61232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9.进入冬季低温季节，为应对突发的寒潮、低温</w:t>
      </w:r>
      <w:proofErr w:type="gramStart"/>
      <w:r>
        <w:rPr>
          <w:rFonts w:ascii="仿宋_GB2312" w:eastAsia="仿宋_GB2312" w:hint="eastAsia"/>
          <w:sz w:val="32"/>
          <w:szCs w:val="32"/>
        </w:rPr>
        <w:t>寡</w:t>
      </w:r>
      <w:proofErr w:type="gramEnd"/>
      <w:r>
        <w:rPr>
          <w:rFonts w:ascii="仿宋_GB2312" w:eastAsia="仿宋_GB2312" w:hint="eastAsia"/>
          <w:sz w:val="32"/>
          <w:szCs w:val="32"/>
        </w:rPr>
        <w:t>照及降雪天气：应提前补充钙、镁、锌、硼等中微量元素，不用或少用氮肥，并配施海藻酸、多糖类等，以增强植株抗寒能力。</w:t>
      </w:r>
    </w:p>
    <w:p w14:paraId="46860FC3" w14:textId="4215D071" w:rsidR="00701E28" w:rsidRDefault="00000000" w:rsidP="00701E28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10.低温冷害期间需严格控水控氮，连阴天尽量不浇水以防沤根，若遇干旱应采用膜下滴灌浇小水，追施含氨基酸、腐殖酸、海藻酸等功能性物质的肥料，促进根系发育、提高抗逆性。</w:t>
      </w:r>
    </w:p>
    <w:p w14:paraId="67CDCFA0" w14:textId="2CAF95F8" w:rsidR="00C61232" w:rsidRDefault="00C61232" w:rsidP="003344CC">
      <w:pPr>
        <w:widowControl/>
        <w:jc w:val="left"/>
        <w:rPr>
          <w:rFonts w:ascii="仿宋_GB2312" w:eastAsia="仿宋_GB2312"/>
          <w:sz w:val="32"/>
          <w:szCs w:val="32"/>
        </w:rPr>
      </w:pPr>
    </w:p>
    <w:sectPr w:rsidR="00C61232" w:rsidSect="00F77B9B">
      <w:footerReference w:type="even" r:id="rId8"/>
      <w:footerReference w:type="default" r:id="rId9"/>
      <w:pgSz w:w="11906" w:h="16838"/>
      <w:pgMar w:top="2098" w:right="1474" w:bottom="1985" w:left="1588" w:header="851" w:footer="1276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C774E" w14:textId="77777777" w:rsidR="005C40AF" w:rsidRDefault="005C40AF" w:rsidP="00F77B9B">
      <w:r>
        <w:separator/>
      </w:r>
    </w:p>
  </w:endnote>
  <w:endnote w:type="continuationSeparator" w:id="0">
    <w:p w14:paraId="718F6664" w14:textId="77777777" w:rsidR="005C40AF" w:rsidRDefault="005C40AF" w:rsidP="00F77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FZXBSK--GBK1-0">
    <w:altName w:val="Segoe Print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3621076"/>
      <w:docPartObj>
        <w:docPartGallery w:val="Page Numbers (Bottom of Page)"/>
        <w:docPartUnique/>
      </w:docPartObj>
    </w:sdtPr>
    <w:sdtContent>
      <w:p w14:paraId="4D2043AE" w14:textId="1D8568E1" w:rsidR="00F77B9B" w:rsidRDefault="00F77B9B">
        <w:pPr>
          <w:pStyle w:val="a3"/>
        </w:pPr>
        <w:r w:rsidRPr="00F77B9B">
          <w:rPr>
            <w:rFonts w:ascii="宋体" w:hAnsi="宋体"/>
            <w:sz w:val="28"/>
            <w:szCs w:val="28"/>
          </w:rPr>
          <w:fldChar w:fldCharType="begin"/>
        </w:r>
        <w:r w:rsidRPr="00F77B9B">
          <w:rPr>
            <w:rFonts w:ascii="宋体" w:hAnsi="宋体"/>
            <w:sz w:val="28"/>
            <w:szCs w:val="28"/>
          </w:rPr>
          <w:instrText>PAGE   \* MERGEFORMAT</w:instrText>
        </w:r>
        <w:r w:rsidRPr="00F77B9B">
          <w:rPr>
            <w:rFonts w:ascii="宋体" w:hAnsi="宋体"/>
            <w:sz w:val="28"/>
            <w:szCs w:val="28"/>
          </w:rPr>
          <w:fldChar w:fldCharType="separate"/>
        </w:r>
        <w:r w:rsidRPr="00F77B9B">
          <w:rPr>
            <w:rFonts w:ascii="宋体" w:hAnsi="宋体"/>
            <w:sz w:val="28"/>
            <w:szCs w:val="28"/>
            <w:lang w:val="zh-CN"/>
          </w:rPr>
          <w:t>2</w:t>
        </w:r>
        <w:r w:rsidRPr="00F77B9B">
          <w:rPr>
            <w:rFonts w:ascii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9037865"/>
      <w:docPartObj>
        <w:docPartGallery w:val="Page Numbers (Bottom of Page)"/>
        <w:docPartUnique/>
      </w:docPartObj>
    </w:sdtPr>
    <w:sdtContent>
      <w:p w14:paraId="1ED6A3F6" w14:textId="2359E4E6" w:rsidR="00F77B9B" w:rsidRDefault="00F77B9B">
        <w:pPr>
          <w:pStyle w:val="a3"/>
          <w:jc w:val="right"/>
        </w:pPr>
        <w:r w:rsidRPr="00F77B9B">
          <w:rPr>
            <w:rFonts w:ascii="宋体" w:hAnsi="宋体"/>
            <w:sz w:val="28"/>
            <w:szCs w:val="28"/>
          </w:rPr>
          <w:fldChar w:fldCharType="begin"/>
        </w:r>
        <w:r w:rsidRPr="00F77B9B">
          <w:rPr>
            <w:rFonts w:ascii="宋体" w:hAnsi="宋体"/>
            <w:sz w:val="28"/>
            <w:szCs w:val="28"/>
          </w:rPr>
          <w:instrText>PAGE   \* MERGEFORMAT</w:instrText>
        </w:r>
        <w:r w:rsidRPr="00F77B9B">
          <w:rPr>
            <w:rFonts w:ascii="宋体" w:hAnsi="宋体"/>
            <w:sz w:val="28"/>
            <w:szCs w:val="28"/>
          </w:rPr>
          <w:fldChar w:fldCharType="separate"/>
        </w:r>
        <w:r w:rsidRPr="00F77B9B">
          <w:rPr>
            <w:rFonts w:ascii="宋体" w:hAnsi="宋体"/>
            <w:sz w:val="28"/>
            <w:szCs w:val="28"/>
            <w:lang w:val="zh-CN"/>
          </w:rPr>
          <w:t>2</w:t>
        </w:r>
        <w:r w:rsidRPr="00F77B9B">
          <w:rPr>
            <w:rFonts w:ascii="宋体" w:hAnsi="宋体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5242D" w14:textId="77777777" w:rsidR="005C40AF" w:rsidRDefault="005C40AF" w:rsidP="00F77B9B">
      <w:r>
        <w:separator/>
      </w:r>
    </w:p>
  </w:footnote>
  <w:footnote w:type="continuationSeparator" w:id="0">
    <w:p w14:paraId="554B2A1A" w14:textId="77777777" w:rsidR="005C40AF" w:rsidRDefault="005C40AF" w:rsidP="00F77B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E9C"/>
    <w:rsid w:val="000025B7"/>
    <w:rsid w:val="00030191"/>
    <w:rsid w:val="000B3952"/>
    <w:rsid w:val="000D61D6"/>
    <w:rsid w:val="00103F3F"/>
    <w:rsid w:val="00156B58"/>
    <w:rsid w:val="0027124C"/>
    <w:rsid w:val="002768D3"/>
    <w:rsid w:val="003344CC"/>
    <w:rsid w:val="004A40FC"/>
    <w:rsid w:val="005142C9"/>
    <w:rsid w:val="005735A6"/>
    <w:rsid w:val="005C40AF"/>
    <w:rsid w:val="005E10D5"/>
    <w:rsid w:val="0064067E"/>
    <w:rsid w:val="00652FCF"/>
    <w:rsid w:val="006D1E5D"/>
    <w:rsid w:val="00701E28"/>
    <w:rsid w:val="00713D5C"/>
    <w:rsid w:val="007454BF"/>
    <w:rsid w:val="007B793F"/>
    <w:rsid w:val="007C0CD5"/>
    <w:rsid w:val="00801EFB"/>
    <w:rsid w:val="00835340"/>
    <w:rsid w:val="008454D0"/>
    <w:rsid w:val="008A2E76"/>
    <w:rsid w:val="008C0D4D"/>
    <w:rsid w:val="00930F26"/>
    <w:rsid w:val="009C247A"/>
    <w:rsid w:val="00AA5B70"/>
    <w:rsid w:val="00AF140A"/>
    <w:rsid w:val="00B31E9C"/>
    <w:rsid w:val="00B75F2C"/>
    <w:rsid w:val="00BA0EC1"/>
    <w:rsid w:val="00BF7084"/>
    <w:rsid w:val="00C1724B"/>
    <w:rsid w:val="00C225BD"/>
    <w:rsid w:val="00C61232"/>
    <w:rsid w:val="00CA2538"/>
    <w:rsid w:val="00CD444F"/>
    <w:rsid w:val="00CF0792"/>
    <w:rsid w:val="00D26C2D"/>
    <w:rsid w:val="00D932E3"/>
    <w:rsid w:val="00E44F72"/>
    <w:rsid w:val="00EE0195"/>
    <w:rsid w:val="00F2067F"/>
    <w:rsid w:val="00F600B3"/>
    <w:rsid w:val="00F77B9B"/>
    <w:rsid w:val="00F87B1A"/>
    <w:rsid w:val="1A06253F"/>
    <w:rsid w:val="31E6759A"/>
    <w:rsid w:val="43AA7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3489AE"/>
  <w15:docId w15:val="{31BE306C-9294-49C2-AFFD-4F47E63DC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0"/>
    <w:link w:val="ab"/>
    <w:uiPriority w:val="29"/>
    <w:qFormat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">
    <w:name w:val="明显引用 字符"/>
    <w:basedOn w:val="a0"/>
    <w:link w:val="ae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13</Pages>
  <Words>911</Words>
  <Characters>5196</Characters>
  <Application>Microsoft Office Word</Application>
  <DocSecurity>0</DocSecurity>
  <Lines>43</Lines>
  <Paragraphs>12</Paragraphs>
  <ScaleCrop>false</ScaleCrop>
  <Company/>
  <LinksUpToDate>false</LinksUpToDate>
  <CharactersWithSpaces>6095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22</cp:revision>
  <dcterms:created xsi:type="dcterms:W3CDTF">2026-09-17T03:03:00Z</dcterms:created>
  <dcterms:modified xsi:type="dcterms:W3CDTF">2026-09-20T02:20:00Z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eyJoZGlkIjoiZDg0MDE0YWQxNDYzZDljMDFjMWI4ZjIxNGNjZTY0NDciLCJ1c2VySWQiOiI2MzIzMDMxMTAifQ==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B4F257D7BFA94E6899FDFFBA374F4E1C_13</vt:lpwstr>
  </property>
</Properties>
</file>