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476D0" w14:textId="77777777" w:rsidR="001C1E73" w:rsidRDefault="001C1E73" w:rsidP="001C1E73">
      <w:pPr>
        <w:spacing w:line="560" w:lineRule="exact"/>
        <w:jc w:val="center"/>
        <w:rPr>
          <w:rFonts w:ascii="方正小标宋_GBK" w:eastAsia="方正小标宋_GBK" w:hAnsi="宋体" w:hint="eastAsia"/>
          <w:color w:val="000000"/>
          <w:sz w:val="28"/>
          <w:szCs w:val="28"/>
        </w:rPr>
      </w:pPr>
      <w:bookmarkStart w:id="0" w:name="_Hlk240537891"/>
    </w:p>
    <w:p w14:paraId="4D8EE0A1" w14:textId="77777777" w:rsidR="001C1E73" w:rsidRDefault="001C1E73" w:rsidP="001C1E73">
      <w:pPr>
        <w:spacing w:line="560" w:lineRule="exact"/>
        <w:jc w:val="center"/>
        <w:rPr>
          <w:rFonts w:ascii="方正小标宋_GBK" w:eastAsia="方正小标宋_GBK" w:hAnsi="宋体" w:hint="eastAsia"/>
          <w:color w:val="000000"/>
          <w:sz w:val="32"/>
          <w:szCs w:val="32"/>
        </w:rPr>
      </w:pPr>
    </w:p>
    <w:p w14:paraId="7D4C5CDF" w14:textId="77777777" w:rsidR="001C1E73" w:rsidRDefault="001C1E73" w:rsidP="001C1E73">
      <w:pPr>
        <w:spacing w:line="1400" w:lineRule="exact"/>
        <w:jc w:val="distribute"/>
        <w:rPr>
          <w:rFonts w:ascii="方正小标宋_GBK" w:eastAsia="方正小标宋_GBK" w:cs="FZXBSK--GBK1-0"/>
          <w:b/>
          <w:snapToGrid w:val="0"/>
          <w:color w:val="FF0000"/>
          <w:w w:val="65"/>
          <w:sz w:val="120"/>
          <w:szCs w:val="120"/>
        </w:rPr>
      </w:pPr>
      <w:r>
        <w:rPr>
          <w:rFonts w:ascii="方正小标宋_GBK" w:eastAsia="方正小标宋_GBK" w:cs="FZXBSK--GBK1-0" w:hint="eastAsia"/>
          <w:b/>
          <w:snapToGrid w:val="0"/>
          <w:color w:val="FF0000"/>
          <w:w w:val="65"/>
          <w:sz w:val="120"/>
          <w:szCs w:val="120"/>
        </w:rPr>
        <w:t>青岛市农业技术推广中心</w:t>
      </w:r>
    </w:p>
    <w:p w14:paraId="59E153B1" w14:textId="77777777" w:rsidR="001C1E73" w:rsidRDefault="001C1E73">
      <w:pPr>
        <w:spacing w:line="560" w:lineRule="exact"/>
        <w:jc w:val="center"/>
        <w:rPr>
          <w:rFonts w:ascii="方正小标宋_GBK" w:eastAsia="方正小标宋_GBK" w:hAnsi="宋体" w:hint="eastAsia"/>
          <w:color w:val="000000"/>
          <w:sz w:val="44"/>
          <w:szCs w:val="44"/>
        </w:rPr>
      </w:pPr>
    </w:p>
    <w:p w14:paraId="2B5DEFE8" w14:textId="77777777" w:rsidR="001C1E73" w:rsidRDefault="001C1E73">
      <w:pPr>
        <w:spacing w:line="560" w:lineRule="exact"/>
        <w:jc w:val="center"/>
        <w:rPr>
          <w:rFonts w:ascii="方正小标宋_GBK" w:eastAsia="方正小标宋_GBK" w:hAnsi="宋体" w:hint="eastAsia"/>
          <w:color w:val="000000"/>
          <w:sz w:val="44"/>
          <w:szCs w:val="44"/>
        </w:rPr>
      </w:pPr>
    </w:p>
    <w:p w14:paraId="52D08C87" w14:textId="3454917B" w:rsidR="00413AF3" w:rsidRDefault="00000000" w:rsidP="001C1E73">
      <w:pPr>
        <w:spacing w:line="640" w:lineRule="exact"/>
        <w:jc w:val="center"/>
        <w:rPr>
          <w:rFonts w:ascii="方正小标宋_GBK" w:eastAsia="方正小标宋_GBK" w:hAnsi="宋体" w:hint="eastAsia"/>
          <w:color w:val="000000"/>
          <w:sz w:val="44"/>
          <w:szCs w:val="44"/>
        </w:rPr>
      </w:pPr>
      <w:r>
        <w:rPr>
          <w:rFonts w:ascii="方正小标宋_GBK" w:eastAsia="方正小标宋_GBK" w:hAnsi="宋体" w:hint="eastAsia"/>
          <w:color w:val="000000"/>
          <w:sz w:val="44"/>
          <w:szCs w:val="44"/>
        </w:rPr>
        <w:t>青岛市农业技术推广中心</w:t>
      </w:r>
    </w:p>
    <w:p w14:paraId="25ABEDBD" w14:textId="77777777" w:rsidR="00413AF3" w:rsidRDefault="00000000" w:rsidP="001C1E73">
      <w:pPr>
        <w:spacing w:line="640" w:lineRule="exact"/>
        <w:jc w:val="center"/>
        <w:rPr>
          <w:rFonts w:ascii="方正小标宋_GBK" w:eastAsia="方正小标宋_GBK"/>
          <w:sz w:val="44"/>
          <w:szCs w:val="44"/>
        </w:rPr>
      </w:pPr>
      <w:bookmarkStart w:id="1" w:name="OLE_LINK25"/>
      <w:r>
        <w:rPr>
          <w:rFonts w:ascii="方正小标宋_GBK" w:eastAsia="方正小标宋_GBK" w:hint="eastAsia"/>
          <w:sz w:val="44"/>
          <w:szCs w:val="44"/>
        </w:rPr>
        <w:t>关于印发青岛市2026年秋冬季</w:t>
      </w:r>
      <w:bookmarkStart w:id="2" w:name="OLE_LINK22"/>
      <w:r>
        <w:rPr>
          <w:rFonts w:ascii="方正小标宋_GBK" w:eastAsia="方正小标宋_GBK" w:hint="eastAsia"/>
          <w:sz w:val="44"/>
          <w:szCs w:val="44"/>
        </w:rPr>
        <w:t>果树</w:t>
      </w:r>
      <w:bookmarkEnd w:id="2"/>
      <w:r>
        <w:rPr>
          <w:rFonts w:ascii="方正小标宋_GBK" w:eastAsia="方正小标宋_GBK" w:hint="eastAsia"/>
          <w:sz w:val="44"/>
          <w:szCs w:val="44"/>
        </w:rPr>
        <w:t>增产提质</w:t>
      </w:r>
    </w:p>
    <w:bookmarkEnd w:id="1"/>
    <w:p w14:paraId="4FCC2534" w14:textId="77777777" w:rsidR="00413AF3" w:rsidRDefault="00000000" w:rsidP="001C1E73">
      <w:pPr>
        <w:spacing w:line="640" w:lineRule="exact"/>
        <w:jc w:val="center"/>
        <w:rPr>
          <w:rFonts w:ascii="仿宋_GB2312" w:eastAsia="仿宋_GB2312"/>
          <w:sz w:val="24"/>
        </w:rPr>
      </w:pPr>
      <w:r>
        <w:rPr>
          <w:rFonts w:ascii="方正小标宋_GBK" w:eastAsia="方正小标宋_GBK" w:hint="eastAsia"/>
          <w:sz w:val="44"/>
          <w:szCs w:val="44"/>
        </w:rPr>
        <w:t>科学施肥指导意见的通知</w:t>
      </w:r>
    </w:p>
    <w:p w14:paraId="65BC28E9" w14:textId="77777777" w:rsidR="00413AF3" w:rsidRDefault="00413AF3" w:rsidP="00F06B7B">
      <w:pPr>
        <w:overflowPunct w:val="0"/>
        <w:spacing w:line="576" w:lineRule="exact"/>
        <w:rPr>
          <w:rFonts w:ascii="仿宋_GB2312" w:eastAsia="仿宋_GB2312"/>
          <w:sz w:val="32"/>
          <w:szCs w:val="32"/>
        </w:rPr>
      </w:pPr>
    </w:p>
    <w:p w14:paraId="7E7A577F" w14:textId="77777777" w:rsidR="00413AF3" w:rsidRDefault="00000000" w:rsidP="00F06B7B">
      <w:pPr>
        <w:overflowPunct w:val="0"/>
        <w:spacing w:line="576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各区（市）农技推广部门：</w:t>
      </w:r>
    </w:p>
    <w:p w14:paraId="367B8FB5" w14:textId="436F2F0A" w:rsidR="00413AF3" w:rsidRDefault="00000000" w:rsidP="00F06B7B">
      <w:pPr>
        <w:overflowPunct w:val="0"/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为切实提升果树产量与品质，现将《青岛市2026年秋冬季果树增产提质科学施肥指导意见》印发给你们，请结合生产实际，认真参照执行，确保科学施肥技术落地。</w:t>
      </w:r>
    </w:p>
    <w:p w14:paraId="3D44F43C" w14:textId="5C7FDCB3" w:rsidR="00413AF3" w:rsidRDefault="00000000" w:rsidP="00F06B7B">
      <w:pPr>
        <w:overflowPunct w:val="0"/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各区</w:t>
      </w:r>
      <w:r w:rsidR="00EA3B22">
        <w:rPr>
          <w:rFonts w:ascii="仿宋_GB2312" w:eastAsia="仿宋_GB2312" w:hint="eastAsia"/>
          <w:sz w:val="32"/>
          <w:szCs w:val="32"/>
        </w:rPr>
        <w:t>（</w:t>
      </w:r>
      <w:r w:rsidR="00EA3B22">
        <w:rPr>
          <w:rFonts w:ascii="仿宋_GB2312" w:eastAsia="仿宋_GB2312" w:hint="eastAsia"/>
          <w:sz w:val="32"/>
          <w:szCs w:val="32"/>
        </w:rPr>
        <w:t>市</w:t>
      </w:r>
      <w:r w:rsidR="00EA3B22">
        <w:rPr>
          <w:rFonts w:ascii="仿宋_GB2312" w:eastAsia="仿宋_GB2312" w:hint="eastAsia"/>
          <w:sz w:val="32"/>
          <w:szCs w:val="32"/>
        </w:rPr>
        <w:t>）</w:t>
      </w:r>
      <w:r>
        <w:rPr>
          <w:rFonts w:ascii="仿宋_GB2312" w:eastAsia="仿宋_GB2312" w:hint="eastAsia"/>
          <w:sz w:val="32"/>
          <w:szCs w:val="32"/>
        </w:rPr>
        <w:t>可引导种植户扫描</w:t>
      </w:r>
      <w:bookmarkStart w:id="3" w:name="_Hlk240621282"/>
      <w:r>
        <w:rPr>
          <w:rFonts w:ascii="仿宋_GB2312" w:eastAsia="仿宋_GB2312" w:hint="eastAsia"/>
          <w:sz w:val="32"/>
          <w:szCs w:val="32"/>
        </w:rPr>
        <w:t>“养分专家智慧施肥大模型”和“NE推荐施肥专家系统”二维码</w:t>
      </w:r>
      <w:bookmarkEnd w:id="3"/>
      <w:r>
        <w:rPr>
          <w:rFonts w:ascii="仿宋_GB2312" w:eastAsia="仿宋_GB2312" w:hint="eastAsia"/>
          <w:sz w:val="32"/>
          <w:szCs w:val="32"/>
        </w:rPr>
        <w:t>，结合地力状况及种植作物测算施肥比例及用量，实现科学精准施肥。</w:t>
      </w:r>
    </w:p>
    <w:p w14:paraId="729A457A" w14:textId="77777777" w:rsidR="00F06B7B" w:rsidRDefault="00F06B7B" w:rsidP="00F06B7B">
      <w:pPr>
        <w:overflowPunct w:val="0"/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176659F3" w14:textId="77777777" w:rsidR="00F06B7B" w:rsidRDefault="00F06B7B" w:rsidP="00F06B7B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黑体" w:eastAsia="黑体" w:hAnsi="黑体" w:hint="eastAsia"/>
          <w:noProof/>
          <w:sz w:val="32"/>
          <w:szCs w:val="32"/>
        </w:rPr>
        <w:lastRenderedPageBreak/>
        <w:drawing>
          <wp:inline distT="0" distB="0" distL="0" distR="0" wp14:anchorId="1DFE152A" wp14:editId="377EB3AA">
            <wp:extent cx="1839798" cy="1653489"/>
            <wp:effectExtent l="0" t="0" r="8255" b="4445"/>
            <wp:docPr id="15595131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237" cy="16817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仿宋_GB2312" w:eastAsia="仿宋_GB2312" w:hint="eastAsia"/>
          <w:sz w:val="32"/>
          <w:szCs w:val="32"/>
        </w:rPr>
        <w:t xml:space="preserve">           </w:t>
      </w:r>
      <w:r w:rsidRPr="00440C9A">
        <w:rPr>
          <w:noProof/>
        </w:rPr>
        <w:drawing>
          <wp:inline distT="0" distB="0" distL="0" distR="0" wp14:anchorId="12BF5E92" wp14:editId="529BCA66">
            <wp:extent cx="1514246" cy="1581199"/>
            <wp:effectExtent l="0" t="0" r="0" b="0"/>
            <wp:docPr id="16246076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60766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60092" cy="1629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57D8B" w14:textId="77777777" w:rsidR="00F06B7B" w:rsidRDefault="00F06B7B" w:rsidP="00F06B7B">
      <w:pPr>
        <w:spacing w:beforeLines="50" w:before="156" w:line="400" w:lineRule="exact"/>
        <w:ind w:firstLineChars="200" w:firstLine="560"/>
        <w:rPr>
          <w:rFonts w:ascii="宋体" w:hAnsi="宋体" w:cs="宋体" w:hint="eastAsia"/>
          <w:kern w:val="0"/>
          <w:sz w:val="28"/>
          <w:szCs w:val="28"/>
        </w:rPr>
      </w:pPr>
      <w:r w:rsidRPr="00D74938">
        <w:rPr>
          <w:rFonts w:ascii="宋体" w:hAnsi="宋体" w:cs="宋体" w:hint="eastAsia"/>
          <w:kern w:val="0"/>
          <w:sz w:val="28"/>
          <w:szCs w:val="28"/>
        </w:rPr>
        <w:t xml:space="preserve">养分专家智慧施肥大模型       </w:t>
      </w:r>
      <w:r>
        <w:rPr>
          <w:rFonts w:ascii="宋体" w:hAnsi="宋体" w:cs="宋体" w:hint="eastAsia"/>
          <w:kern w:val="0"/>
          <w:sz w:val="28"/>
          <w:szCs w:val="28"/>
        </w:rPr>
        <w:t xml:space="preserve">  </w:t>
      </w:r>
      <w:r w:rsidRPr="00D74938">
        <w:rPr>
          <w:rFonts w:ascii="宋体" w:hAnsi="宋体" w:cs="宋体" w:hint="eastAsia"/>
          <w:kern w:val="0"/>
          <w:sz w:val="28"/>
          <w:szCs w:val="28"/>
        </w:rPr>
        <w:t xml:space="preserve">   NE推荐施肥专家系统</w:t>
      </w:r>
    </w:p>
    <w:p w14:paraId="7211BFF3" w14:textId="77777777" w:rsidR="00F06B7B" w:rsidRPr="00F06B7B" w:rsidRDefault="00F06B7B" w:rsidP="007F52BF">
      <w:pPr>
        <w:pStyle w:val="a5"/>
        <w:ind w:firstLineChars="600" w:firstLine="1260"/>
        <w:jc w:val="both"/>
        <w:rPr>
          <w:rFonts w:hint="eastAsia"/>
          <w:sz w:val="21"/>
          <w:szCs w:val="21"/>
        </w:rPr>
      </w:pPr>
    </w:p>
    <w:p w14:paraId="7A833C24" w14:textId="77777777" w:rsidR="00F06B7B" w:rsidRDefault="00F06B7B" w:rsidP="001C1E73">
      <w:pPr>
        <w:overflowPunct w:val="0"/>
        <w:spacing w:line="576" w:lineRule="exact"/>
        <w:ind w:rightChars="363" w:right="762"/>
        <w:jc w:val="right"/>
        <w:rPr>
          <w:rFonts w:ascii="仿宋_GB2312" w:eastAsia="仿宋_GB2312"/>
          <w:sz w:val="32"/>
          <w:szCs w:val="32"/>
        </w:rPr>
      </w:pPr>
    </w:p>
    <w:p w14:paraId="31D9641B" w14:textId="0D0100AA" w:rsidR="00413AF3" w:rsidRDefault="00000000" w:rsidP="001C1E73">
      <w:pPr>
        <w:overflowPunct w:val="0"/>
        <w:spacing w:line="576" w:lineRule="exact"/>
        <w:ind w:rightChars="363" w:right="762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青岛市农业技术推广中心</w:t>
      </w:r>
    </w:p>
    <w:p w14:paraId="7BE23F44" w14:textId="37058B6E" w:rsidR="001C1E73" w:rsidRDefault="00000000" w:rsidP="001C1E73">
      <w:pPr>
        <w:overflowPunct w:val="0"/>
        <w:spacing w:line="576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2026年9月</w:t>
      </w:r>
      <w:r w:rsidR="001B2DFE"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 w:hint="eastAsia"/>
          <w:sz w:val="32"/>
          <w:szCs w:val="32"/>
        </w:rPr>
        <w:t>日</w:t>
      </w:r>
    </w:p>
    <w:p w14:paraId="2E7E6416" w14:textId="4FEA67A9" w:rsidR="00413AF3" w:rsidRDefault="001C1E73" w:rsidP="00864A59">
      <w:pPr>
        <w:widowControl/>
        <w:spacing w:line="640" w:lineRule="exact"/>
        <w:jc w:val="center"/>
        <w:rPr>
          <w:rFonts w:ascii="方正小标宋_GBK" w:eastAsia="方正小标宋_GBK" w:hAnsi="等线" w:hint="eastAsia"/>
          <w:bCs/>
          <w:color w:val="000000"/>
          <w:kern w:val="36"/>
          <w:sz w:val="44"/>
          <w:szCs w:val="44"/>
        </w:rPr>
      </w:pPr>
      <w:r>
        <w:rPr>
          <w:rFonts w:ascii="仿宋_GB2312" w:eastAsia="仿宋_GB2312"/>
          <w:sz w:val="32"/>
          <w:szCs w:val="32"/>
        </w:rPr>
        <w:br w:type="page"/>
      </w:r>
      <w:r>
        <w:rPr>
          <w:rFonts w:ascii="方正小标宋_GBK" w:eastAsia="方正小标宋_GBK" w:hAnsi="等线" w:hint="eastAsia"/>
          <w:bCs/>
          <w:color w:val="000000"/>
          <w:kern w:val="36"/>
          <w:sz w:val="44"/>
          <w:szCs w:val="44"/>
        </w:rPr>
        <w:lastRenderedPageBreak/>
        <w:t>青岛市2026年秋冬季</w:t>
      </w:r>
      <w:r>
        <w:rPr>
          <w:rFonts w:ascii="方正小标宋_GBK" w:eastAsia="方正小标宋_GBK" w:hint="eastAsia"/>
          <w:sz w:val="44"/>
          <w:szCs w:val="44"/>
        </w:rPr>
        <w:t>果树</w:t>
      </w:r>
      <w:r>
        <w:rPr>
          <w:rFonts w:ascii="方正小标宋_GBK" w:eastAsia="方正小标宋_GBK" w:hAnsi="等线" w:hint="eastAsia"/>
          <w:bCs/>
          <w:color w:val="000000"/>
          <w:kern w:val="36"/>
          <w:sz w:val="44"/>
          <w:szCs w:val="44"/>
        </w:rPr>
        <w:t>增产提质</w:t>
      </w:r>
    </w:p>
    <w:p w14:paraId="41D26AEC" w14:textId="77777777" w:rsidR="00413AF3" w:rsidRDefault="00000000" w:rsidP="00864A59">
      <w:pPr>
        <w:spacing w:line="640" w:lineRule="exact"/>
        <w:jc w:val="center"/>
        <w:outlineLvl w:val="0"/>
        <w:rPr>
          <w:rFonts w:ascii="方正小标宋_GBK" w:eastAsia="方正小标宋_GBK" w:hAnsi="等线" w:hint="eastAsia"/>
          <w:bCs/>
          <w:color w:val="000000"/>
          <w:kern w:val="36"/>
          <w:sz w:val="44"/>
          <w:szCs w:val="44"/>
        </w:rPr>
      </w:pPr>
      <w:r>
        <w:rPr>
          <w:rFonts w:ascii="方正小标宋_GBK" w:eastAsia="方正小标宋_GBK" w:hAnsi="等线" w:hint="eastAsia"/>
          <w:bCs/>
          <w:color w:val="000000"/>
          <w:kern w:val="36"/>
          <w:sz w:val="44"/>
          <w:szCs w:val="44"/>
        </w:rPr>
        <w:t>科学施肥指导意见</w:t>
      </w:r>
    </w:p>
    <w:p w14:paraId="405CABC9" w14:textId="77777777" w:rsidR="00413AF3" w:rsidRDefault="00413AF3" w:rsidP="003F1DED">
      <w:pPr>
        <w:spacing w:line="576" w:lineRule="exact"/>
        <w:jc w:val="center"/>
        <w:rPr>
          <w:rFonts w:ascii="仿宋_GB2312" w:eastAsia="仿宋_GB2312"/>
          <w:sz w:val="32"/>
          <w:szCs w:val="32"/>
        </w:rPr>
      </w:pPr>
    </w:p>
    <w:bookmarkEnd w:id="0"/>
    <w:p w14:paraId="3E3725DF" w14:textId="77777777" w:rsidR="00413AF3" w:rsidRDefault="00000000" w:rsidP="001C1E73">
      <w:pPr>
        <w:spacing w:line="576" w:lineRule="exact"/>
        <w:ind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一、苹果</w:t>
      </w:r>
    </w:p>
    <w:p w14:paraId="64B4AC68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总体上有机肥料投入不足，部分果园立地条件差，土壤板结严重、透气性差或保水保肥能力弱，氮磷化肥用量偏高，土壤酸化现象普遍，中微量元素钙、镁和</w:t>
      </w:r>
      <w:proofErr w:type="gramStart"/>
      <w:r>
        <w:rPr>
          <w:rFonts w:ascii="仿宋_GB2312" w:eastAsia="仿宋_GB2312" w:hint="eastAsia"/>
          <w:sz w:val="32"/>
          <w:szCs w:val="32"/>
        </w:rPr>
        <w:t>硼缺乏</w:t>
      </w:r>
      <w:proofErr w:type="gramEnd"/>
      <w:r>
        <w:rPr>
          <w:rFonts w:ascii="仿宋_GB2312" w:eastAsia="仿宋_GB2312" w:hint="eastAsia"/>
          <w:sz w:val="32"/>
          <w:szCs w:val="32"/>
        </w:rPr>
        <w:t>时有发生。部分果农对基肥</w:t>
      </w:r>
      <w:proofErr w:type="gramStart"/>
      <w:r>
        <w:rPr>
          <w:rFonts w:ascii="仿宋_GB2312" w:eastAsia="仿宋_GB2312" w:hint="eastAsia"/>
          <w:sz w:val="32"/>
          <w:szCs w:val="32"/>
        </w:rPr>
        <w:t>秋施认识</w:t>
      </w:r>
      <w:proofErr w:type="gramEnd"/>
      <w:r>
        <w:rPr>
          <w:rFonts w:ascii="仿宋_GB2312" w:eastAsia="仿宋_GB2312" w:hint="eastAsia"/>
          <w:sz w:val="32"/>
          <w:szCs w:val="32"/>
        </w:rPr>
        <w:t>不足，春夏季果实膨大期追施氮肥数量和比例偏大。针对上述问题，提出以下施肥原则：</w:t>
      </w:r>
    </w:p>
    <w:p w14:paraId="02470E2B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proofErr w:type="gramStart"/>
      <w:r>
        <w:rPr>
          <w:rFonts w:ascii="仿宋_GB2312" w:eastAsia="仿宋_GB2312" w:hint="eastAsia"/>
          <w:sz w:val="32"/>
          <w:szCs w:val="32"/>
        </w:rPr>
        <w:t>秋施基肥</w:t>
      </w:r>
      <w:proofErr w:type="gramEnd"/>
      <w:r>
        <w:rPr>
          <w:rFonts w:ascii="仿宋_GB2312" w:eastAsia="仿宋_GB2312" w:hint="eastAsia"/>
          <w:sz w:val="32"/>
          <w:szCs w:val="32"/>
        </w:rPr>
        <w:t>，增施有机肥，提倡有机无机配合施用。</w:t>
      </w:r>
    </w:p>
    <w:p w14:paraId="7AF728D0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2.依据土壤肥力条件和产量水平，适当调减氮磷化肥用量，根据树势和产量水平分期施肥。注意硅、钙、镁、硼和锌的配合施用。</w:t>
      </w:r>
    </w:p>
    <w:p w14:paraId="76E59F4F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3.加强果园土壤管理，实行果园生草、起垄栽培，推广水肥一体化等技术。</w:t>
      </w:r>
    </w:p>
    <w:p w14:paraId="621D9242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4.土壤酸化的果园可施用石灰或硅钙镁钾肥等改良土壤。</w:t>
      </w:r>
    </w:p>
    <w:p w14:paraId="2380D1DC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5.挖好排水沟，起垄排水；叶面喷施氨基酸类加钙、镁、硼、锌、铁等中微量元素叶面肥3—5次，预防缺素症状；叶面喷施磷钾肥3—5次，促进果实着色；</w:t>
      </w:r>
      <w:proofErr w:type="gramStart"/>
      <w:r>
        <w:rPr>
          <w:rFonts w:ascii="仿宋_GB2312" w:eastAsia="仿宋_GB2312" w:hint="eastAsia"/>
          <w:sz w:val="32"/>
          <w:szCs w:val="32"/>
        </w:rPr>
        <w:t>果实摘袋等</w:t>
      </w:r>
      <w:proofErr w:type="gramEnd"/>
      <w:r>
        <w:rPr>
          <w:rFonts w:ascii="仿宋_GB2312" w:eastAsia="仿宋_GB2312" w:hint="eastAsia"/>
          <w:sz w:val="32"/>
          <w:szCs w:val="32"/>
        </w:rPr>
        <w:t>要根据天气情况灵活掌握；落叶前喷高浓度尿素等，保证正常落叶。</w:t>
      </w:r>
    </w:p>
    <w:p w14:paraId="1FFF9D45" w14:textId="77777777" w:rsidR="00413AF3" w:rsidRDefault="00000000" w:rsidP="001C1E73">
      <w:pPr>
        <w:spacing w:line="576" w:lineRule="exact"/>
        <w:ind w:firstLineChars="200" w:firstLine="64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（二）施肥建议</w:t>
      </w:r>
    </w:p>
    <w:p w14:paraId="2C412A52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1.施用农家肥1500公斤（约4.5方）/亩，或商品有机肥1000公斤/亩，或饼肥200公斤/亩。</w:t>
      </w:r>
    </w:p>
    <w:p w14:paraId="5B0165DA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2.亩产4000-5000公斤，氮肥（N）全年用量22.5-27.5公斤/亩、秋季用量11-14公斤/亩，磷肥（P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）全年用量11.5-14公斤/亩、秋季用量4.5-5.5公斤/亩，钾肥（K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O）全年用量25-30.5公斤/亩、秋季用量7.5-9公斤/亩。</w:t>
      </w:r>
    </w:p>
    <w:p w14:paraId="5FAD42C5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3.亩产3000-4000公斤，氮肥（N）全年用量17.5-22.5公斤/亩、秋季用量9-11公斤/亩，磷肥（P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）全年用量9-11.5公斤/亩、秋季用量3.5-4.5公斤/亩，钾肥（K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O）全年用量19.5-25公斤/亩、秋季用量6-7.5公斤/亩。</w:t>
      </w:r>
    </w:p>
    <w:p w14:paraId="14E772F5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4.亩产2000-3000公斤，氮肥（N）全年用量12.5-17.5公斤/亩、秋季用量6-9公斤/亩，磷肥（P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）全年用量6.5-9公斤/亩、秋季用量2.5-3.5公斤/亩，钾肥（K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O）全年用量14-19.5公斤/亩、秋季用量4.5-6公斤/亩。</w:t>
      </w:r>
    </w:p>
    <w:p w14:paraId="0E31F05B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5.亩产1000-2000公斤，氮肥（N）全年用量10-12.5公斤/亩、秋季用量5-6.5公斤/亩，磷肥（P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）全年用量5-6.5公斤/亩、秋季用量2-2.5公斤/亩，钾肥（K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O）全年用量11-14公斤/亩、秋季用量3.5-4.5公斤/亩。</w:t>
      </w:r>
    </w:p>
    <w:p w14:paraId="2CDE943F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6.盛果期大树施用硅钙镁钾肥80-100公斤/亩。土壤缺锌、硼的果园，相应施用硫酸锌1-1.5公斤/亩、硼砂0.5-1.0公斤/亩。</w:t>
      </w:r>
    </w:p>
    <w:p w14:paraId="71EA0FC6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7.化肥和有机肥混匀后在9月中旬到10月中旬施用（晚熟</w:t>
      </w:r>
      <w:r>
        <w:rPr>
          <w:rFonts w:ascii="仿宋_GB2312" w:eastAsia="仿宋_GB2312" w:hint="eastAsia"/>
          <w:sz w:val="32"/>
          <w:szCs w:val="32"/>
        </w:rPr>
        <w:lastRenderedPageBreak/>
        <w:t>品种采果前后尽早施用），采用穴施或沟施，穴或沟深度40厘米，每株树3-4个（条）。</w:t>
      </w:r>
    </w:p>
    <w:p w14:paraId="3B6C056F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8.9月初到10月上中旬，连续叶面喷施氨基酸类+钙、镁、硼等中微量元素+磷钾肥3-5次，浓度为0.2%-0.5%。</w:t>
      </w:r>
    </w:p>
    <w:p w14:paraId="3A193962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9.10月下旬到11月中旬，连续叶面喷施3遍尿素、硼砂和硫酸锌，增加贮藏营养。第一遍在10月底开始喷1.0%尿素，7天后喷第二遍3.0%尿素，再7天后喷第三遍5.0%-7.0%尿素+0.5%硼砂+5.0%-6.0%硫酸锌，第三遍浓度根据叶片衰老程度确定，老化程度越高浓度越低。注意要从低浓度到高浓度，</w:t>
      </w:r>
      <w:proofErr w:type="gramStart"/>
      <w:r>
        <w:rPr>
          <w:rFonts w:ascii="仿宋_GB2312" w:eastAsia="仿宋_GB2312" w:hint="eastAsia"/>
          <w:sz w:val="32"/>
          <w:szCs w:val="32"/>
        </w:rPr>
        <w:t>严禁只喷一遍</w:t>
      </w:r>
      <w:proofErr w:type="gramEnd"/>
      <w:r>
        <w:rPr>
          <w:rFonts w:ascii="仿宋_GB2312" w:eastAsia="仿宋_GB2312" w:hint="eastAsia"/>
          <w:sz w:val="32"/>
          <w:szCs w:val="32"/>
        </w:rPr>
        <w:t>高浓度。</w:t>
      </w:r>
    </w:p>
    <w:p w14:paraId="74BB3812" w14:textId="77777777" w:rsidR="00413AF3" w:rsidRDefault="00000000" w:rsidP="001C1E73">
      <w:pPr>
        <w:spacing w:line="576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二、梨</w:t>
      </w:r>
    </w:p>
    <w:p w14:paraId="4D62F1B7" w14:textId="77777777" w:rsidR="00413AF3" w:rsidRDefault="00000000" w:rsidP="001C1E73">
      <w:pPr>
        <w:spacing w:line="576" w:lineRule="exact"/>
        <w:ind w:firstLineChars="200" w:firstLine="64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（一）施肥原则</w:t>
      </w:r>
    </w:p>
    <w:p w14:paraId="67DFD7F7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有机肥施用量普遍不足，土壤有机质含量偏低，化肥施用不合理，氮肥投入偏多，土壤酸化趋势明显。中微量元素肥料投入随意性强，毒害现象时有发生。施肥时期、施肥方式、肥料配比不合理现象较多，土壤大中微量元素失衡问题突出。针对上述问题，提出以下施肥原则：</w:t>
      </w:r>
    </w:p>
    <w:p w14:paraId="116CFA72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1.坚持有机无机相结合，增施腐熟有机肥，推广行间生草、绿肥种植还田；酸化梨园配合石灰、钙镁磷肥改良土壤。</w:t>
      </w:r>
    </w:p>
    <w:p w14:paraId="1CD0A77B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2.坚持测土配方施肥，依据梨园土壤肥力、产量水平和梨树生长状况，确定肥料施用时期、用量与养分配比，注意微量元素安全阈值低，避免过量使用产生生理毒害和元素拮抗。</w:t>
      </w:r>
    </w:p>
    <w:p w14:paraId="0BB5D8C7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3.有条件的梨园进行土壤深翻，推广应用水肥一体化技术、NE养分专家系统、增值肥料、绿肥深施还田、微生物菌剂等科学施肥增效新技术、新产品、新机具等“三新”集成技术模式。</w:t>
      </w:r>
    </w:p>
    <w:p w14:paraId="5A49FB85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4.调控后期营养生长，稳定树势，促进营养物质转化与贮藏积累；保障枝条、芽体充分成熟，提升树体抗寒性，为翌年花芽质量奠定物质基础。</w:t>
      </w:r>
    </w:p>
    <w:p w14:paraId="6343041E" w14:textId="77777777" w:rsidR="00413AF3" w:rsidRDefault="00000000" w:rsidP="001C1E73">
      <w:pPr>
        <w:spacing w:line="576" w:lineRule="exact"/>
        <w:ind w:firstLineChars="200" w:firstLine="64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（二）施肥建议</w:t>
      </w:r>
    </w:p>
    <w:p w14:paraId="1D01D4D5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1.秋季采用开沟或挖穴方法施用有机肥，施肥时期在立秋后至霜降前</w:t>
      </w:r>
      <w:r>
        <w:rPr>
          <w:rFonts w:ascii="Courier New" w:eastAsia="仿宋_GB2312" w:hAnsi="Courier New" w:cs="Courier New"/>
          <w:sz w:val="32"/>
          <w:szCs w:val="32"/>
        </w:rPr>
        <w:t>‌</w:t>
      </w:r>
      <w:r>
        <w:rPr>
          <w:rFonts w:ascii="仿宋_GB2312" w:eastAsia="仿宋_GB2312" w:hAnsi="仿宋_GB2312" w:cs="仿宋_GB2312" w:hint="eastAsia"/>
          <w:sz w:val="32"/>
          <w:szCs w:val="32"/>
        </w:rPr>
        <w:t>，亩施用量为有机肥</w:t>
      </w:r>
      <w:r>
        <w:rPr>
          <w:rFonts w:ascii="仿宋_GB2312" w:eastAsia="仿宋_GB2312"/>
          <w:sz w:val="32"/>
          <w:szCs w:val="32"/>
        </w:rPr>
        <w:t>500</w:t>
      </w:r>
      <w:r>
        <w:rPr>
          <w:rFonts w:ascii="仿宋_GB2312" w:eastAsia="仿宋_GB2312" w:hint="eastAsia"/>
          <w:sz w:val="32"/>
          <w:szCs w:val="32"/>
        </w:rPr>
        <w:t>-</w:t>
      </w:r>
      <w:r>
        <w:rPr>
          <w:rFonts w:ascii="仿宋_GB2312" w:eastAsia="仿宋_GB2312"/>
          <w:sz w:val="32"/>
          <w:szCs w:val="32"/>
        </w:rPr>
        <w:t>1000</w:t>
      </w:r>
      <w:r>
        <w:rPr>
          <w:rFonts w:ascii="仿宋_GB2312" w:eastAsia="仿宋_GB2312" w:hint="eastAsia"/>
          <w:sz w:val="32"/>
          <w:szCs w:val="32"/>
        </w:rPr>
        <w:t>公斤或农家肥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-</w:t>
      </w:r>
      <w:r>
        <w:rPr>
          <w:rFonts w:ascii="仿宋_GB2312" w:eastAsia="仿宋_GB2312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方，根据品种、树势强弱适当增减用量。</w:t>
      </w:r>
    </w:p>
    <w:p w14:paraId="6A4EB25D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2.亩产4000公斤以上的果园，秋季氮肥（N）10-15公斤/亩，磷肥（P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）5-8公斤/亩，钾肥（K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O）6-10公斤/亩；亩产2000-4000公斤的果园，秋季氮肥（N）8-10公斤/亩，磷肥（P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）4-7公斤/亩，钾肥（K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O）8-10公斤/亩；亩产2000公斤以下的果园，秋季氮肥（N）5-8公斤/亩，磷肥（P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）3-6公斤/亩，钾肥（K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O）3-4公斤/亩。</w:t>
      </w:r>
    </w:p>
    <w:p w14:paraId="681D8275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3.土壤钙、</w:t>
      </w:r>
      <w:proofErr w:type="gramStart"/>
      <w:r>
        <w:rPr>
          <w:rFonts w:ascii="仿宋_GB2312" w:eastAsia="仿宋_GB2312" w:hint="eastAsia"/>
          <w:sz w:val="32"/>
          <w:szCs w:val="32"/>
        </w:rPr>
        <w:t>镁较缺乏</w:t>
      </w:r>
      <w:proofErr w:type="gramEnd"/>
      <w:r>
        <w:rPr>
          <w:rFonts w:ascii="仿宋_GB2312" w:eastAsia="仿宋_GB2312" w:hint="eastAsia"/>
          <w:sz w:val="32"/>
          <w:szCs w:val="32"/>
        </w:rPr>
        <w:t>的果园，可适当选用硝酸铵钙、硝酸钙、钙镁磷肥、过磷酸钙、硫酸钾镁肥、硅钙钾镁肥，或与有机肥配施适量的生石灰、硫酸镁等。土壤缺铁、锌和</w:t>
      </w:r>
      <w:proofErr w:type="gramStart"/>
      <w:r>
        <w:rPr>
          <w:rFonts w:ascii="仿宋_GB2312" w:eastAsia="仿宋_GB2312" w:hint="eastAsia"/>
          <w:sz w:val="32"/>
          <w:szCs w:val="32"/>
        </w:rPr>
        <w:t>硼的</w:t>
      </w:r>
      <w:proofErr w:type="gramEnd"/>
      <w:r>
        <w:rPr>
          <w:rFonts w:ascii="仿宋_GB2312" w:eastAsia="仿宋_GB2312" w:hint="eastAsia"/>
          <w:sz w:val="32"/>
          <w:szCs w:val="32"/>
        </w:rPr>
        <w:t>果园，通过叶面喷施浓度为0.2%-0.3%的硫酸亚铁、0.2%的七水硫酸锌、0.2%-0.5%的硼砂溶液来补充，严重时可结合土壤施肥同时进行。</w:t>
      </w:r>
    </w:p>
    <w:p w14:paraId="4F22B931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4.避免过早或过晚施肥。早熟品种在果实采收完毕之后施肥，</w:t>
      </w:r>
      <w:r>
        <w:rPr>
          <w:rFonts w:ascii="仿宋_GB2312" w:eastAsia="仿宋_GB2312" w:hint="eastAsia"/>
          <w:sz w:val="32"/>
          <w:szCs w:val="32"/>
        </w:rPr>
        <w:lastRenderedPageBreak/>
        <w:t>中晚熟品种可选择在果实采收之前进行。前期受害的弱树、落叶早衰树、结果</w:t>
      </w:r>
      <w:proofErr w:type="gramStart"/>
      <w:r>
        <w:rPr>
          <w:rFonts w:ascii="仿宋_GB2312" w:eastAsia="仿宋_GB2312" w:hint="eastAsia"/>
          <w:sz w:val="32"/>
          <w:szCs w:val="32"/>
        </w:rPr>
        <w:t>大龄树需提前</w:t>
      </w:r>
      <w:proofErr w:type="gramEnd"/>
      <w:r>
        <w:rPr>
          <w:rFonts w:ascii="仿宋_GB2312" w:eastAsia="仿宋_GB2312" w:hint="eastAsia"/>
          <w:sz w:val="32"/>
          <w:szCs w:val="32"/>
        </w:rPr>
        <w:t>施肥，以增加树体营养，促进芽体饱满，</w:t>
      </w:r>
      <w:proofErr w:type="gramStart"/>
      <w:r>
        <w:rPr>
          <w:rFonts w:ascii="仿宋_GB2312" w:eastAsia="仿宋_GB2312" w:hint="eastAsia"/>
          <w:sz w:val="32"/>
          <w:szCs w:val="32"/>
        </w:rPr>
        <w:t>旺树可</w:t>
      </w:r>
      <w:proofErr w:type="gramEnd"/>
      <w:r>
        <w:rPr>
          <w:rFonts w:ascii="仿宋_GB2312" w:eastAsia="仿宋_GB2312" w:hint="eastAsia"/>
          <w:sz w:val="32"/>
          <w:szCs w:val="32"/>
        </w:rPr>
        <w:t>适当推迟施肥。</w:t>
      </w:r>
    </w:p>
    <w:p w14:paraId="02275BDB" w14:textId="77777777" w:rsidR="00413AF3" w:rsidRDefault="00000000" w:rsidP="001C1E73">
      <w:pPr>
        <w:spacing w:line="576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三、桃</w:t>
      </w:r>
    </w:p>
    <w:p w14:paraId="3AFB85E0" w14:textId="77777777" w:rsidR="00413AF3" w:rsidRDefault="00000000" w:rsidP="001C1E73">
      <w:pPr>
        <w:spacing w:line="576" w:lineRule="exact"/>
        <w:ind w:firstLineChars="200" w:firstLine="64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（一）施肥原则</w:t>
      </w:r>
    </w:p>
    <w:p w14:paraId="5E4BA763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针对桃园普遍存在有机肥施用量偏少、氮磷肥投入偏高、树体抗</w:t>
      </w:r>
      <w:proofErr w:type="gramStart"/>
      <w:r>
        <w:rPr>
          <w:rFonts w:ascii="仿宋_GB2312" w:eastAsia="仿宋_GB2312" w:hint="eastAsia"/>
          <w:sz w:val="32"/>
          <w:szCs w:val="32"/>
        </w:rPr>
        <w:t>逆能力</w:t>
      </w:r>
      <w:proofErr w:type="gramEnd"/>
      <w:r>
        <w:rPr>
          <w:rFonts w:ascii="仿宋_GB2312" w:eastAsia="仿宋_GB2312" w:hint="eastAsia"/>
          <w:sz w:val="32"/>
          <w:szCs w:val="32"/>
        </w:rPr>
        <w:t>弱、土壤保肥能力不足等问题，提出以下施肥原则：</w:t>
      </w:r>
    </w:p>
    <w:p w14:paraId="1761569C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1.施足秋季基肥，增加有机肥施用量，提倡有机无机配合施用。依据土壤肥力、品种特性和产量水平，合理调控氮磷钾肥施用数量，注意钙、铁、镁、硼、锌和</w:t>
      </w:r>
      <w:proofErr w:type="gramStart"/>
      <w:r>
        <w:rPr>
          <w:rFonts w:ascii="仿宋_GB2312" w:eastAsia="仿宋_GB2312" w:hint="eastAsia"/>
          <w:sz w:val="32"/>
          <w:szCs w:val="32"/>
        </w:rPr>
        <w:t>铜等</w:t>
      </w:r>
      <w:proofErr w:type="gramEnd"/>
      <w:r>
        <w:rPr>
          <w:rFonts w:ascii="仿宋_GB2312" w:eastAsia="仿宋_GB2312" w:hint="eastAsia"/>
          <w:sz w:val="32"/>
          <w:szCs w:val="32"/>
        </w:rPr>
        <w:t>中微量元素配合施用。</w:t>
      </w:r>
    </w:p>
    <w:p w14:paraId="0C4469C1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2.推广应用水肥一体化技术、NE养分专家系统、增值肥料、微生物菌剂等科学施肥增效新技术、新产品、新机具等“三新”集成技术模式。</w:t>
      </w:r>
    </w:p>
    <w:p w14:paraId="3799C4BD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3.提倡实行生草制，种植绿肥和行间生草，提高土壤保肥保水能力。</w:t>
      </w:r>
    </w:p>
    <w:p w14:paraId="211D6645" w14:textId="77777777" w:rsidR="00413AF3" w:rsidRDefault="00000000" w:rsidP="001C1E73">
      <w:pPr>
        <w:spacing w:line="576" w:lineRule="exact"/>
        <w:ind w:firstLineChars="200" w:firstLine="640"/>
        <w:rPr>
          <w:rFonts w:ascii="楷体_GB2312" w:eastAsia="楷体_GB2312" w:hAnsi="黑体" w:hint="eastAsia"/>
          <w:sz w:val="32"/>
          <w:szCs w:val="32"/>
        </w:rPr>
      </w:pPr>
      <w:r>
        <w:rPr>
          <w:rFonts w:ascii="楷体_GB2312" w:eastAsia="楷体_GB2312" w:hAnsi="黑体" w:hint="eastAsia"/>
          <w:sz w:val="32"/>
          <w:szCs w:val="32"/>
        </w:rPr>
        <w:t>（二）施肥建议</w:t>
      </w:r>
    </w:p>
    <w:p w14:paraId="7FE93636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1.桃果采摘后一个月左右</w:t>
      </w:r>
      <w:proofErr w:type="gramStart"/>
      <w:r>
        <w:rPr>
          <w:rFonts w:ascii="仿宋_GB2312" w:eastAsia="仿宋_GB2312" w:hint="eastAsia"/>
          <w:sz w:val="32"/>
          <w:szCs w:val="32"/>
        </w:rPr>
        <w:t>进行秋施有机肥</w:t>
      </w:r>
      <w:proofErr w:type="gramEnd"/>
      <w:r>
        <w:rPr>
          <w:rFonts w:ascii="仿宋_GB2312" w:eastAsia="仿宋_GB2312" w:hint="eastAsia"/>
          <w:sz w:val="32"/>
          <w:szCs w:val="32"/>
        </w:rPr>
        <w:t>和化肥基肥。有机肥和化肥均可一次性开沟施用，有机肥亩施用量为有机肥500-1000公斤或农家肥2-4方。氮素施用量占全年的30-50%, 磷素占全年的50-80%, 钾素占全年的40-60%。提高钾肥施用量，氮磷钾三者用量比例接近 1：0.5：1-1.5为宜。</w:t>
      </w:r>
    </w:p>
    <w:p w14:paraId="30D1AAF5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2.产量水平3000公斤/亩以上，秋季氮肥（N）8-10公斤/</w:t>
      </w:r>
      <w:r>
        <w:rPr>
          <w:rFonts w:ascii="仿宋_GB2312" w:eastAsia="仿宋_GB2312" w:hint="eastAsia"/>
          <w:sz w:val="32"/>
          <w:szCs w:val="32"/>
        </w:rPr>
        <w:lastRenderedPageBreak/>
        <w:t>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）4-6公斤/亩，钾肥（K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O）8-12公斤/亩；产量水平2000-3000公斤/亩，有机肥2-3方/亩，氮肥（N）6-9公斤/亩，磷肥（P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）4-6公斤/亩，钾肥（K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O）8-10公斤/亩；产量水平2000公斤/亩以下，有机肥2-3方/亩，氮肥（N）5-8公斤/亩，磷肥（P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）3-5公斤/亩，钾肥（K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O）6-10公斤/亩。</w:t>
      </w:r>
    </w:p>
    <w:p w14:paraId="76983DDC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proofErr w:type="gramStart"/>
      <w:r>
        <w:rPr>
          <w:rFonts w:ascii="仿宋_GB2312" w:eastAsia="仿宋_GB2312" w:hint="eastAsia"/>
          <w:sz w:val="32"/>
          <w:szCs w:val="32"/>
        </w:rPr>
        <w:t>旺树应</w:t>
      </w:r>
      <w:proofErr w:type="gramEnd"/>
      <w:r>
        <w:rPr>
          <w:rFonts w:ascii="仿宋_GB2312" w:eastAsia="仿宋_GB2312" w:hint="eastAsia"/>
          <w:sz w:val="32"/>
          <w:szCs w:val="32"/>
        </w:rPr>
        <w:t>适当控氮，弱树则可适量增氮，促进恢复树势。早熟品种施肥量一般比晚熟品种少15%-30%。受前期逆境影响、减产幅度较大的果园，适当降低氮肥用量，增加磷酸二氢钾等叶面肥料喷施次数，控制营养生长、稳定树势。</w:t>
      </w:r>
    </w:p>
    <w:p w14:paraId="498A1E5A" w14:textId="77777777" w:rsidR="00413AF3" w:rsidRDefault="00000000" w:rsidP="001C1E73">
      <w:pPr>
        <w:spacing w:line="576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四、葡萄</w:t>
      </w:r>
    </w:p>
    <w:p w14:paraId="52BB3F3B" w14:textId="77777777" w:rsidR="00413AF3" w:rsidRDefault="00000000" w:rsidP="001C1E73">
      <w:pPr>
        <w:spacing w:line="576" w:lineRule="exact"/>
        <w:ind w:firstLineChars="200" w:firstLine="64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（一）施肥原则</w:t>
      </w:r>
    </w:p>
    <w:p w14:paraId="7475A0C8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针对氮磷钾养分比例不协调、土壤大量养分累积量过大、中微量元素普遍缺乏等问题，提出以下施肥原则：</w:t>
      </w:r>
    </w:p>
    <w:p w14:paraId="5FA61D81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1.早施、施足秋季底肥，重视有机肥料施用。依据土壤肥力、品种特性和产量水平，合理调控氮磷钾肥施用数量。根据生育期养分需求特点合理分配基追肥比例，视葡萄品种、长势、气候等因素调整施肥计划。</w:t>
      </w:r>
    </w:p>
    <w:p w14:paraId="02C6B9A8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2.控制产量水平。适宜减少氮肥的用量，补充钾肥用量，做到按需精准施肥。</w:t>
      </w:r>
    </w:p>
    <w:p w14:paraId="1CCD02B4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3.土壤酸化较强果园，适量施用石灰、钙镁磷肥。有针对性施用中微量元素肥料，预防生理性病害。</w:t>
      </w:r>
    </w:p>
    <w:p w14:paraId="7FED6E5C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4.酸化葡萄园配合石灰、钙镁磷肥改良土壤，针对性施用中</w:t>
      </w:r>
      <w:r>
        <w:rPr>
          <w:rFonts w:ascii="仿宋_GB2312" w:eastAsia="仿宋_GB2312" w:hint="eastAsia"/>
          <w:sz w:val="32"/>
          <w:szCs w:val="32"/>
        </w:rPr>
        <w:lastRenderedPageBreak/>
        <w:t>微量元素肥料，防控生理性病害。秋季，氮肥用量占全年总量的40%—60%，早、中熟品种用量建议提高10个百分点；磷、钾肥用量占全年总量的20%—30%；氮磷钾比例按照2:2:1施入。</w:t>
      </w:r>
    </w:p>
    <w:p w14:paraId="52AFAE64" w14:textId="77777777" w:rsidR="00413AF3" w:rsidRDefault="00000000" w:rsidP="001C1E73">
      <w:pPr>
        <w:spacing w:line="576" w:lineRule="exact"/>
        <w:ind w:firstLineChars="200" w:firstLine="64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（二）施肥建议</w:t>
      </w:r>
    </w:p>
    <w:p w14:paraId="38C20C9E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在葡萄落叶前施肥，一般在9月中旬到10月中旬，晚熟品种可在采收结束时立即施用。可沟施或条施，深度40厘米左右。化肥与有机肥混匀后一起施入施用。有机肥用量500-1000公斤或农家肥2-4方，根据土壤肥力和产量情况增减。</w:t>
      </w:r>
    </w:p>
    <w:p w14:paraId="076ADE85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2.亩产2000公斤以上的果园，秋季氮肥（N）5-6公斤/亩，磷肥（P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）5-6公斤/亩，钾肥（K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O）3-4公斤/亩；亩产1500-2000公斤的果园，秋季氮肥（N）4-7公斤/亩，磷肥（P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）4-5公斤/亩，钾肥（（K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O）2-3公斤/亩；秋季亩产1500公斤以下的果园，氮肥（N）4-5公斤/亩，磷肥（P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）3-4公斤/亩，钾肥（K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O）2-3公斤/亩。</w:t>
      </w:r>
    </w:p>
    <w:p w14:paraId="29E754FB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3.硼、锌、镁和钙缺乏的果园，相应施用硼砂1-2公斤/亩、硫酸锌1-1.5公斤/亩、硫酸钾镁肥5-10公斤/亩、过磷酸钙50公斤/亩左右。</w:t>
      </w:r>
    </w:p>
    <w:p w14:paraId="2AB3F1A9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4.秋季叶片光</w:t>
      </w:r>
      <w:proofErr w:type="gramStart"/>
      <w:r>
        <w:rPr>
          <w:rFonts w:ascii="仿宋_GB2312" w:eastAsia="仿宋_GB2312" w:hint="eastAsia"/>
          <w:sz w:val="32"/>
          <w:szCs w:val="32"/>
        </w:rPr>
        <w:t>合能力</w:t>
      </w:r>
      <w:proofErr w:type="gramEnd"/>
      <w:r>
        <w:rPr>
          <w:rFonts w:ascii="仿宋_GB2312" w:eastAsia="仿宋_GB2312" w:hint="eastAsia"/>
          <w:sz w:val="32"/>
          <w:szCs w:val="32"/>
        </w:rPr>
        <w:t>仍较强的品种可及时通过叶面喷施0.3%-0.5%尿素溶液、0.2%-0.3%磷酸二氢钾溶液，每10天左右喷施一次，连续喷施2至4次，以补充叶片所需营养，增强叶片抗性并延缓早衰，促进枝条养分积累。</w:t>
      </w:r>
    </w:p>
    <w:p w14:paraId="544A9704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5.对于树势较弱的葡萄树，及时补充尿素等氮肥，一般按每</w:t>
      </w:r>
      <w:r>
        <w:rPr>
          <w:rFonts w:ascii="仿宋_GB2312" w:eastAsia="仿宋_GB2312" w:hint="eastAsia"/>
          <w:sz w:val="32"/>
          <w:szCs w:val="32"/>
        </w:rPr>
        <w:lastRenderedPageBreak/>
        <w:t>亩10公斤尿素的标准施入，待树</w:t>
      </w:r>
      <w:proofErr w:type="gramStart"/>
      <w:r>
        <w:rPr>
          <w:rFonts w:ascii="仿宋_GB2312" w:eastAsia="仿宋_GB2312" w:hint="eastAsia"/>
          <w:sz w:val="32"/>
          <w:szCs w:val="32"/>
        </w:rPr>
        <w:t>势恢复</w:t>
      </w:r>
      <w:proofErr w:type="gramEnd"/>
      <w:r>
        <w:rPr>
          <w:rFonts w:ascii="仿宋_GB2312" w:eastAsia="仿宋_GB2312" w:hint="eastAsia"/>
          <w:sz w:val="32"/>
          <w:szCs w:val="32"/>
        </w:rPr>
        <w:t>后再施入其它肥料。对于树势较好的葡萄树，可将采后肥</w:t>
      </w:r>
      <w:proofErr w:type="gramStart"/>
      <w:r>
        <w:rPr>
          <w:rFonts w:ascii="仿宋_GB2312" w:eastAsia="仿宋_GB2312" w:hint="eastAsia"/>
          <w:sz w:val="32"/>
          <w:szCs w:val="32"/>
        </w:rPr>
        <w:t>与秋施基肥</w:t>
      </w:r>
      <w:proofErr w:type="gramEnd"/>
      <w:r>
        <w:rPr>
          <w:rFonts w:ascii="仿宋_GB2312" w:eastAsia="仿宋_GB2312" w:hint="eastAsia"/>
          <w:sz w:val="32"/>
          <w:szCs w:val="32"/>
        </w:rPr>
        <w:t>一起进行，在施基肥时加入一定量的过磷酸钙。</w:t>
      </w:r>
    </w:p>
    <w:p w14:paraId="4C905E40" w14:textId="77777777" w:rsidR="00413AF3" w:rsidRDefault="00000000" w:rsidP="001C1E73">
      <w:pPr>
        <w:spacing w:line="576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五、设施草莓</w:t>
      </w:r>
    </w:p>
    <w:p w14:paraId="597CA95F" w14:textId="77777777" w:rsidR="00413AF3" w:rsidRDefault="00000000" w:rsidP="001C1E73">
      <w:pPr>
        <w:spacing w:line="576" w:lineRule="exact"/>
        <w:ind w:firstLineChars="200" w:firstLine="64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（一）施肥原则</w:t>
      </w:r>
    </w:p>
    <w:p w14:paraId="1E7A7F79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针对草莓生长期短、需肥量大、土壤次生盐渍化，连作障碍问题普遍，病虫害较严重等问题，提出以下施肥原则：</w:t>
      </w:r>
    </w:p>
    <w:p w14:paraId="5C791641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1.基肥以有机肥为主，少施或不施化肥，减少盐分对根系发育的影响。</w:t>
      </w:r>
    </w:p>
    <w:p w14:paraId="2C579887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2.盐渍化较重棚室，进一步减少基肥速效化肥，分次少量追肥，增加有机肥用量。重视菌肥、微生物菌剂、优质有机肥的施用，堆肥应确保腐熟完全，缓解连作障碍问题。</w:t>
      </w:r>
    </w:p>
    <w:p w14:paraId="37832F83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3.定植缓苗期以促根护根为首要目标，不追求地上部快速旺长；优先选用腐殖酸、海藻酸、氨基酸等功能性有机功能肥，配合合格生物刺激素、促生根类植物生长调节剂共同使用。</w:t>
      </w:r>
    </w:p>
    <w:p w14:paraId="3EC27E78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4.进入营养生长期后，严格执行少量多次、薄肥勤施，全面推行膜下滴灌水肥一体化。</w:t>
      </w:r>
    </w:p>
    <w:p w14:paraId="467A9F2E" w14:textId="77777777" w:rsidR="00413AF3" w:rsidRDefault="00000000" w:rsidP="001C1E73">
      <w:pPr>
        <w:spacing w:line="576" w:lineRule="exact"/>
        <w:ind w:firstLineChars="200" w:firstLine="64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（二）施肥建议</w:t>
      </w:r>
    </w:p>
    <w:p w14:paraId="69397C87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1.整地前，亩施腐熟堆肥2-3方或优质商品有机肥500-800公斤，菌肥200公斤或微生物菌剂，配合旋耕均匀施入。</w:t>
      </w:r>
    </w:p>
    <w:p w14:paraId="5D6B388F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2.在草莓进入营养生长期后开始施用氮磷钾大量元素肥料。整个时期，氮肥占全年施用量的40%，磷肥占40%，钾肥占30%。</w:t>
      </w:r>
      <w:r>
        <w:rPr>
          <w:rFonts w:ascii="仿宋_GB2312" w:eastAsia="仿宋_GB2312" w:hint="eastAsia"/>
          <w:sz w:val="32"/>
          <w:szCs w:val="32"/>
        </w:rPr>
        <w:lastRenderedPageBreak/>
        <w:t>亩产2000公斤以上，全年氮肥（N）18-20公斤/亩，磷肥（P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）10-12公斤/亩，钾肥（K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O）15-20公斤/亩；亩产1500-2000公斤，全年氮肥（N）15-18公斤/亩，磷肥（P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）8-10公斤/亩，钾肥（K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O）12-15公斤/亩；亩产1500公斤以下，全年氮肥（N）13-16公斤/亩，磷肥（P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）5-8公斤/亩，钾肥（K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O）10-12公斤/亩。</w:t>
      </w:r>
    </w:p>
    <w:p w14:paraId="7565A6E7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3.钙、锌、</w:t>
      </w:r>
      <w:proofErr w:type="gramStart"/>
      <w:r>
        <w:rPr>
          <w:rFonts w:ascii="仿宋_GB2312" w:eastAsia="仿宋_GB2312" w:hint="eastAsia"/>
          <w:sz w:val="32"/>
          <w:szCs w:val="32"/>
        </w:rPr>
        <w:t>硼缺乏</w:t>
      </w:r>
      <w:proofErr w:type="gramEnd"/>
      <w:r>
        <w:rPr>
          <w:rFonts w:ascii="仿宋_GB2312" w:eastAsia="仿宋_GB2312" w:hint="eastAsia"/>
          <w:sz w:val="32"/>
          <w:szCs w:val="32"/>
        </w:rPr>
        <w:t>较为严重的设施土壤，可在整地前每亩撒施50-100公斤生石灰、1公斤七水硫酸锌、1公斤硼砂，与有机肥一起配合旋耕均匀施入。</w:t>
      </w:r>
    </w:p>
    <w:p w14:paraId="57C0EDC4" w14:textId="77777777" w:rsidR="00413AF3" w:rsidRDefault="00000000" w:rsidP="001C1E73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4.追肥宜采用水肥一体化施肥方式（膜下滴灌）进行施肥，建议选择硝酸铵钙、硝酸铵钙镁、硝酸钾、磷酸二氢钾、磷酸</w:t>
      </w:r>
      <w:proofErr w:type="gramStart"/>
      <w:r>
        <w:rPr>
          <w:rFonts w:ascii="仿宋_GB2312" w:eastAsia="仿宋_GB2312" w:hint="eastAsia"/>
          <w:sz w:val="32"/>
          <w:szCs w:val="32"/>
        </w:rPr>
        <w:t>一</w:t>
      </w:r>
      <w:proofErr w:type="gramEnd"/>
      <w:r>
        <w:rPr>
          <w:rFonts w:ascii="仿宋_GB2312" w:eastAsia="仿宋_GB2312" w:hint="eastAsia"/>
          <w:sz w:val="32"/>
          <w:szCs w:val="32"/>
        </w:rPr>
        <w:t>铵、尿素等水溶性较好的肥料配制。</w:t>
      </w:r>
    </w:p>
    <w:p w14:paraId="56FBDEF3" w14:textId="77777777" w:rsidR="00413AF3" w:rsidRDefault="00413AF3">
      <w:pPr>
        <w:rPr>
          <w:rFonts w:ascii="仿宋_GB2312" w:eastAsia="仿宋_GB2312"/>
          <w:sz w:val="32"/>
          <w:szCs w:val="32"/>
        </w:rPr>
      </w:pPr>
    </w:p>
    <w:sectPr w:rsidR="00413AF3" w:rsidSect="001C1E73">
      <w:footerReference w:type="even" r:id="rId8"/>
      <w:footerReference w:type="default" r:id="rId9"/>
      <w:pgSz w:w="11906" w:h="16838" w:code="9"/>
      <w:pgMar w:top="2098" w:right="1474" w:bottom="1985" w:left="1588" w:header="851" w:footer="1276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C6A70" w14:textId="77777777" w:rsidR="00562F82" w:rsidRDefault="00562F82" w:rsidP="001C1E73">
      <w:r>
        <w:separator/>
      </w:r>
    </w:p>
  </w:endnote>
  <w:endnote w:type="continuationSeparator" w:id="0">
    <w:p w14:paraId="292C3DD0" w14:textId="77777777" w:rsidR="00562F82" w:rsidRDefault="00562F82" w:rsidP="001C1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FZXBSK--GBK1-0">
    <w:altName w:val="Segoe Print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433960"/>
      <w:docPartObj>
        <w:docPartGallery w:val="Page Numbers (Bottom of Page)"/>
        <w:docPartUnique/>
      </w:docPartObj>
    </w:sdtPr>
    <w:sdtContent>
      <w:p w14:paraId="0CB0372C" w14:textId="680A9996" w:rsidR="001C1E73" w:rsidRDefault="001C1E73">
        <w:pPr>
          <w:pStyle w:val="a3"/>
          <w:rPr>
            <w:rFonts w:hint="eastAsia"/>
          </w:rPr>
        </w:pPr>
        <w:r w:rsidRPr="001C1E73">
          <w:rPr>
            <w:rFonts w:ascii="宋体" w:eastAsia="宋体" w:hAnsi="宋体"/>
            <w:sz w:val="28"/>
            <w:szCs w:val="28"/>
          </w:rPr>
          <w:fldChar w:fldCharType="begin"/>
        </w:r>
        <w:r w:rsidRPr="001C1E73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1C1E73">
          <w:rPr>
            <w:rFonts w:ascii="宋体" w:eastAsia="宋体" w:hAnsi="宋体"/>
            <w:sz w:val="28"/>
            <w:szCs w:val="28"/>
          </w:rPr>
          <w:fldChar w:fldCharType="separate"/>
        </w:r>
        <w:r w:rsidRPr="001C1E73">
          <w:rPr>
            <w:rFonts w:ascii="宋体" w:eastAsia="宋体" w:hAnsi="宋体"/>
            <w:sz w:val="28"/>
            <w:szCs w:val="28"/>
            <w:lang w:val="zh-CN"/>
          </w:rPr>
          <w:t>2</w:t>
        </w:r>
        <w:r w:rsidRPr="001C1E73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5679277"/>
      <w:docPartObj>
        <w:docPartGallery w:val="Page Numbers (Bottom of Page)"/>
        <w:docPartUnique/>
      </w:docPartObj>
    </w:sdtPr>
    <w:sdtContent>
      <w:p w14:paraId="65627538" w14:textId="3126A34C" w:rsidR="001C1E73" w:rsidRDefault="001C1E73">
        <w:pPr>
          <w:pStyle w:val="a3"/>
          <w:jc w:val="right"/>
          <w:rPr>
            <w:rFonts w:hint="eastAsia"/>
          </w:rPr>
        </w:pPr>
        <w:r w:rsidRPr="001C1E73">
          <w:rPr>
            <w:rFonts w:ascii="宋体" w:eastAsia="宋体" w:hAnsi="宋体"/>
            <w:sz w:val="28"/>
            <w:szCs w:val="28"/>
          </w:rPr>
          <w:fldChar w:fldCharType="begin"/>
        </w:r>
        <w:r w:rsidRPr="001C1E73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1C1E73">
          <w:rPr>
            <w:rFonts w:ascii="宋体" w:eastAsia="宋体" w:hAnsi="宋体"/>
            <w:sz w:val="28"/>
            <w:szCs w:val="28"/>
          </w:rPr>
          <w:fldChar w:fldCharType="separate"/>
        </w:r>
        <w:r w:rsidRPr="001C1E73">
          <w:rPr>
            <w:rFonts w:ascii="宋体" w:eastAsia="宋体" w:hAnsi="宋体"/>
            <w:sz w:val="28"/>
            <w:szCs w:val="28"/>
            <w:lang w:val="zh-CN"/>
          </w:rPr>
          <w:t>2</w:t>
        </w:r>
        <w:r w:rsidRPr="001C1E73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64C10" w14:textId="77777777" w:rsidR="00562F82" w:rsidRDefault="00562F82" w:rsidP="001C1E73">
      <w:r>
        <w:separator/>
      </w:r>
    </w:p>
  </w:footnote>
  <w:footnote w:type="continuationSeparator" w:id="0">
    <w:p w14:paraId="50199F52" w14:textId="77777777" w:rsidR="00562F82" w:rsidRDefault="00562F82" w:rsidP="001C1E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05E"/>
    <w:rsid w:val="000B3952"/>
    <w:rsid w:val="00137FA8"/>
    <w:rsid w:val="001A065E"/>
    <w:rsid w:val="001B06E6"/>
    <w:rsid w:val="001B2DFE"/>
    <w:rsid w:val="001C1E73"/>
    <w:rsid w:val="00240A07"/>
    <w:rsid w:val="0027157B"/>
    <w:rsid w:val="002B093F"/>
    <w:rsid w:val="002D505E"/>
    <w:rsid w:val="002F1DB3"/>
    <w:rsid w:val="003E1A0F"/>
    <w:rsid w:val="003F1DED"/>
    <w:rsid w:val="00411858"/>
    <w:rsid w:val="00413AF3"/>
    <w:rsid w:val="00431774"/>
    <w:rsid w:val="00535966"/>
    <w:rsid w:val="00562F82"/>
    <w:rsid w:val="00590CDB"/>
    <w:rsid w:val="005A1BF2"/>
    <w:rsid w:val="005F1A51"/>
    <w:rsid w:val="00652FCF"/>
    <w:rsid w:val="007454BF"/>
    <w:rsid w:val="007A7A7A"/>
    <w:rsid w:val="007C41E1"/>
    <w:rsid w:val="007F52BF"/>
    <w:rsid w:val="00801EFB"/>
    <w:rsid w:val="00864A59"/>
    <w:rsid w:val="008D5FCE"/>
    <w:rsid w:val="008F28EE"/>
    <w:rsid w:val="00932AA4"/>
    <w:rsid w:val="00963B50"/>
    <w:rsid w:val="00A05A2F"/>
    <w:rsid w:val="00AB4BDF"/>
    <w:rsid w:val="00AF140A"/>
    <w:rsid w:val="00B400B8"/>
    <w:rsid w:val="00B66BC6"/>
    <w:rsid w:val="00B75F2C"/>
    <w:rsid w:val="00C1724B"/>
    <w:rsid w:val="00C85A55"/>
    <w:rsid w:val="00CD444F"/>
    <w:rsid w:val="00D04B1C"/>
    <w:rsid w:val="00D37986"/>
    <w:rsid w:val="00DF5D1B"/>
    <w:rsid w:val="00E03698"/>
    <w:rsid w:val="00E44F72"/>
    <w:rsid w:val="00EA3B22"/>
    <w:rsid w:val="00F06B7B"/>
    <w:rsid w:val="00F16826"/>
    <w:rsid w:val="00F56215"/>
    <w:rsid w:val="00F87B1A"/>
    <w:rsid w:val="0FF077DC"/>
    <w:rsid w:val="5B79368B"/>
    <w:rsid w:val="5D20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09A743"/>
  <w15:docId w15:val="{31BE306C-9294-49C2-AFFD-4F47E63DC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nhideWhenUsed/>
    <w:qFormat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c">
    <w:name w:val="引用 字符"/>
    <w:basedOn w:val="a0"/>
    <w:link w:val="ab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f">
    <w:name w:val="明显引用 字符"/>
    <w:basedOn w:val="a0"/>
    <w:link w:val="ae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11</Pages>
  <Words>749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22</cp:revision>
  <dcterms:created xsi:type="dcterms:W3CDTF">2026-09-17T02:30:00Z</dcterms:created>
  <dcterms:modified xsi:type="dcterms:W3CDTF">2026-09-20T02:20:00Z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21726D7F163F4CCFBB569B5A8835067C_13</vt:lpwstr>
  </property>
  <property fmtid="{D5CDD505-2E9C-101B-9397-08002B2CF9AE}" pid="4" name="KSOTemplateDocerSaveRecord">
    <vt:lpwstr>eyJoZGlkIjoiZDg0MDE0YWQxNDYzZDljMDFjMWI4ZjIxNGNjZTY0NDciLCJ1c2VySWQiOiI2MzIzMDMxMTAifQ==</vt:lpwstr>
  </property>
</Properties>
</file>