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2163" w14:textId="77777777" w:rsidR="00A61E9F" w:rsidRDefault="00A61E9F">
      <w:pPr>
        <w:spacing w:line="560" w:lineRule="exact"/>
        <w:jc w:val="center"/>
        <w:rPr>
          <w:rFonts w:ascii="方正小标宋_GBK" w:eastAsia="方正小标宋_GBK" w:hAnsi="宋体" w:hint="eastAsia"/>
          <w:color w:val="000000"/>
          <w:sz w:val="28"/>
          <w:szCs w:val="28"/>
        </w:rPr>
      </w:pPr>
      <w:bookmarkStart w:id="0" w:name="_Hlk240622378"/>
    </w:p>
    <w:p w14:paraId="5C107787" w14:textId="77777777" w:rsidR="00A61E9F" w:rsidRDefault="00A61E9F">
      <w:pPr>
        <w:spacing w:line="560" w:lineRule="exact"/>
        <w:jc w:val="center"/>
        <w:rPr>
          <w:rFonts w:ascii="方正小标宋_GBK" w:eastAsia="方正小标宋_GBK" w:hAnsi="宋体" w:hint="eastAsia"/>
          <w:color w:val="000000"/>
          <w:sz w:val="32"/>
          <w:szCs w:val="32"/>
        </w:rPr>
      </w:pPr>
    </w:p>
    <w:p w14:paraId="7EC66874" w14:textId="77777777" w:rsidR="00A61E9F" w:rsidRDefault="00000000">
      <w:pPr>
        <w:spacing w:line="1400" w:lineRule="exact"/>
        <w:jc w:val="distribute"/>
        <w:rPr>
          <w:rFonts w:ascii="方正小标宋_GBK" w:eastAsia="方正小标宋_GBK" w:cs="FZXBSK--GBK1-0"/>
          <w:b/>
          <w:snapToGrid w:val="0"/>
          <w:color w:val="FF0000"/>
          <w:w w:val="65"/>
          <w:sz w:val="120"/>
          <w:szCs w:val="120"/>
        </w:rPr>
      </w:pPr>
      <w:r>
        <w:rPr>
          <w:rFonts w:ascii="方正小标宋_GBK" w:eastAsia="方正小标宋_GBK" w:cs="FZXBSK--GBK1-0" w:hint="eastAsia"/>
          <w:b/>
          <w:snapToGrid w:val="0"/>
          <w:color w:val="FF0000"/>
          <w:w w:val="65"/>
          <w:sz w:val="120"/>
          <w:szCs w:val="120"/>
        </w:rPr>
        <w:t>青岛市农业技术推广中心</w:t>
      </w:r>
    </w:p>
    <w:p w14:paraId="1CA2385B" w14:textId="77777777" w:rsidR="00A61E9F" w:rsidRDefault="00A61E9F">
      <w:pPr>
        <w:spacing w:line="560" w:lineRule="exact"/>
        <w:rPr>
          <w:rFonts w:ascii="方正小标宋_GBK" w:eastAsia="方正小标宋_GBK" w:hAnsi="宋体" w:hint="eastAsia"/>
          <w:color w:val="000000"/>
          <w:sz w:val="44"/>
          <w:szCs w:val="44"/>
        </w:rPr>
      </w:pPr>
    </w:p>
    <w:p w14:paraId="1658CB9C" w14:textId="77777777" w:rsidR="00A61E9F" w:rsidRDefault="00A61E9F">
      <w:pPr>
        <w:spacing w:line="560" w:lineRule="exact"/>
        <w:rPr>
          <w:rFonts w:ascii="方正小标宋_GBK" w:eastAsia="方正小标宋_GBK" w:hAnsi="宋体" w:hint="eastAsia"/>
          <w:color w:val="000000"/>
          <w:sz w:val="44"/>
          <w:szCs w:val="44"/>
        </w:rPr>
      </w:pPr>
    </w:p>
    <w:p w14:paraId="6787DD43" w14:textId="77777777" w:rsidR="00A61E9F" w:rsidRDefault="00000000" w:rsidP="00935F04">
      <w:pPr>
        <w:spacing w:line="640" w:lineRule="exact"/>
        <w:jc w:val="center"/>
        <w:rPr>
          <w:rFonts w:ascii="方正小标宋_GBK" w:eastAsia="方正小标宋_GBK" w:hAnsi="宋体" w:hint="eastAsia"/>
          <w:color w:val="000000"/>
          <w:sz w:val="44"/>
          <w:szCs w:val="44"/>
        </w:rPr>
      </w:pPr>
      <w:r>
        <w:rPr>
          <w:rFonts w:ascii="方正小标宋_GBK" w:eastAsia="方正小标宋_GBK" w:hAnsi="宋体" w:hint="eastAsia"/>
          <w:color w:val="000000"/>
          <w:sz w:val="44"/>
          <w:szCs w:val="44"/>
        </w:rPr>
        <w:t>青岛市农业技术推广中心</w:t>
      </w:r>
    </w:p>
    <w:p w14:paraId="62403904" w14:textId="77777777" w:rsidR="00A61E9F" w:rsidRDefault="00000000" w:rsidP="00935F04">
      <w:pPr>
        <w:spacing w:line="640" w:lineRule="exact"/>
        <w:jc w:val="center"/>
        <w:rPr>
          <w:rFonts w:ascii="方正小标宋_GBK" w:eastAsia="方正小标宋_GBK"/>
          <w:sz w:val="44"/>
          <w:szCs w:val="44"/>
        </w:rPr>
      </w:pPr>
      <w:bookmarkStart w:id="1" w:name="OLE_LINK25"/>
      <w:r>
        <w:rPr>
          <w:rFonts w:ascii="方正小标宋_GBK" w:eastAsia="方正小标宋_GBK" w:hint="eastAsia"/>
          <w:sz w:val="44"/>
          <w:szCs w:val="44"/>
        </w:rPr>
        <w:t>关于印发青岛市2026年秋冬季</w:t>
      </w:r>
      <w:bookmarkStart w:id="2" w:name="OLE_LINK22"/>
      <w:r>
        <w:rPr>
          <w:rFonts w:ascii="方正小标宋_GBK" w:eastAsia="方正小标宋_GBK" w:hint="eastAsia"/>
          <w:sz w:val="44"/>
          <w:szCs w:val="44"/>
        </w:rPr>
        <w:t>茶树</w:t>
      </w:r>
      <w:bookmarkEnd w:id="2"/>
      <w:r>
        <w:rPr>
          <w:rFonts w:ascii="方正小标宋_GBK" w:eastAsia="方正小标宋_GBK" w:hint="eastAsia"/>
          <w:sz w:val="44"/>
          <w:szCs w:val="44"/>
        </w:rPr>
        <w:t>增产提质</w:t>
      </w:r>
    </w:p>
    <w:bookmarkEnd w:id="1"/>
    <w:p w14:paraId="54D83AF3" w14:textId="77777777" w:rsidR="00A61E9F" w:rsidRDefault="00000000" w:rsidP="00935F04">
      <w:pPr>
        <w:spacing w:line="640" w:lineRule="exact"/>
        <w:jc w:val="center"/>
        <w:rPr>
          <w:rFonts w:ascii="仿宋_GB2312" w:eastAsia="仿宋_GB2312"/>
          <w:sz w:val="24"/>
        </w:rPr>
      </w:pPr>
      <w:r>
        <w:rPr>
          <w:rFonts w:ascii="方正小标宋_GBK" w:eastAsia="方正小标宋_GBK" w:hint="eastAsia"/>
          <w:sz w:val="44"/>
          <w:szCs w:val="44"/>
        </w:rPr>
        <w:t>科学施肥指导意见的通知</w:t>
      </w:r>
    </w:p>
    <w:p w14:paraId="065A56B8" w14:textId="77777777" w:rsidR="00A61E9F" w:rsidRDefault="00A61E9F" w:rsidP="00935F04">
      <w:pPr>
        <w:spacing w:line="576" w:lineRule="exact"/>
        <w:rPr>
          <w:rFonts w:ascii="仿宋_GB2312" w:eastAsia="仿宋_GB2312"/>
          <w:sz w:val="32"/>
          <w:szCs w:val="32"/>
        </w:rPr>
      </w:pPr>
    </w:p>
    <w:p w14:paraId="52BD8D89" w14:textId="77777777" w:rsidR="00A61E9F" w:rsidRDefault="00000000" w:rsidP="00D74938">
      <w:pPr>
        <w:spacing w:line="576" w:lineRule="exact"/>
        <w:rPr>
          <w:rFonts w:ascii="仿宋_GB2312" w:eastAsia="仿宋_GB2312"/>
          <w:sz w:val="32"/>
          <w:szCs w:val="32"/>
        </w:rPr>
      </w:pPr>
      <w:r>
        <w:rPr>
          <w:rFonts w:ascii="仿宋_GB2312" w:eastAsia="仿宋_GB2312" w:hint="eastAsia"/>
          <w:sz w:val="32"/>
          <w:szCs w:val="32"/>
        </w:rPr>
        <w:t>各区（市）农技推广部门：</w:t>
      </w:r>
    </w:p>
    <w:p w14:paraId="4CEB9F8E" w14:textId="709295C3" w:rsidR="00A61E9F" w:rsidRDefault="00000000" w:rsidP="00D74938">
      <w:pPr>
        <w:spacing w:line="576" w:lineRule="exact"/>
        <w:ind w:firstLineChars="200" w:firstLine="640"/>
        <w:rPr>
          <w:rFonts w:ascii="仿宋_GB2312" w:eastAsia="仿宋_GB2312"/>
          <w:sz w:val="32"/>
          <w:szCs w:val="32"/>
        </w:rPr>
      </w:pPr>
      <w:bookmarkStart w:id="3" w:name="OLE_LINK2"/>
      <w:r>
        <w:rPr>
          <w:rFonts w:ascii="仿宋_GB2312" w:eastAsia="仿宋_GB2312" w:hint="eastAsia"/>
          <w:sz w:val="32"/>
          <w:szCs w:val="32"/>
        </w:rPr>
        <w:t>为切实提升茶叶产量与品质，</w:t>
      </w:r>
      <w:bookmarkEnd w:id="3"/>
      <w:r>
        <w:rPr>
          <w:rFonts w:ascii="仿宋_GB2312" w:eastAsia="仿宋_GB2312" w:hint="eastAsia"/>
          <w:sz w:val="32"/>
          <w:szCs w:val="32"/>
        </w:rPr>
        <w:t>现将《青岛市2026年秋冬季茶树增产提质科学施肥指导意见》印发给你们，请结合生产实际，认真参照执行，确保科学施肥技术落地。</w:t>
      </w:r>
    </w:p>
    <w:p w14:paraId="0654DBD0" w14:textId="32C5B180" w:rsidR="00A61E9F" w:rsidRDefault="00000000" w:rsidP="00D74938">
      <w:pPr>
        <w:spacing w:line="576" w:lineRule="exact"/>
        <w:ind w:firstLineChars="200" w:firstLine="640"/>
        <w:rPr>
          <w:rFonts w:ascii="仿宋_GB2312" w:eastAsia="仿宋_GB2312"/>
          <w:sz w:val="32"/>
          <w:szCs w:val="32"/>
        </w:rPr>
      </w:pPr>
      <w:bookmarkStart w:id="4" w:name="_Hlk240622167"/>
      <w:r>
        <w:rPr>
          <w:rFonts w:ascii="仿宋_GB2312" w:eastAsia="仿宋_GB2312" w:hint="eastAsia"/>
          <w:sz w:val="32"/>
          <w:szCs w:val="32"/>
        </w:rPr>
        <w:t>各区</w:t>
      </w:r>
      <w:r w:rsidR="00D74938">
        <w:rPr>
          <w:rFonts w:ascii="仿宋_GB2312" w:eastAsia="仿宋_GB2312" w:hint="eastAsia"/>
          <w:sz w:val="32"/>
          <w:szCs w:val="32"/>
        </w:rPr>
        <w:t>（</w:t>
      </w:r>
      <w:r w:rsidR="00D74938">
        <w:rPr>
          <w:rFonts w:ascii="仿宋_GB2312" w:eastAsia="仿宋_GB2312" w:hint="eastAsia"/>
          <w:sz w:val="32"/>
          <w:szCs w:val="32"/>
        </w:rPr>
        <w:t>市</w:t>
      </w:r>
      <w:r w:rsidR="00D74938">
        <w:rPr>
          <w:rFonts w:ascii="仿宋_GB2312" w:eastAsia="仿宋_GB2312" w:hint="eastAsia"/>
          <w:sz w:val="32"/>
          <w:szCs w:val="32"/>
        </w:rPr>
        <w:t>）</w:t>
      </w:r>
      <w:r>
        <w:rPr>
          <w:rFonts w:ascii="仿宋_GB2312" w:eastAsia="仿宋_GB2312" w:hint="eastAsia"/>
          <w:sz w:val="32"/>
          <w:szCs w:val="32"/>
        </w:rPr>
        <w:t>可引导种植户扫描</w:t>
      </w:r>
      <w:bookmarkStart w:id="5" w:name="_Hlk240621282"/>
      <w:r>
        <w:rPr>
          <w:rFonts w:ascii="仿宋_GB2312" w:eastAsia="仿宋_GB2312" w:hint="eastAsia"/>
          <w:sz w:val="32"/>
          <w:szCs w:val="32"/>
        </w:rPr>
        <w:t>“养分专家智慧施肥大模型”和“NE推荐施肥专家系统”二维码</w:t>
      </w:r>
      <w:bookmarkEnd w:id="5"/>
      <w:r>
        <w:rPr>
          <w:rFonts w:ascii="仿宋_GB2312" w:eastAsia="仿宋_GB2312" w:hint="eastAsia"/>
          <w:sz w:val="32"/>
          <w:szCs w:val="32"/>
        </w:rPr>
        <w:t>，结合地力状况，测算施肥比例及用量，实现科学精准施肥。</w:t>
      </w:r>
    </w:p>
    <w:p w14:paraId="6344166E" w14:textId="77777777" w:rsidR="00D74938" w:rsidRDefault="00D74938" w:rsidP="00D31F45">
      <w:pPr>
        <w:spacing w:line="500" w:lineRule="exact"/>
        <w:ind w:firstLineChars="200" w:firstLine="640"/>
        <w:rPr>
          <w:rFonts w:ascii="仿宋_GB2312" w:eastAsia="仿宋_GB2312"/>
          <w:sz w:val="32"/>
          <w:szCs w:val="32"/>
        </w:rPr>
      </w:pPr>
    </w:p>
    <w:p w14:paraId="72074465" w14:textId="77777777" w:rsidR="00D74938" w:rsidRDefault="00D74938" w:rsidP="00D31F45">
      <w:pPr>
        <w:spacing w:line="500" w:lineRule="exact"/>
        <w:ind w:firstLineChars="200" w:firstLine="640"/>
        <w:rPr>
          <w:rFonts w:ascii="仿宋_GB2312" w:eastAsia="仿宋_GB2312"/>
          <w:sz w:val="32"/>
          <w:szCs w:val="32"/>
        </w:rPr>
      </w:pPr>
    </w:p>
    <w:p w14:paraId="5C84DEFC" w14:textId="77777777" w:rsidR="00D74938" w:rsidRDefault="00D74938" w:rsidP="00D31F45">
      <w:pPr>
        <w:spacing w:line="500" w:lineRule="exact"/>
        <w:ind w:firstLineChars="200" w:firstLine="640"/>
        <w:rPr>
          <w:rFonts w:ascii="仿宋_GB2312" w:eastAsia="仿宋_GB2312" w:hint="eastAsia"/>
          <w:sz w:val="32"/>
          <w:szCs w:val="32"/>
        </w:rPr>
      </w:pPr>
    </w:p>
    <w:p w14:paraId="313C4793" w14:textId="192AD284" w:rsidR="00D31F45" w:rsidRDefault="00D31F45" w:rsidP="00D74938">
      <w:pPr>
        <w:ind w:firstLineChars="200" w:firstLine="640"/>
        <w:rPr>
          <w:rFonts w:ascii="仿宋_GB2312" w:eastAsia="仿宋_GB2312"/>
          <w:sz w:val="32"/>
          <w:szCs w:val="32"/>
        </w:rPr>
      </w:pPr>
      <w:r>
        <w:rPr>
          <w:rFonts w:ascii="黑体" w:eastAsia="黑体" w:hAnsi="黑体" w:hint="eastAsia"/>
          <w:noProof/>
          <w:sz w:val="32"/>
          <w:szCs w:val="32"/>
        </w:rPr>
        <w:lastRenderedPageBreak/>
        <w:drawing>
          <wp:inline distT="0" distB="0" distL="0" distR="0" wp14:anchorId="5D99E853" wp14:editId="0CB47D0A">
            <wp:extent cx="1839798" cy="1653489"/>
            <wp:effectExtent l="0" t="0" r="8255" b="4445"/>
            <wp:docPr id="1559513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1237" cy="1681744"/>
                    </a:xfrm>
                    <a:prstGeom prst="rect">
                      <a:avLst/>
                    </a:prstGeom>
                    <a:noFill/>
                  </pic:spPr>
                </pic:pic>
              </a:graphicData>
            </a:graphic>
          </wp:inline>
        </w:drawing>
      </w:r>
      <w:r>
        <w:rPr>
          <w:rFonts w:ascii="仿宋_GB2312" w:eastAsia="仿宋_GB2312" w:hint="eastAsia"/>
          <w:sz w:val="32"/>
          <w:szCs w:val="32"/>
        </w:rPr>
        <w:t xml:space="preserve">           </w:t>
      </w:r>
      <w:r w:rsidR="00440C9A" w:rsidRPr="00440C9A">
        <w:rPr>
          <w:noProof/>
        </w:rPr>
        <w:drawing>
          <wp:inline distT="0" distB="0" distL="0" distR="0" wp14:anchorId="1ADAC61B" wp14:editId="0990851F">
            <wp:extent cx="1514246" cy="1581199"/>
            <wp:effectExtent l="0" t="0" r="0" b="0"/>
            <wp:docPr id="1624607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07664" name=""/>
                    <pic:cNvPicPr/>
                  </pic:nvPicPr>
                  <pic:blipFill>
                    <a:blip r:embed="rId7"/>
                    <a:stretch>
                      <a:fillRect/>
                    </a:stretch>
                  </pic:blipFill>
                  <pic:spPr>
                    <a:xfrm>
                      <a:off x="0" y="0"/>
                      <a:ext cx="1560092" cy="1629072"/>
                    </a:xfrm>
                    <a:prstGeom prst="rect">
                      <a:avLst/>
                    </a:prstGeom>
                  </pic:spPr>
                </pic:pic>
              </a:graphicData>
            </a:graphic>
          </wp:inline>
        </w:drawing>
      </w:r>
    </w:p>
    <w:p w14:paraId="18039C8F" w14:textId="05D6865A" w:rsidR="00D31F45" w:rsidRDefault="00D31F45" w:rsidP="00D74938">
      <w:pPr>
        <w:spacing w:beforeLines="50" w:before="156" w:line="400" w:lineRule="exact"/>
        <w:ind w:firstLineChars="200" w:firstLine="560"/>
        <w:rPr>
          <w:rFonts w:ascii="宋体" w:hAnsi="宋体" w:cs="宋体"/>
          <w:kern w:val="0"/>
          <w:sz w:val="28"/>
          <w:szCs w:val="28"/>
        </w:rPr>
      </w:pPr>
      <w:r w:rsidRPr="00D74938">
        <w:rPr>
          <w:rFonts w:ascii="宋体" w:hAnsi="宋体" w:cs="宋体" w:hint="eastAsia"/>
          <w:kern w:val="0"/>
          <w:sz w:val="28"/>
          <w:szCs w:val="28"/>
        </w:rPr>
        <w:t xml:space="preserve">养分专家智慧施肥大模型     </w:t>
      </w:r>
      <w:r w:rsidR="00440C9A" w:rsidRPr="00D74938">
        <w:rPr>
          <w:rFonts w:ascii="宋体" w:hAnsi="宋体" w:cs="宋体" w:hint="eastAsia"/>
          <w:kern w:val="0"/>
          <w:sz w:val="28"/>
          <w:szCs w:val="28"/>
        </w:rPr>
        <w:t xml:space="preserve">  </w:t>
      </w:r>
      <w:r w:rsidR="00D74938">
        <w:rPr>
          <w:rFonts w:ascii="宋体" w:hAnsi="宋体" w:cs="宋体" w:hint="eastAsia"/>
          <w:kern w:val="0"/>
          <w:sz w:val="28"/>
          <w:szCs w:val="28"/>
        </w:rPr>
        <w:t xml:space="preserve">  </w:t>
      </w:r>
      <w:r w:rsidR="00D74938" w:rsidRPr="00D74938">
        <w:rPr>
          <w:rFonts w:ascii="宋体" w:hAnsi="宋体" w:cs="宋体" w:hint="eastAsia"/>
          <w:kern w:val="0"/>
          <w:sz w:val="28"/>
          <w:szCs w:val="28"/>
        </w:rPr>
        <w:t xml:space="preserve"> </w:t>
      </w:r>
      <w:r w:rsidR="00440C9A" w:rsidRPr="00D74938">
        <w:rPr>
          <w:rFonts w:ascii="宋体" w:hAnsi="宋体" w:cs="宋体" w:hint="eastAsia"/>
          <w:kern w:val="0"/>
          <w:sz w:val="28"/>
          <w:szCs w:val="28"/>
        </w:rPr>
        <w:t xml:space="preserve">  </w:t>
      </w:r>
      <w:r w:rsidRPr="00D74938">
        <w:rPr>
          <w:rFonts w:ascii="宋体" w:hAnsi="宋体" w:cs="宋体" w:hint="eastAsia"/>
          <w:kern w:val="0"/>
          <w:sz w:val="28"/>
          <w:szCs w:val="28"/>
        </w:rPr>
        <w:t>NE推荐施肥专家系统</w:t>
      </w:r>
    </w:p>
    <w:p w14:paraId="02A9FF5B" w14:textId="77777777" w:rsidR="00D74938" w:rsidRPr="00D74938" w:rsidRDefault="00D74938" w:rsidP="00D74938">
      <w:pPr>
        <w:spacing w:line="400" w:lineRule="exact"/>
        <w:ind w:firstLineChars="200" w:firstLine="560"/>
        <w:rPr>
          <w:rFonts w:ascii="宋体" w:hAnsi="宋体" w:cs="宋体" w:hint="eastAsia"/>
          <w:kern w:val="0"/>
          <w:sz w:val="28"/>
          <w:szCs w:val="28"/>
        </w:rPr>
      </w:pPr>
    </w:p>
    <w:p w14:paraId="6FCC0790" w14:textId="0F00AC4E" w:rsidR="00D74938" w:rsidRPr="00440C9A" w:rsidRDefault="00D74938" w:rsidP="00D74938">
      <w:pPr>
        <w:rPr>
          <w:rFonts w:ascii="仿宋_GB2312" w:eastAsia="仿宋_GB2312" w:hint="eastAsia"/>
          <w:szCs w:val="21"/>
        </w:rPr>
      </w:pPr>
    </w:p>
    <w:bookmarkEnd w:id="4"/>
    <w:p w14:paraId="7569F2DD" w14:textId="77777777" w:rsidR="00A61E9F" w:rsidRDefault="00000000" w:rsidP="00935F04">
      <w:pPr>
        <w:spacing w:line="576" w:lineRule="exact"/>
        <w:ind w:rightChars="363" w:right="762"/>
        <w:jc w:val="right"/>
        <w:rPr>
          <w:rFonts w:ascii="仿宋_GB2312" w:eastAsia="仿宋_GB2312"/>
          <w:sz w:val="32"/>
          <w:szCs w:val="32"/>
        </w:rPr>
      </w:pPr>
      <w:r>
        <w:rPr>
          <w:rFonts w:ascii="仿宋_GB2312" w:eastAsia="仿宋_GB2312" w:hint="eastAsia"/>
          <w:sz w:val="32"/>
          <w:szCs w:val="32"/>
        </w:rPr>
        <w:t>青岛市农业技术推广中心</w:t>
      </w:r>
    </w:p>
    <w:p w14:paraId="3C0EF6D4" w14:textId="252D836D" w:rsidR="00D74938" w:rsidRDefault="00000000" w:rsidP="00D31F45">
      <w:pPr>
        <w:spacing w:line="576" w:lineRule="exac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Pr>
          <w:rFonts w:ascii="仿宋_GB2312" w:eastAsia="仿宋_GB2312" w:hint="eastAsia"/>
          <w:sz w:val="32"/>
          <w:szCs w:val="32"/>
        </w:rPr>
        <w:t>2026年9月</w:t>
      </w:r>
      <w:r w:rsidR="00C81101">
        <w:rPr>
          <w:rFonts w:ascii="仿宋_GB2312" w:eastAsia="仿宋_GB2312" w:hint="eastAsia"/>
          <w:sz w:val="32"/>
          <w:szCs w:val="32"/>
        </w:rPr>
        <w:t>20</w:t>
      </w:r>
      <w:r>
        <w:rPr>
          <w:rFonts w:ascii="仿宋_GB2312" w:eastAsia="仿宋_GB2312" w:hint="eastAsia"/>
          <w:sz w:val="32"/>
          <w:szCs w:val="32"/>
        </w:rPr>
        <w:t>日</w:t>
      </w:r>
    </w:p>
    <w:p w14:paraId="141FDB52" w14:textId="769DE912" w:rsidR="00935F04" w:rsidRPr="00D31F45" w:rsidRDefault="00D74938" w:rsidP="00D74938">
      <w:pPr>
        <w:widowControl/>
        <w:jc w:val="left"/>
        <w:rPr>
          <w:rFonts w:ascii="仿宋_GB2312" w:eastAsia="仿宋_GB2312" w:hint="eastAsia"/>
          <w:sz w:val="32"/>
          <w:szCs w:val="32"/>
        </w:rPr>
      </w:pPr>
      <w:r>
        <w:rPr>
          <w:rFonts w:ascii="仿宋_GB2312" w:eastAsia="仿宋_GB2312"/>
          <w:sz w:val="32"/>
          <w:szCs w:val="32"/>
        </w:rPr>
        <w:br w:type="page"/>
      </w:r>
    </w:p>
    <w:p w14:paraId="04142E70" w14:textId="77777777" w:rsidR="00A61E9F" w:rsidRDefault="00000000">
      <w:pPr>
        <w:spacing w:line="640" w:lineRule="exact"/>
        <w:jc w:val="center"/>
        <w:outlineLvl w:val="0"/>
        <w:rPr>
          <w:rFonts w:ascii="方正小标宋_GBK" w:eastAsia="方正小标宋_GBK" w:hAnsi="等线" w:hint="eastAsia"/>
          <w:bCs/>
          <w:color w:val="000000"/>
          <w:kern w:val="36"/>
          <w:sz w:val="44"/>
          <w:szCs w:val="44"/>
        </w:rPr>
      </w:pPr>
      <w:bookmarkStart w:id="6" w:name="_Hlk240621265"/>
      <w:r>
        <w:rPr>
          <w:rFonts w:ascii="方正小标宋_GBK" w:eastAsia="方正小标宋_GBK" w:hAnsi="等线" w:hint="eastAsia"/>
          <w:bCs/>
          <w:color w:val="000000"/>
          <w:kern w:val="36"/>
          <w:sz w:val="44"/>
          <w:szCs w:val="44"/>
        </w:rPr>
        <w:lastRenderedPageBreak/>
        <w:t>青岛市2026年秋冬季</w:t>
      </w:r>
      <w:r>
        <w:rPr>
          <w:rFonts w:ascii="方正小标宋_GBK" w:eastAsia="方正小标宋_GBK" w:hint="eastAsia"/>
          <w:sz w:val="44"/>
          <w:szCs w:val="44"/>
        </w:rPr>
        <w:t>茶树</w:t>
      </w:r>
      <w:r>
        <w:rPr>
          <w:rFonts w:ascii="方正小标宋_GBK" w:eastAsia="方正小标宋_GBK" w:hAnsi="等线" w:hint="eastAsia"/>
          <w:bCs/>
          <w:color w:val="000000"/>
          <w:kern w:val="36"/>
          <w:sz w:val="44"/>
          <w:szCs w:val="44"/>
        </w:rPr>
        <w:t>增产提质</w:t>
      </w:r>
    </w:p>
    <w:p w14:paraId="15464413" w14:textId="77777777" w:rsidR="00A61E9F" w:rsidRDefault="00000000">
      <w:pPr>
        <w:spacing w:line="640" w:lineRule="exact"/>
        <w:jc w:val="center"/>
        <w:outlineLvl w:val="0"/>
        <w:rPr>
          <w:rFonts w:ascii="方正小标宋_GBK" w:eastAsia="方正小标宋_GBK" w:hAnsi="等线" w:hint="eastAsia"/>
          <w:bCs/>
          <w:color w:val="000000"/>
          <w:kern w:val="36"/>
          <w:sz w:val="44"/>
          <w:szCs w:val="44"/>
        </w:rPr>
      </w:pPr>
      <w:r>
        <w:rPr>
          <w:rFonts w:ascii="方正小标宋_GBK" w:eastAsia="方正小标宋_GBK" w:hAnsi="等线" w:hint="eastAsia"/>
          <w:bCs/>
          <w:color w:val="000000"/>
          <w:kern w:val="36"/>
          <w:sz w:val="44"/>
          <w:szCs w:val="44"/>
        </w:rPr>
        <w:t>科学施肥指导意见</w:t>
      </w:r>
    </w:p>
    <w:bookmarkEnd w:id="0"/>
    <w:bookmarkEnd w:id="6"/>
    <w:p w14:paraId="43AE4805" w14:textId="77777777" w:rsidR="00A61E9F" w:rsidRDefault="00A61E9F" w:rsidP="00935F04">
      <w:pPr>
        <w:spacing w:line="576" w:lineRule="exact"/>
        <w:rPr>
          <w:rFonts w:ascii="仿宋_GB2312" w:eastAsia="仿宋_GB2312"/>
          <w:sz w:val="32"/>
          <w:szCs w:val="32"/>
        </w:rPr>
      </w:pPr>
    </w:p>
    <w:p w14:paraId="100DCDB9" w14:textId="77777777" w:rsidR="00A61E9F" w:rsidRDefault="00000000" w:rsidP="00935F04">
      <w:pPr>
        <w:spacing w:line="576" w:lineRule="exact"/>
        <w:ind w:firstLineChars="200" w:firstLine="640"/>
        <w:rPr>
          <w:rFonts w:ascii="黑体" w:eastAsia="黑体" w:hAnsi="黑体" w:hint="eastAsia"/>
          <w:sz w:val="32"/>
          <w:szCs w:val="32"/>
        </w:rPr>
      </w:pPr>
      <w:r>
        <w:rPr>
          <w:rFonts w:ascii="黑体" w:eastAsia="黑体" w:hAnsi="黑体" w:hint="eastAsia"/>
          <w:sz w:val="32"/>
          <w:szCs w:val="32"/>
        </w:rPr>
        <w:t>一、施肥原则</w:t>
      </w:r>
    </w:p>
    <w:p w14:paraId="7C99E6E1"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针对茶园有机肥料投入量不足，土壤贫瘠及保水保肥能力差，施肥过量和施肥不足普遍存在，氮磷钾肥配比不合理，土壤酸化严重，</w:t>
      </w:r>
      <w:proofErr w:type="gramStart"/>
      <w:r>
        <w:rPr>
          <w:rFonts w:ascii="仿宋_GB2312" w:eastAsia="仿宋_GB2312" w:hint="eastAsia"/>
          <w:sz w:val="32"/>
          <w:szCs w:val="32"/>
        </w:rPr>
        <w:t>镁硫等</w:t>
      </w:r>
      <w:proofErr w:type="gramEnd"/>
      <w:r>
        <w:rPr>
          <w:rFonts w:ascii="仿宋_GB2312" w:eastAsia="仿宋_GB2312" w:hint="eastAsia"/>
          <w:sz w:val="32"/>
          <w:szCs w:val="32"/>
        </w:rPr>
        <w:t>中微量元素缺乏等问题，提出以下施肥原则：</w:t>
      </w:r>
    </w:p>
    <w:p w14:paraId="373B3A2D"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1.依据土壤肥力条件、茶类和产量水平，参照《全国茶叶产区氮肥定额用量（试行）》，农业行业标准《茶叶生产技术规程》（NY/T5018-2015），确定氮磷钾合理用量，防止养分投入不足或过量。</w:t>
      </w:r>
    </w:p>
    <w:p w14:paraId="7633B4AC"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2.坚持有机无机配合原则，有机肥替代部分化肥，替代比例根据有机肥的氮素含量和有效性调整，其中饼肥类有机肥替代的适宜比例为20%-50%，商品有机肥的适宜替代比例为20%左右。有机肥深施（15厘米以下），不同来源或性质有机肥年际间轮换施用，避免长期连续施用同一来源有机肥。</w:t>
      </w:r>
    </w:p>
    <w:p w14:paraId="38A73301"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3.高产茶园、土壤</w:t>
      </w:r>
      <w:proofErr w:type="gramStart"/>
      <w:r>
        <w:rPr>
          <w:rFonts w:ascii="仿宋_GB2312" w:eastAsia="仿宋_GB2312" w:hint="eastAsia"/>
          <w:sz w:val="32"/>
          <w:szCs w:val="32"/>
        </w:rPr>
        <w:t>酸化和缺镁</w:t>
      </w:r>
      <w:proofErr w:type="gramEnd"/>
      <w:r>
        <w:rPr>
          <w:rFonts w:ascii="仿宋_GB2312" w:eastAsia="仿宋_GB2312" w:hint="eastAsia"/>
          <w:sz w:val="32"/>
          <w:szCs w:val="32"/>
        </w:rPr>
        <w:t>茶园，应结合基肥施用含镁肥料或在茶叶萌发前叶面喷施镁肥，注意硫、硼、锌等养分补充，保持适宜养分配比。</w:t>
      </w:r>
    </w:p>
    <w:p w14:paraId="015C8568"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4.严重土壤酸化的茶园（土壤pH&lt;4），可通过施用石灰、土壤调理剂、生物质炭或增施腐熟畜禽粪肥等措施逐步改良。</w:t>
      </w:r>
    </w:p>
    <w:p w14:paraId="5576AAAA"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lastRenderedPageBreak/>
        <w:t>5.施肥与土壤深耕结合，充分利用农业机械根区深施基肥、无人机喷施叶面肥，提高肥料利用率和施肥效率。</w:t>
      </w:r>
    </w:p>
    <w:p w14:paraId="447E2B54"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6.科学施肥与合理修剪等绿色增产提质增效栽培技术相结合。</w:t>
      </w:r>
    </w:p>
    <w:p w14:paraId="37510637" w14:textId="77777777" w:rsidR="00A61E9F" w:rsidRDefault="00000000" w:rsidP="00935F04">
      <w:pPr>
        <w:spacing w:line="576" w:lineRule="exact"/>
        <w:ind w:firstLineChars="200" w:firstLine="640"/>
        <w:rPr>
          <w:rFonts w:ascii="黑体" w:eastAsia="黑体" w:hAnsi="黑体" w:hint="eastAsia"/>
          <w:sz w:val="32"/>
          <w:szCs w:val="32"/>
        </w:rPr>
      </w:pPr>
      <w:r>
        <w:rPr>
          <w:rFonts w:ascii="黑体" w:eastAsia="黑体" w:hAnsi="黑体" w:hint="eastAsia"/>
          <w:sz w:val="32"/>
          <w:szCs w:val="32"/>
        </w:rPr>
        <w:t>二、施肥建议</w:t>
      </w:r>
    </w:p>
    <w:p w14:paraId="3A683782" w14:textId="77777777" w:rsidR="00A61E9F" w:rsidRDefault="00000000" w:rsidP="00935F04">
      <w:pPr>
        <w:spacing w:line="576" w:lineRule="exact"/>
        <w:ind w:firstLineChars="200" w:firstLine="640"/>
        <w:rPr>
          <w:rFonts w:ascii="仿宋_GB2312" w:eastAsia="仿宋_GB2312"/>
          <w:color w:val="FF0000"/>
          <w:sz w:val="32"/>
          <w:szCs w:val="32"/>
        </w:rPr>
      </w:pPr>
      <w:r>
        <w:rPr>
          <w:rFonts w:ascii="仿宋_GB2312" w:eastAsia="仿宋_GB2312" w:hint="eastAsia"/>
          <w:sz w:val="32"/>
          <w:szCs w:val="32"/>
        </w:rPr>
        <w:t>1.全年氮肥（N）用量，大宗绿茶生产茶园：干茶产量低于200公斤/亩，氮肥（N）15-25公斤/亩；产量超过200公斤/亩，氮肥（N）25-30公斤/亩。</w:t>
      </w:r>
    </w:p>
    <w:p w14:paraId="4B2653A9"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2.磷肥（P</w:t>
      </w:r>
      <w:r>
        <w:rPr>
          <w:rFonts w:ascii="仿宋_GB2312" w:eastAsia="仿宋_GB2312" w:hint="eastAsia"/>
          <w:sz w:val="32"/>
          <w:szCs w:val="32"/>
          <w:vertAlign w:val="subscript"/>
        </w:rPr>
        <w:t>2</w:t>
      </w:r>
      <w:r>
        <w:rPr>
          <w:rFonts w:ascii="仿宋_GB2312" w:eastAsia="仿宋_GB2312" w:hint="eastAsia"/>
          <w:sz w:val="32"/>
          <w:szCs w:val="32"/>
        </w:rPr>
        <w:t>O</w:t>
      </w:r>
      <w:r>
        <w:rPr>
          <w:rFonts w:ascii="仿宋_GB2312" w:eastAsia="仿宋_GB2312" w:hint="eastAsia"/>
          <w:sz w:val="32"/>
          <w:szCs w:val="32"/>
          <w:vertAlign w:val="subscript"/>
        </w:rPr>
        <w:t>5</w:t>
      </w:r>
      <w:r>
        <w:rPr>
          <w:rFonts w:ascii="仿宋_GB2312" w:eastAsia="仿宋_GB2312" w:hint="eastAsia"/>
          <w:sz w:val="32"/>
          <w:szCs w:val="32"/>
        </w:rPr>
        <w:t>）4-6公斤/亩，钾肥（K</w:t>
      </w:r>
      <w:r>
        <w:rPr>
          <w:rFonts w:ascii="仿宋_GB2312" w:eastAsia="仿宋_GB2312" w:hint="eastAsia"/>
          <w:sz w:val="32"/>
          <w:szCs w:val="32"/>
          <w:vertAlign w:val="subscript"/>
        </w:rPr>
        <w:t>2</w:t>
      </w:r>
      <w:r>
        <w:rPr>
          <w:rFonts w:ascii="仿宋_GB2312" w:eastAsia="仿宋_GB2312" w:hint="eastAsia"/>
          <w:sz w:val="32"/>
          <w:szCs w:val="32"/>
        </w:rPr>
        <w:t>O）4-8公斤/亩，氮磷钾适宜比例（4-5）:1:（1-2）。推荐施肥量中包括有机肥养分。土壤磷、钾含量过高的茶园，适当减施磷、钾肥。推荐施用符合茶树养分需求特性和土壤条件的茶树专用配方肥，避免连续施用等养分比例的通用复合肥。</w:t>
      </w:r>
    </w:p>
    <w:p w14:paraId="186467A5"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3.高产茶园以及缺镁茶园，土壤施用镁肥（MgO）2-3公斤/亩或在萌发前间隔5-7天叶面喷施0.5%（</w:t>
      </w:r>
      <w:r>
        <w:rPr>
          <w:rFonts w:ascii="仿宋_GB2312" w:eastAsia="仿宋_GB2312"/>
          <w:sz w:val="32"/>
          <w:szCs w:val="32"/>
        </w:rPr>
        <w:t>W/V</w:t>
      </w:r>
      <w:r>
        <w:rPr>
          <w:rFonts w:ascii="仿宋_GB2312" w:eastAsia="仿宋_GB2312" w:hint="eastAsia"/>
          <w:sz w:val="32"/>
          <w:szCs w:val="32"/>
        </w:rPr>
        <w:t>）硫酸镁（</w:t>
      </w:r>
      <w:proofErr w:type="spellStart"/>
      <w:r>
        <w:rPr>
          <w:rFonts w:ascii="仿宋_GB2312" w:eastAsia="仿宋_GB2312"/>
          <w:sz w:val="32"/>
          <w:szCs w:val="32"/>
        </w:rPr>
        <w:t>MgSO</w:t>
      </w:r>
      <w:proofErr w:type="spellEnd"/>
      <w:r>
        <w:rPr>
          <w:rFonts w:ascii="仿宋_GB2312" w:eastAsia="仿宋_GB2312"/>
          <w:sz w:val="32"/>
          <w:szCs w:val="32"/>
        </w:rPr>
        <w:t>₄</w:t>
      </w:r>
      <w:r>
        <w:rPr>
          <w:rFonts w:ascii="仿宋_GB2312" w:eastAsia="仿宋_GB2312" w:hint="eastAsia"/>
          <w:sz w:val="32"/>
          <w:szCs w:val="32"/>
        </w:rPr>
        <w:t>·</w:t>
      </w:r>
      <w:r>
        <w:rPr>
          <w:rFonts w:ascii="仿宋_GB2312" w:eastAsia="仿宋_GB2312"/>
          <w:sz w:val="32"/>
          <w:szCs w:val="32"/>
        </w:rPr>
        <w:t>7H</w:t>
      </w:r>
      <w:r>
        <w:rPr>
          <w:rFonts w:ascii="仿宋_GB2312" w:eastAsia="仿宋_GB2312"/>
          <w:sz w:val="32"/>
          <w:szCs w:val="32"/>
        </w:rPr>
        <w:t>₂</w:t>
      </w:r>
      <w:r>
        <w:rPr>
          <w:rFonts w:ascii="仿宋_GB2312" w:eastAsia="仿宋_GB2312"/>
          <w:sz w:val="32"/>
          <w:szCs w:val="32"/>
        </w:rPr>
        <w:t>O</w:t>
      </w:r>
      <w:r>
        <w:rPr>
          <w:rFonts w:ascii="仿宋_GB2312" w:eastAsia="仿宋_GB2312" w:hint="eastAsia"/>
          <w:sz w:val="32"/>
          <w:szCs w:val="32"/>
        </w:rPr>
        <w:t>）2次。缺硫茶园选择含硫肥料如硫酸铵、硫酸钾、硫酸镁或硫酸钾型复合肥等。缺锌或缺硼茶园分别施用硫酸锌0.7-1公斤/亩、硼砂1公斤/亩。</w:t>
      </w:r>
    </w:p>
    <w:p w14:paraId="5EE8D1F9" w14:textId="77777777" w:rsidR="00A61E9F" w:rsidRDefault="00000000" w:rsidP="00935F04">
      <w:pPr>
        <w:spacing w:line="576" w:lineRule="exact"/>
        <w:ind w:firstLineChars="200" w:firstLine="640"/>
        <w:rPr>
          <w:rFonts w:ascii="仿宋_GB2312" w:eastAsia="仿宋_GB2312"/>
          <w:color w:val="FF0000"/>
          <w:sz w:val="32"/>
          <w:szCs w:val="32"/>
        </w:rPr>
      </w:pPr>
      <w:r>
        <w:rPr>
          <w:rFonts w:ascii="仿宋_GB2312" w:eastAsia="仿宋_GB2312" w:hint="eastAsia"/>
          <w:sz w:val="32"/>
          <w:szCs w:val="32"/>
        </w:rPr>
        <w:t>4.优化养分运筹，基肥和追肥配合施用。有机肥、磷、钾、镁、微量元素肥料全部做基肥施入，氮肥分基肥和追肥施用，基肥氮肥用量占全年的比例为30%-60%，其中只采春茶的茶园基肥比例为50%-60%，全年采摘茶园基肥比例为30%-40%。</w:t>
      </w:r>
    </w:p>
    <w:p w14:paraId="24CC1DAB"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lastRenderedPageBreak/>
        <w:t>5.</w:t>
      </w:r>
      <w:r>
        <w:rPr>
          <w:rFonts w:hint="eastAsia"/>
        </w:rPr>
        <w:t xml:space="preserve"> </w:t>
      </w:r>
      <w:r>
        <w:rPr>
          <w:rFonts w:ascii="仿宋_GB2312" w:eastAsia="仿宋_GB2312" w:hint="eastAsia"/>
          <w:sz w:val="32"/>
          <w:szCs w:val="32"/>
        </w:rPr>
        <w:t>秋季基肥施用适宜时期在茶季结束后的9月下旬至10月上旬，基肥结合深耕施用，深度15-20厘米。推荐（18-25）-8-12-2（N-P</w:t>
      </w:r>
      <w:r>
        <w:rPr>
          <w:rFonts w:ascii="仿宋_GB2312" w:eastAsia="仿宋_GB2312" w:hint="eastAsia"/>
          <w:sz w:val="32"/>
          <w:szCs w:val="32"/>
          <w:vertAlign w:val="subscript"/>
        </w:rPr>
        <w:t>2</w:t>
      </w:r>
      <w:r>
        <w:rPr>
          <w:rFonts w:ascii="仿宋_GB2312" w:eastAsia="仿宋_GB2312" w:hint="eastAsia"/>
          <w:sz w:val="32"/>
          <w:szCs w:val="32"/>
        </w:rPr>
        <w:t>O</w:t>
      </w:r>
      <w:r>
        <w:rPr>
          <w:rFonts w:ascii="仿宋_GB2312" w:eastAsia="仿宋_GB2312" w:hint="eastAsia"/>
          <w:sz w:val="32"/>
          <w:szCs w:val="32"/>
          <w:vertAlign w:val="subscript"/>
        </w:rPr>
        <w:t>5</w:t>
      </w:r>
      <w:r>
        <w:rPr>
          <w:rFonts w:ascii="仿宋_GB2312" w:eastAsia="仿宋_GB2312" w:hint="eastAsia"/>
          <w:sz w:val="32"/>
          <w:szCs w:val="32"/>
        </w:rPr>
        <w:t>-K</w:t>
      </w:r>
      <w:r>
        <w:rPr>
          <w:rFonts w:ascii="仿宋_GB2312" w:eastAsia="仿宋_GB2312" w:hint="eastAsia"/>
          <w:sz w:val="32"/>
          <w:szCs w:val="32"/>
          <w:vertAlign w:val="subscript"/>
        </w:rPr>
        <w:t>2</w:t>
      </w:r>
      <w:r>
        <w:rPr>
          <w:rFonts w:ascii="仿宋_GB2312" w:eastAsia="仿宋_GB2312" w:hint="eastAsia"/>
          <w:sz w:val="32"/>
          <w:szCs w:val="32"/>
        </w:rPr>
        <w:t>O-MgO）或相近配方专用肥，与有机肥和氮肥配合作为基肥施用，其中专用配方肥用量30-50公斤/亩，饼肥75-100公斤/亩或商品有机肥200-300公斤/亩。</w:t>
      </w:r>
    </w:p>
    <w:p w14:paraId="459AE54A"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6.追肥以速效氮肥为主，追肥时期依据茶树生长和采茶状况来确定。春茶追肥在采春茶前30-50天施入，夏茶追肥在春茶结束夏茶开始生长之前进行，一般在5月中下旬至6月上旬，秋茶追肥在夏茶结束之后进行，一般在7月中下旬至8月初施用。追肥在茶行间（树冠外缘）开浅沟施用，施用后盖土，或者地表撒施结合浅旋耕，</w:t>
      </w:r>
      <w:proofErr w:type="gramStart"/>
      <w:r>
        <w:rPr>
          <w:rFonts w:ascii="仿宋_GB2312" w:eastAsia="仿宋_GB2312" w:hint="eastAsia"/>
          <w:sz w:val="32"/>
          <w:szCs w:val="32"/>
        </w:rPr>
        <w:t>耕深</w:t>
      </w:r>
      <w:proofErr w:type="gramEnd"/>
      <w:r>
        <w:rPr>
          <w:rFonts w:ascii="仿宋_GB2312" w:eastAsia="仿宋_GB2312" w:hint="eastAsia"/>
          <w:sz w:val="32"/>
          <w:szCs w:val="32"/>
        </w:rPr>
        <w:t>5-10厘米，肥土充分混合，防止淋失。</w:t>
      </w:r>
    </w:p>
    <w:p w14:paraId="625B1C40" w14:textId="77777777" w:rsidR="00A61E9F" w:rsidRDefault="00000000" w:rsidP="00935F04">
      <w:pPr>
        <w:spacing w:line="576" w:lineRule="exact"/>
        <w:ind w:firstLineChars="200" w:firstLine="640"/>
        <w:rPr>
          <w:rFonts w:ascii="仿宋_GB2312" w:eastAsia="仿宋_GB2312"/>
          <w:sz w:val="32"/>
          <w:szCs w:val="32"/>
        </w:rPr>
      </w:pPr>
      <w:r>
        <w:rPr>
          <w:rFonts w:ascii="仿宋_GB2312" w:eastAsia="仿宋_GB2312" w:hint="eastAsia"/>
          <w:sz w:val="32"/>
          <w:szCs w:val="32"/>
        </w:rPr>
        <w:t>7.为了增强茶树储藏养分，提高春茶产量和品质，在茶树地上部休眠期间（12月至翌年春茶萌动前），可以喷施氨基酸叶面肥2-4次，每次间隔两周，每次氨基酸叶面肥（氨基酸含量≥100克/升）用量0.5-1.0升/亩。无人机喷施时的飞行高度宜为1.5-2.0米。</w:t>
      </w:r>
    </w:p>
    <w:p w14:paraId="1812F542" w14:textId="044A2C4B" w:rsidR="00A61E9F" w:rsidRPr="00D31F45" w:rsidRDefault="00000000" w:rsidP="00D31F45">
      <w:pPr>
        <w:spacing w:line="576" w:lineRule="exact"/>
        <w:ind w:firstLineChars="200" w:firstLine="640"/>
        <w:rPr>
          <w:rFonts w:ascii="仿宋_GB2312" w:eastAsia="仿宋_GB2312"/>
          <w:sz w:val="32"/>
          <w:szCs w:val="32"/>
        </w:rPr>
      </w:pPr>
      <w:r>
        <w:rPr>
          <w:rFonts w:ascii="仿宋_GB2312" w:eastAsia="仿宋_GB2312" w:hint="eastAsia"/>
          <w:sz w:val="32"/>
          <w:szCs w:val="32"/>
        </w:rPr>
        <w:t>8.受中轻度干旱影响的茶园，旱情缓解后及时轻修剪，喷施含氨基酸</w:t>
      </w:r>
      <w:proofErr w:type="gramStart"/>
      <w:r>
        <w:rPr>
          <w:rFonts w:ascii="仿宋_GB2312" w:eastAsia="仿宋_GB2312" w:hint="eastAsia"/>
          <w:sz w:val="32"/>
          <w:szCs w:val="32"/>
        </w:rPr>
        <w:t>水溶肥等</w:t>
      </w:r>
      <w:proofErr w:type="gramEnd"/>
      <w:r>
        <w:rPr>
          <w:rFonts w:ascii="仿宋_GB2312" w:eastAsia="仿宋_GB2312" w:hint="eastAsia"/>
          <w:sz w:val="32"/>
          <w:szCs w:val="32"/>
        </w:rPr>
        <w:t>营养型叶面肥，促进茶树恢复长势，适当提前施用基肥。排水不畅或强降水后积水的茶园，排除积水待土壤含水量为田间持水量的60%左右后，进行深耕或深翻（深度30-40厘米）。受干旱或积水影响茶园结合深耕施用以畜禽粪便为原料的腐熟有机肥，其用量可提高至前述用量的1.5-2倍。</w:t>
      </w:r>
    </w:p>
    <w:sectPr w:rsidR="00A61E9F" w:rsidRPr="00D31F45" w:rsidSect="00935F04">
      <w:footerReference w:type="even" r:id="rId8"/>
      <w:footerReference w:type="default" r:id="rId9"/>
      <w:pgSz w:w="11906" w:h="16838" w:code="9"/>
      <w:pgMar w:top="2098" w:right="1474" w:bottom="1985" w:left="1588" w:header="851" w:footer="1276"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E73E1" w14:textId="77777777" w:rsidR="00734ECD" w:rsidRDefault="00734ECD" w:rsidP="00935F04">
      <w:r>
        <w:separator/>
      </w:r>
    </w:p>
  </w:endnote>
  <w:endnote w:type="continuationSeparator" w:id="0">
    <w:p w14:paraId="6B811052" w14:textId="77777777" w:rsidR="00734ECD" w:rsidRDefault="00734ECD" w:rsidP="00935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FZXBSK--GBK1-0">
    <w:altName w:val="Segoe Print"/>
    <w:charset w:val="86"/>
    <w:family w:val="auto"/>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843778"/>
      <w:docPartObj>
        <w:docPartGallery w:val="Page Numbers (Bottom of Page)"/>
        <w:docPartUnique/>
      </w:docPartObj>
    </w:sdtPr>
    <w:sdtContent>
      <w:p w14:paraId="295D770C" w14:textId="5BB927B4" w:rsidR="00935F04" w:rsidRDefault="00935F04">
        <w:pPr>
          <w:pStyle w:val="a5"/>
          <w:rPr>
            <w:rFonts w:hint="eastAsia"/>
          </w:rPr>
        </w:pPr>
        <w:r w:rsidRPr="00935F04">
          <w:rPr>
            <w:rFonts w:ascii="宋体" w:eastAsia="宋体" w:hAnsi="宋体"/>
            <w:sz w:val="28"/>
            <w:szCs w:val="28"/>
          </w:rPr>
          <w:fldChar w:fldCharType="begin"/>
        </w:r>
        <w:r w:rsidRPr="00935F04">
          <w:rPr>
            <w:rFonts w:ascii="宋体" w:eastAsia="宋体" w:hAnsi="宋体"/>
            <w:sz w:val="28"/>
            <w:szCs w:val="28"/>
          </w:rPr>
          <w:instrText>PAGE   \* MERGEFORMAT</w:instrText>
        </w:r>
        <w:r w:rsidRPr="00935F04">
          <w:rPr>
            <w:rFonts w:ascii="宋体" w:eastAsia="宋体" w:hAnsi="宋体"/>
            <w:sz w:val="28"/>
            <w:szCs w:val="28"/>
          </w:rPr>
          <w:fldChar w:fldCharType="separate"/>
        </w:r>
        <w:r w:rsidRPr="00935F04">
          <w:rPr>
            <w:rFonts w:ascii="宋体" w:eastAsia="宋体" w:hAnsi="宋体"/>
            <w:sz w:val="28"/>
            <w:szCs w:val="28"/>
            <w:lang w:val="zh-CN"/>
          </w:rPr>
          <w:t>2</w:t>
        </w:r>
        <w:r w:rsidRPr="00935F04">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772726"/>
      <w:docPartObj>
        <w:docPartGallery w:val="Page Numbers (Bottom of Page)"/>
        <w:docPartUnique/>
      </w:docPartObj>
    </w:sdtPr>
    <w:sdtContent>
      <w:p w14:paraId="2396E213" w14:textId="33E8DCC1" w:rsidR="00935F04" w:rsidRDefault="00935F04">
        <w:pPr>
          <w:pStyle w:val="a5"/>
          <w:jc w:val="right"/>
          <w:rPr>
            <w:rFonts w:hint="eastAsia"/>
          </w:rPr>
        </w:pPr>
        <w:r w:rsidRPr="00935F04">
          <w:rPr>
            <w:rFonts w:ascii="宋体" w:eastAsia="宋体" w:hAnsi="宋体"/>
            <w:sz w:val="28"/>
            <w:szCs w:val="28"/>
          </w:rPr>
          <w:fldChar w:fldCharType="begin"/>
        </w:r>
        <w:r w:rsidRPr="00935F04">
          <w:rPr>
            <w:rFonts w:ascii="宋体" w:eastAsia="宋体" w:hAnsi="宋体"/>
            <w:sz w:val="28"/>
            <w:szCs w:val="28"/>
          </w:rPr>
          <w:instrText>PAGE   \* MERGEFORMAT</w:instrText>
        </w:r>
        <w:r w:rsidRPr="00935F04">
          <w:rPr>
            <w:rFonts w:ascii="宋体" w:eastAsia="宋体" w:hAnsi="宋体"/>
            <w:sz w:val="28"/>
            <w:szCs w:val="28"/>
          </w:rPr>
          <w:fldChar w:fldCharType="separate"/>
        </w:r>
        <w:r w:rsidRPr="00935F04">
          <w:rPr>
            <w:rFonts w:ascii="宋体" w:eastAsia="宋体" w:hAnsi="宋体"/>
            <w:sz w:val="28"/>
            <w:szCs w:val="28"/>
            <w:lang w:val="zh-CN"/>
          </w:rPr>
          <w:t>2</w:t>
        </w:r>
        <w:r w:rsidRPr="00935F04">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BF818" w14:textId="77777777" w:rsidR="00734ECD" w:rsidRDefault="00734ECD" w:rsidP="00935F04">
      <w:r>
        <w:separator/>
      </w:r>
    </w:p>
  </w:footnote>
  <w:footnote w:type="continuationSeparator" w:id="0">
    <w:p w14:paraId="74D34498" w14:textId="77777777" w:rsidR="00734ECD" w:rsidRDefault="00734ECD" w:rsidP="00935F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61"/>
    <w:rsid w:val="000B3952"/>
    <w:rsid w:val="00145EC6"/>
    <w:rsid w:val="002D0561"/>
    <w:rsid w:val="002E1262"/>
    <w:rsid w:val="002E1FC6"/>
    <w:rsid w:val="002E54D1"/>
    <w:rsid w:val="00325A93"/>
    <w:rsid w:val="00330E1C"/>
    <w:rsid w:val="003E63DC"/>
    <w:rsid w:val="0042715B"/>
    <w:rsid w:val="00440C9A"/>
    <w:rsid w:val="004B4A15"/>
    <w:rsid w:val="00520632"/>
    <w:rsid w:val="00554DC9"/>
    <w:rsid w:val="00652FCF"/>
    <w:rsid w:val="007048E1"/>
    <w:rsid w:val="00734ECD"/>
    <w:rsid w:val="007454BF"/>
    <w:rsid w:val="00801EFB"/>
    <w:rsid w:val="008265E0"/>
    <w:rsid w:val="00935F04"/>
    <w:rsid w:val="00A24FC6"/>
    <w:rsid w:val="00A61E9F"/>
    <w:rsid w:val="00AF140A"/>
    <w:rsid w:val="00B54644"/>
    <w:rsid w:val="00B75F2C"/>
    <w:rsid w:val="00B93CD9"/>
    <w:rsid w:val="00C1724B"/>
    <w:rsid w:val="00C81101"/>
    <w:rsid w:val="00C941C7"/>
    <w:rsid w:val="00CD444F"/>
    <w:rsid w:val="00CF661E"/>
    <w:rsid w:val="00D31F45"/>
    <w:rsid w:val="00D74938"/>
    <w:rsid w:val="00D83936"/>
    <w:rsid w:val="00E44F72"/>
    <w:rsid w:val="00F87B1A"/>
    <w:rsid w:val="0EE45262"/>
    <w:rsid w:val="1A7E4804"/>
    <w:rsid w:val="1C8403BB"/>
    <w:rsid w:val="6BA93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1A6AC"/>
  <w15:docId w15:val="{31BE306C-9294-49C2-AFFD-4F47E63D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2F5496" w:themeColor="accent1" w:themeShade="BF"/>
      <w:szCs w:val="22"/>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nhideWhenUsed/>
    <w:qFormat/>
    <w:pP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rPr>
      <w:rFonts w:asciiTheme="minorHAnsi" w:eastAsiaTheme="minorEastAsia" w:hAnsiTheme="minorHAnsi" w:cstheme="minorBidi"/>
      <w:szCs w:val="22"/>
    </w:r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qFormat/>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5</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15</cp:revision>
  <dcterms:created xsi:type="dcterms:W3CDTF">2026-09-17T03:44:00Z</dcterms:created>
  <dcterms:modified xsi:type="dcterms:W3CDTF">2026-09-20T02:18:00Z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eyJoZGlkIjoiZDg0MDE0YWQxNDYzZDljMDFjMWI4ZjIxNGNjZTY0NDciLCJ1c2VySWQiOiI2MzIzMDMxMTAifQ==</vt:lpwstr>
  </property>
  <property fmtid="{D5CDD505-2E9C-101B-9397-08002B2CF9AE}" pid="3" name="KSOProductBuildVer">
    <vt:lpwstr>2052-12.1.0.28505</vt:lpwstr>
  </property>
  <property fmtid="{D5CDD505-2E9C-101B-9397-08002B2CF9AE}" pid="4" name="ICV">
    <vt:lpwstr>E864840CCF31449190290AF1B219B199_13</vt:lpwstr>
  </property>
</Properties>
</file>