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ascii="方正小标宋_GBK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青岛市农业农村局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ascii="方正小标宋_GBK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202</w:t>
      </w: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left"/>
        <w:textAlignment w:val="auto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根据《中华人民共和国政府信息公开条例》、国务院办公厅政府信息与政务公开办公室《关于政府信息公开工作年度报告有关事项的通知》（国办公开办函〔2019〕60号）、青岛市人民政府办公厅《关于报送202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年政府信息公开工作年度报告的通知》部署要求，特向社会公布本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年度政府信息公开工作年度报告。本报告中所列数据的统计期限自202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年1月1日至202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年12月31日。本报告的电子版可在青岛政务网</w:t>
      </w:r>
      <w:r>
        <w:rPr>
          <w:rFonts w:hint="eastAsia" w:ascii="仿宋_GB2312" w:hAnsi="Arial" w:cs="Arial" w:eastAsiaTheme="minorEastAsia"/>
          <w:spacing w:val="-28"/>
          <w:sz w:val="32"/>
          <w:szCs w:val="32"/>
        </w:rPr>
        <w:t>（</w:t>
      </w:r>
      <w:r>
        <w:rPr>
          <w:rFonts w:hint="eastAsia" w:ascii="仿宋_GB2312" w:hAnsi="Arial" w:cs="Arial" w:eastAsiaTheme="minorEastAsia"/>
          <w:spacing w:val="-28"/>
          <w:sz w:val="32"/>
          <w:szCs w:val="32"/>
        </w:rPr>
        <w:fldChar w:fldCharType="begin"/>
      </w:r>
      <w:r>
        <w:rPr>
          <w:rFonts w:hint="eastAsia" w:ascii="仿宋_GB2312" w:hAnsi="Arial" w:cs="Arial" w:eastAsiaTheme="minorEastAsia"/>
          <w:spacing w:val="-28"/>
          <w:sz w:val="32"/>
          <w:szCs w:val="32"/>
        </w:rPr>
        <w:instrText xml:space="preserve"> HYPERLINK "http://www.qingdao.gov.cn" </w:instrText>
      </w:r>
      <w:r>
        <w:rPr>
          <w:rFonts w:hint="eastAsia" w:ascii="仿宋_GB2312" w:hAnsi="Arial" w:cs="Arial" w:eastAsiaTheme="minorEastAsia"/>
          <w:spacing w:val="-28"/>
          <w:sz w:val="32"/>
          <w:szCs w:val="32"/>
        </w:rPr>
        <w:fldChar w:fldCharType="separate"/>
      </w:r>
      <w:r>
        <w:rPr>
          <w:rStyle w:val="7"/>
          <w:rFonts w:hint="eastAsia" w:ascii="仿宋_GB2312" w:hAnsi="Arial" w:cs="Arial" w:eastAsiaTheme="minorEastAsia"/>
          <w:spacing w:val="-28"/>
          <w:sz w:val="32"/>
          <w:szCs w:val="32"/>
        </w:rPr>
        <w:t>http://www.qingdao.gov.cn</w:t>
      </w:r>
      <w:r>
        <w:rPr>
          <w:rFonts w:hint="eastAsia" w:ascii="仿宋_GB2312" w:hAnsi="Arial" w:cs="Arial" w:eastAsiaTheme="minorEastAsia"/>
          <w:spacing w:val="-28"/>
          <w:sz w:val="32"/>
          <w:szCs w:val="32"/>
        </w:rPr>
        <w:fldChar w:fldCharType="end"/>
      </w:r>
      <w:r>
        <w:rPr>
          <w:rFonts w:hint="eastAsia" w:ascii="仿宋_GB2312" w:hAnsi="Arial" w:cs="Arial" w:eastAsiaTheme="minorEastAsia"/>
          <w:spacing w:val="-28"/>
          <w:sz w:val="32"/>
          <w:szCs w:val="32"/>
        </w:rPr>
        <w:t>）</w:t>
      </w:r>
      <w:r>
        <w:rPr>
          <w:rFonts w:hint="eastAsia" w:ascii="仿宋_GB2312" w:hAnsi="Arial" w:cs="Arial"/>
          <w:sz w:val="32"/>
          <w:szCs w:val="32"/>
          <w:lang w:eastAsia="zh-CN"/>
        </w:rPr>
        <w:t>及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青岛农业信息网</w:t>
      </w:r>
      <w:r>
        <w:rPr>
          <w:rFonts w:hint="eastAsia" w:ascii="仿宋_GB2312" w:hAnsi="Times New Roman" w:eastAsia="仿宋_GB2312" w:cs="Times New Roman"/>
          <w:color w:val="000000"/>
          <w:spacing w:val="-28"/>
          <w:sz w:val="32"/>
          <w:szCs w:val="32"/>
          <w:lang w:eastAsia="zh-CN"/>
        </w:rPr>
        <w:t>（</w:t>
      </w:r>
      <w:r>
        <w:rPr>
          <w:rFonts w:hint="eastAsia" w:ascii="仿宋_GB2312" w:hAnsi="Arial" w:cs="Arial"/>
          <w:spacing w:val="-28"/>
          <w:sz w:val="32"/>
          <w:szCs w:val="32"/>
        </w:rPr>
        <w:fldChar w:fldCharType="begin"/>
      </w:r>
      <w:r>
        <w:rPr>
          <w:rFonts w:hint="eastAsia" w:ascii="仿宋_GB2312" w:hAnsi="Arial" w:cs="Arial"/>
          <w:spacing w:val="-28"/>
          <w:sz w:val="32"/>
          <w:szCs w:val="32"/>
        </w:rPr>
        <w:instrText xml:space="preserve"> HYPERLINK "http://nw.qingdao.gov.cn" </w:instrText>
      </w:r>
      <w:r>
        <w:rPr>
          <w:rFonts w:hint="eastAsia" w:ascii="仿宋_GB2312" w:hAnsi="Arial" w:cs="Arial"/>
          <w:spacing w:val="-28"/>
          <w:sz w:val="32"/>
          <w:szCs w:val="32"/>
        </w:rPr>
        <w:fldChar w:fldCharType="separate"/>
      </w:r>
      <w:r>
        <w:rPr>
          <w:rStyle w:val="7"/>
          <w:rFonts w:hint="eastAsia" w:ascii="仿宋_GB2312" w:hAnsi="Arial" w:cs="Arial"/>
          <w:spacing w:val="-28"/>
          <w:sz w:val="32"/>
          <w:szCs w:val="32"/>
        </w:rPr>
        <w:t>http://nw.qingdao.gov.cn</w:t>
      </w:r>
      <w:r>
        <w:rPr>
          <w:rFonts w:hint="eastAsia" w:ascii="仿宋_GB2312" w:hAnsi="Arial" w:cs="Arial"/>
          <w:spacing w:val="-28"/>
          <w:sz w:val="32"/>
          <w:szCs w:val="32"/>
        </w:rPr>
        <w:fldChar w:fldCharType="end"/>
      </w:r>
      <w:r>
        <w:rPr>
          <w:rFonts w:hint="eastAsia" w:ascii="仿宋_GB2312" w:hAnsi="Times New Roman" w:eastAsia="仿宋_GB2312" w:cs="Times New Roman"/>
          <w:color w:val="000000"/>
          <w:spacing w:val="-28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下载。如对本报告有任何疑问，请与青岛市农业农村局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政府信息公开领导小组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办公室联系。地址：青岛市市南区燕儿岛路10号，邮编：266071，电话：0532-66999656，电子邮箱：qdnw@qd.shandong.cn。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both"/>
        <w:textAlignment w:val="auto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　　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rPr>
          <w:rFonts w:hint="eastAsia" w:ascii="仿宋_GB2312" w:hAnsi="Helvetica" w:eastAsia="仿宋_GB2312" w:cs="仿宋_GB2312"/>
          <w:i w:val="0"/>
          <w:iCs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2021年，市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农业农村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局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认真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落实《国务院办公厅关于印发2021年政务公开工作要点的通知》（国办发〔2021〕12号）、《关于印发2021年青岛市政务公开工作要点的通知》（青政办字〔2021〕39号）等部署要求，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围绕公众关切和农业农村工作实际，</w:t>
      </w:r>
      <w:r>
        <w:rPr>
          <w:rFonts w:hint="eastAsia" w:ascii="仿宋_GB2312" w:hAnsi="Helvetica" w:eastAsia="仿宋_GB2312" w:cs="仿宋_GB2312"/>
          <w:i w:val="0"/>
          <w:iCs w:val="0"/>
          <w:sz w:val="32"/>
          <w:szCs w:val="32"/>
        </w:rPr>
        <w:t>调整优化公开目录，深入拓展公开渠道，持续丰富公开形式，及时回应社会关切，不断提升政府信息公开工作力度和实效，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切实助力我市“放管服”改革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与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营商环境优化，</w:t>
      </w:r>
      <w:r>
        <w:rPr>
          <w:rFonts w:hint="eastAsia" w:ascii="仿宋_GB2312" w:eastAsia="仿宋_GB2312"/>
          <w:sz w:val="32"/>
          <w:szCs w:val="32"/>
        </w:rPr>
        <w:t>以公开强监督、促落实、优服务</w:t>
      </w:r>
      <w:r>
        <w:rPr>
          <w:rFonts w:hint="eastAsia" w:ascii="仿宋_GB2312" w:eastAsia="仿宋_GB2312"/>
          <w:sz w:val="32"/>
          <w:szCs w:val="32"/>
          <w:lang w:eastAsia="zh-CN"/>
        </w:rPr>
        <w:t>，进一步增强人民群众获得感和幸福感。工作经验做法在</w:t>
      </w:r>
      <w:r>
        <w:rPr>
          <w:rFonts w:hint="eastAsia" w:ascii="仿宋_GB2312" w:hAnsi="Helvetica" w:eastAsia="仿宋_GB2312" w:cs="仿宋_GB2312"/>
          <w:i w:val="0"/>
          <w:iCs w:val="0"/>
          <w:sz w:val="32"/>
          <w:szCs w:val="32"/>
        </w:rPr>
        <w:t>全市政务公开领导小组</w:t>
      </w:r>
      <w:r>
        <w:rPr>
          <w:rFonts w:hint="eastAsia" w:ascii="仿宋_GB2312" w:eastAsia="仿宋_GB2312"/>
          <w:sz w:val="32"/>
          <w:szCs w:val="32"/>
          <w:lang w:eastAsia="zh-CN"/>
        </w:rPr>
        <w:t>视频会议</w:t>
      </w:r>
      <w:r>
        <w:rPr>
          <w:rFonts w:hint="eastAsia" w:ascii="仿宋_GB2312" w:hAnsi="Helvetica" w:eastAsia="仿宋_GB2312" w:cs="仿宋_GB2312"/>
          <w:i w:val="0"/>
          <w:iCs w:val="0"/>
          <w:sz w:val="32"/>
          <w:szCs w:val="32"/>
          <w:lang w:eastAsia="zh-CN"/>
        </w:rPr>
        <w:t>上作典型交流。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黑体" w:eastAsia="楷体_GB2312" w:cs="Times New Roman"/>
          <w:color w:val="000000"/>
          <w:sz w:val="32"/>
          <w:szCs w:val="32"/>
          <w:lang w:eastAsia="zh-CN"/>
        </w:rPr>
        <w:t>（一）</w:t>
      </w:r>
      <w:r>
        <w:rPr>
          <w:rFonts w:hint="eastAsia" w:ascii="楷体_GB2312" w:hAnsi="黑体" w:eastAsia="楷体_GB2312" w:cs="Times New Roman"/>
          <w:color w:val="000000"/>
          <w:sz w:val="32"/>
          <w:szCs w:val="32"/>
        </w:rPr>
        <w:t>主动公开</w:t>
      </w:r>
      <w:r>
        <w:rPr>
          <w:rFonts w:hint="eastAsia" w:ascii="楷体_GB2312" w:hAnsi="黑体" w:eastAsia="楷体_GB2312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一是强化基本信息公开，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坚持以公开为常态、不公开为例外，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更新完善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主动公开基本目录，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严格落实政府信息日常发布管理办法，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在青岛政务网主动公开局机构信息、公文法规、政策解读、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会议公开、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规划计划、财政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财务、人事任免、行政权力、工作动态等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信息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约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1200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篇次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二是强化政策解读。积极创新解读方式和内容，对涉及面广、社会关注度高的政策文件，坚持文件与解读同步起草、同步审批、同步发布。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2021年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召开新闻发布会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解读政策并通报相关工作情况共计5期次（主要领导出席1次）。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通过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图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（表）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文形式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视频形式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（专家线上直播）、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简明问答、报纸报刊等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媒体形式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解读政策文件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15篇次。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三是深化重点领域信息公开。围绕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全面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实施乡村振兴战略，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加快打造乡村振兴齐鲁样板先行区，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突出抓好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乡村产业发展、农村改革、美丽乡村建设、巩固拓展脱贫攻坚成果同乡村振兴有效衔接等方面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信息公开。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黑体" w:eastAsia="楷体_GB2312" w:cs="Times New Roman"/>
          <w:color w:val="000000"/>
          <w:sz w:val="32"/>
          <w:szCs w:val="32"/>
        </w:rPr>
        <w:t>（二）依申请公开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年度共受理政府信息公开申请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件，已全部在规定期限内向申请人答复告知。从申请人属性来看，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件为自然人提出申请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1件申请为企业法人提出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。从办理结果看，根据《条例》规定，对本单位受理的申请，同意公开的2件，占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14.3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部分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公开的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件，占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21.4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无法提供的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件，占50%，其中，本机关不掌握相关政府信息的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件，占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85.7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%，没有现成信息需要另行制作的1件，占1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重复申请不予处理的2件，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14.3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本年度本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未向政府信息公开申请人收取任何费用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完全免费提供信息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。本年度本单位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因政府信息公开原因提起行政复议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行政复议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结果维持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，未发生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行政诉讼情况。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黑体" w:eastAsia="楷体_GB2312" w:cs="Times New Roman"/>
          <w:color w:val="000000"/>
          <w:sz w:val="32"/>
          <w:szCs w:val="32"/>
        </w:rPr>
        <w:t>（三）政府信息管理</w:t>
      </w:r>
      <w:r>
        <w:rPr>
          <w:rFonts w:hint="eastAsia" w:ascii="楷体_GB2312" w:hAnsi="黑体" w:eastAsia="楷体_GB2312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一是加强组织领导。成立了局主要领导任组长的政务公开领导小组，根据</w:t>
      </w:r>
      <w:r>
        <w:rPr>
          <w:rFonts w:hint="eastAsia" w:ascii="仿宋_GB2312" w:eastAsia="仿宋_GB2312"/>
          <w:sz w:val="32"/>
          <w:szCs w:val="32"/>
          <w:lang w:eastAsia="zh-CN"/>
        </w:rPr>
        <w:t>职责分工</w:t>
      </w:r>
      <w:r>
        <w:rPr>
          <w:rFonts w:hint="eastAsia" w:ascii="仿宋_GB2312" w:eastAsia="仿宋_GB2312"/>
          <w:sz w:val="32"/>
          <w:szCs w:val="32"/>
        </w:rPr>
        <w:t>及时调整了局政务公开领导小组成员人员名单，局党组会</w:t>
      </w:r>
      <w:r>
        <w:rPr>
          <w:rFonts w:hint="eastAsia" w:ascii="仿宋_GB2312" w:eastAsia="仿宋_GB2312"/>
          <w:sz w:val="32"/>
          <w:szCs w:val="32"/>
          <w:lang w:eastAsia="zh-CN"/>
        </w:rPr>
        <w:t>专题</w:t>
      </w:r>
      <w:r>
        <w:rPr>
          <w:rFonts w:hint="eastAsia" w:ascii="仿宋_GB2312" w:eastAsia="仿宋_GB2312"/>
          <w:sz w:val="32"/>
          <w:szCs w:val="32"/>
        </w:rPr>
        <w:t>研究</w:t>
      </w:r>
      <w:r>
        <w:rPr>
          <w:rFonts w:hint="eastAsia" w:ascii="仿宋_GB2312" w:eastAsia="仿宋_GB2312"/>
          <w:sz w:val="32"/>
          <w:szCs w:val="32"/>
          <w:lang w:eastAsia="zh-CN"/>
        </w:rPr>
        <w:t>政府</w:t>
      </w:r>
      <w:r>
        <w:rPr>
          <w:rFonts w:hint="eastAsia" w:ascii="仿宋_GB2312" w:eastAsia="仿宋_GB2312"/>
          <w:sz w:val="32"/>
          <w:szCs w:val="32"/>
        </w:rPr>
        <w:t>信息公开工作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1次</w:t>
      </w:r>
      <w:r>
        <w:rPr>
          <w:rFonts w:hint="eastAsia" w:ascii="仿宋_GB2312" w:eastAsia="仿宋_GB2312"/>
          <w:sz w:val="32"/>
          <w:szCs w:val="32"/>
        </w:rPr>
        <w:t>，组织开展业务培训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3期次</w:t>
      </w:r>
      <w:r>
        <w:rPr>
          <w:rFonts w:hint="eastAsia" w:ascii="仿宋_GB2312" w:eastAsia="仿宋_GB2312"/>
          <w:sz w:val="32"/>
          <w:szCs w:val="32"/>
        </w:rPr>
        <w:t>，围绕</w:t>
      </w:r>
      <w:r>
        <w:rPr>
          <w:rFonts w:hint="eastAsia" w:ascii="仿宋_GB2312" w:eastAsia="仿宋_GB2312"/>
          <w:sz w:val="32"/>
          <w:szCs w:val="32"/>
          <w:lang w:eastAsia="zh-CN"/>
        </w:rPr>
        <w:t>、美丽乡村建设、</w:t>
      </w:r>
      <w:r>
        <w:rPr>
          <w:rFonts w:hint="eastAsia" w:ascii="仿宋_GB2312" w:eastAsia="仿宋_GB2312"/>
          <w:sz w:val="32"/>
          <w:szCs w:val="32"/>
        </w:rPr>
        <w:t>乡村产业发展、农村改革等民生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全面梳理、科学归类、精准交办。二是完善推进机制。制发《202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政务公开工作方案》，把政务“五公开”纳入办文办会办事程序，明确办理内容、办理流程、测评考核和相关落实要求，健全保密审查制度，严格落实政府信息公开属性源头认定机制，建立“主要领导全面统筹、分管领导分工负责、办公室协调督导、责任处室具体落实”工作推进机制，确保</w:t>
      </w:r>
      <w:r>
        <w:rPr>
          <w:rFonts w:hint="eastAsia" w:ascii="仿宋_GB2312" w:eastAsia="仿宋_GB2312"/>
          <w:sz w:val="32"/>
          <w:szCs w:val="32"/>
          <w:lang w:eastAsia="zh-CN"/>
        </w:rPr>
        <w:t>各项</w:t>
      </w:r>
      <w:r>
        <w:rPr>
          <w:rFonts w:hint="eastAsia" w:ascii="仿宋_GB2312" w:eastAsia="仿宋_GB2312"/>
          <w:sz w:val="32"/>
          <w:szCs w:val="32"/>
        </w:rPr>
        <w:t>工作有序推进。三是压实工作责任。做到“五个明确”，即：明确分管领导、明确责任处室、明确承办人员、明确办理要点、明确完成时限，推进信息公开工作</w:t>
      </w:r>
      <w:r>
        <w:rPr>
          <w:rFonts w:hint="eastAsia" w:ascii="仿宋_GB2312" w:eastAsia="仿宋_GB2312"/>
          <w:sz w:val="32"/>
          <w:szCs w:val="32"/>
          <w:lang w:eastAsia="zh-CN"/>
        </w:rPr>
        <w:t>依法依规</w:t>
      </w:r>
      <w:r>
        <w:rPr>
          <w:rFonts w:hint="eastAsia" w:ascii="仿宋_GB2312" w:eastAsia="仿宋_GB2312"/>
          <w:sz w:val="32"/>
          <w:szCs w:val="32"/>
        </w:rPr>
        <w:t>落细落实。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5"/>
        <w:jc w:val="both"/>
        <w:textAlignment w:val="auto"/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楷体_GB2312" w:hAnsi="黑体" w:eastAsia="楷体_GB2312" w:cs="Times New Roman"/>
          <w:color w:val="000000"/>
          <w:sz w:val="32"/>
          <w:szCs w:val="32"/>
        </w:rPr>
        <w:t>（四）政府信息平台建设</w:t>
      </w:r>
      <w:r>
        <w:rPr>
          <w:rFonts w:hint="eastAsia" w:ascii="楷体_GB2312" w:hAnsi="黑体" w:eastAsia="楷体_GB2312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一是持续完善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网站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建设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结合</w:t>
      </w:r>
      <w:r>
        <w:rPr>
          <w:rFonts w:hint="eastAsia" w:ascii="仿宋_GB2312" w:eastAsia="仿宋_GB2312"/>
          <w:sz w:val="32"/>
          <w:szCs w:val="32"/>
          <w:lang w:eastAsia="zh-CN"/>
        </w:rPr>
        <w:t>年度</w:t>
      </w:r>
      <w:r>
        <w:rPr>
          <w:rFonts w:hint="eastAsia" w:ascii="仿宋_GB2312" w:eastAsia="仿宋_GB2312"/>
          <w:sz w:val="32"/>
          <w:szCs w:val="32"/>
        </w:rPr>
        <w:t>重点工作</w:t>
      </w:r>
      <w:r>
        <w:rPr>
          <w:rFonts w:hint="eastAsia" w:ascii="仿宋_GB2312" w:eastAsia="仿宋_GB2312"/>
          <w:sz w:val="32"/>
          <w:szCs w:val="32"/>
          <w:lang w:eastAsia="zh-CN"/>
        </w:rPr>
        <w:t>和社会</w:t>
      </w:r>
      <w:r>
        <w:rPr>
          <w:rFonts w:hint="eastAsia" w:ascii="仿宋_GB2312" w:eastAsia="仿宋_GB2312"/>
          <w:sz w:val="32"/>
          <w:szCs w:val="32"/>
        </w:rPr>
        <w:t>关切，进一步优化调整</w:t>
      </w:r>
      <w:r>
        <w:rPr>
          <w:rFonts w:hint="eastAsia" w:ascii="仿宋_GB2312" w:eastAsia="仿宋_GB2312"/>
          <w:sz w:val="32"/>
          <w:szCs w:val="32"/>
          <w:lang w:eastAsia="zh-CN"/>
        </w:rPr>
        <w:t>青岛农业信息网</w:t>
      </w:r>
      <w:r>
        <w:rPr>
          <w:rFonts w:hint="eastAsia" w:ascii="仿宋_GB2312" w:eastAsia="仿宋_GB2312"/>
          <w:sz w:val="32"/>
          <w:szCs w:val="32"/>
        </w:rPr>
        <w:t>栏目设置，提高搜索和查询的便利性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通过图片、视频等方式不断提升网站的吸引力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亲和力</w:t>
      </w:r>
      <w:r>
        <w:rPr>
          <w:rFonts w:hint="eastAsia" w:ascii="仿宋_GB2312" w:eastAsia="仿宋_GB2312"/>
          <w:sz w:val="32"/>
          <w:szCs w:val="32"/>
          <w:lang w:eastAsia="zh-CN"/>
        </w:rPr>
        <w:t>和关注度，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2021年通过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网站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发布信息约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>2300条。二是持续加强政务新媒体建设。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推动政务公开由电脑端向移动端延伸，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拓展办事服务功能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有效提升网上履职能力，2021年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通过“情系三农”微信公众号公开发布信息4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0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余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条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通过12316短彩平台发送信息1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万条。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三是积极推动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政民互动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交流。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依托青岛政民互动平台，全方位回应企业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群众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的建议或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诉求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>2021年参加“问政青岛”“行风在线”“民生在线”“三民”活动累计8期次，组织开展“机关开放日”活动4次，累计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办理答复意见建议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80余条，</w:t>
      </w:r>
      <w:r>
        <w:rPr>
          <w:rFonts w:hint="eastAsia" w:ascii="仿宋_GB2312" w:hAnsi="Times New Roman" w:eastAsia="仿宋_GB2312"/>
          <w:sz w:val="32"/>
          <w:szCs w:val="32"/>
        </w:rPr>
        <w:t>增进了公众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对农业农村</w:t>
      </w:r>
      <w:r>
        <w:rPr>
          <w:rFonts w:hint="eastAsia" w:ascii="仿宋_GB2312" w:hAnsi="Times New Roman" w:eastAsia="仿宋_GB2312"/>
          <w:sz w:val="32"/>
          <w:szCs w:val="32"/>
        </w:rPr>
        <w:t>工作的了解、认同和支持，拓展了政务公开的广度和深度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rPr>
          <w:rFonts w:hint="eastAsia" w:ascii="仿宋_GB2312" w:hAnsi="黑体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楷体_GB2312" w:hAnsi="黑体" w:eastAsia="楷体_GB2312" w:cs="Times New Roman"/>
          <w:color w:val="000000"/>
          <w:sz w:val="32"/>
          <w:szCs w:val="32"/>
        </w:rPr>
        <w:t>（五）监督保障工作</w:t>
      </w:r>
      <w:r>
        <w:rPr>
          <w:rFonts w:hint="eastAsia" w:ascii="楷体_GB2312" w:hAnsi="黑体" w:eastAsia="楷体_GB2312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 w:cs="Times New Roman"/>
          <w:color w:val="000000"/>
          <w:kern w:val="2"/>
          <w:sz w:val="30"/>
          <w:szCs w:val="30"/>
          <w:lang w:val="en-US" w:eastAsia="zh-CN" w:bidi="ar-SA"/>
        </w:rPr>
        <w:t>一是强化监督检查，针对依申请公开、重点领域信息公开、政务新媒体等开展专项督查3次。二是强化培训指导。针对人员变动和重点工作要求，开展分层次和重点部门“一对一”培训，提升工作人员公开意识和业务水平。三是强化绩效考核，建立政务公开绩效考核体系，细化考核指标，将考核结果作为单位内部处室评先创优重要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/>
        <w:jc w:val="left"/>
        <w:textAlignment w:val="auto"/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二、主动公开政府信息情况</w:t>
      </w:r>
    </w:p>
    <w:tbl>
      <w:tblPr>
        <w:tblStyle w:val="5"/>
        <w:tblW w:w="88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8.528</w:t>
            </w:r>
          </w:p>
        </w:tc>
      </w:tr>
    </w:tbl>
    <w:p>
      <w:pPr>
        <w:snapToGrid w:val="0"/>
        <w:spacing w:line="560" w:lineRule="exact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　　三、收到和处理政府信息公开申请情况</w:t>
      </w:r>
    </w:p>
    <w:tbl>
      <w:tblPr>
        <w:tblStyle w:val="5"/>
        <w:tblW w:w="90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91"/>
        <w:gridCol w:w="600"/>
        <w:gridCol w:w="559"/>
        <w:gridCol w:w="545"/>
        <w:gridCol w:w="655"/>
        <w:gridCol w:w="695"/>
        <w:gridCol w:w="491"/>
        <w:gridCol w:w="4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108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3973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108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0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29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42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108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42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0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13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0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13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snapToGrid w:val="0"/>
        <w:spacing w:line="420" w:lineRule="exact"/>
        <w:ind w:firstLine="640" w:firstLineChars="200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1" w:leftChars="-39" w:right="-96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7" w:leftChars="-56" w:right="-117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7" w:leftChars="-56" w:right="-117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3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3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8" w:leftChars="-47" w:right="-77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3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3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ascii="宋体" w:hAnsi="宋体" w:eastAsia="宋体" w:cs="宋体"/>
          <w:b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　　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60"/>
        <w:textAlignment w:val="auto"/>
        <w:rPr>
          <w:rFonts w:ascii="仿宋_GB2312" w:hAnsi="黑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政策性文件多以问答形式进行文字解读，解读形式较单一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60"/>
        <w:textAlignment w:val="auto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改进情况：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积极创新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政策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解读方式和内容，对涉及面广、社会关注度高的政策文件，坚持文件与解读同步起草、同步审批、同步发布。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2021年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通过新闻发布会、采取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图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（表）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文形式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视频形式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（专家线上直播）、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简明问答、报纸报刊等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媒体形式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解读政策文件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15篇次。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做到了</w:t>
      </w:r>
      <w:r>
        <w:rPr>
          <w:rFonts w:hint="eastAsia" w:ascii="仿宋_GB2312" w:eastAsia="仿宋_GB2312" w:cs="仿宋_GB2312"/>
          <w:sz w:val="32"/>
          <w:szCs w:val="32"/>
        </w:rPr>
        <w:t>让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农业农村</w:t>
      </w:r>
      <w:r>
        <w:rPr>
          <w:rFonts w:hint="eastAsia" w:ascii="仿宋_GB2312" w:eastAsia="仿宋_GB2312" w:cs="仿宋_GB2312"/>
          <w:sz w:val="32"/>
          <w:szCs w:val="32"/>
        </w:rPr>
        <w:t>政策“看得懂、理得清、落得实”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，为</w:t>
      </w:r>
      <w:r>
        <w:rPr>
          <w:rFonts w:hint="eastAsia" w:ascii="仿宋_GB2312" w:eastAsia="仿宋_GB2312" w:cs="仿宋_GB2312"/>
          <w:sz w:val="32"/>
          <w:szCs w:val="32"/>
        </w:rPr>
        <w:t>精准滴灌到涉农企业、新型经营主体和广大农户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打下坚实基础。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ascii="仿宋_GB2312" w:hAnsi="黑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5"/>
        <w:textAlignment w:val="auto"/>
        <w:rPr>
          <w:sz w:val="32"/>
          <w:szCs w:val="32"/>
        </w:rPr>
      </w:pPr>
      <w:r>
        <w:rPr>
          <w:rFonts w:ascii="仿宋_GB2312" w:hAnsi="黑体" w:eastAsia="仿宋_GB2312" w:cs="Times New Roman"/>
          <w:color w:val="000000"/>
          <w:sz w:val="32"/>
          <w:szCs w:val="32"/>
        </w:rPr>
        <w:t>202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ascii="仿宋_GB2312" w:hAnsi="黑体" w:eastAsia="仿宋_GB2312" w:cs="Times New Roman"/>
          <w:color w:val="000000"/>
          <w:sz w:val="32"/>
          <w:szCs w:val="32"/>
        </w:rPr>
        <w:t>年共办理建议提案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>76</w:t>
      </w:r>
      <w:r>
        <w:rPr>
          <w:rFonts w:ascii="仿宋_GB2312" w:hAnsi="黑体" w:eastAsia="仿宋_GB2312" w:cs="Times New Roman"/>
          <w:color w:val="000000"/>
          <w:sz w:val="32"/>
          <w:szCs w:val="32"/>
        </w:rPr>
        <w:t>件，全部按期办结，面复率、办结率、满意率均达100%。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通过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青岛政务网、青岛农业信息网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及时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对建议提案原文、答复意见书、工作进展情况、意见建议采纳情况、年度工作总结报告等信息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进行了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公开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发布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。获评</w:t>
      </w:r>
      <w:r>
        <w:rPr>
          <w:rFonts w:ascii="仿宋_GB2312" w:hAnsi="黑体" w:eastAsia="仿宋_GB2312" w:cs="Times New Roman"/>
          <w:color w:val="000000"/>
          <w:sz w:val="32"/>
          <w:szCs w:val="32"/>
        </w:rPr>
        <w:t>全市202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ascii="仿宋_GB2312" w:hAnsi="黑体" w:eastAsia="仿宋_GB2312" w:cs="Times New Roman"/>
          <w:color w:val="000000"/>
          <w:sz w:val="32"/>
          <w:szCs w:val="32"/>
        </w:rPr>
        <w:t>年度人大代表建议先进承办单位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ascii="仿宋_GB2312" w:hAnsi="黑体" w:eastAsia="仿宋_GB2312" w:cs="Times New Roman"/>
          <w:color w:val="000000"/>
          <w:sz w:val="32"/>
          <w:szCs w:val="32"/>
        </w:rPr>
        <w:t>全市202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ascii="仿宋_GB2312" w:hAnsi="黑体" w:eastAsia="仿宋_GB2312" w:cs="Times New Roman"/>
          <w:color w:val="000000"/>
          <w:sz w:val="32"/>
          <w:szCs w:val="32"/>
        </w:rPr>
        <w:t>年度政协提案先进承办单位。</w:t>
      </w:r>
      <w:bookmarkStart w:id="10" w:name="_GoBack"/>
      <w:bookmarkEnd w:id="10"/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304" w:bottom="1531" w:left="1531" w:header="851" w:footer="1191" w:gutter="0"/>
      <w:pgNumType w:start="1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52601"/>
    <w:rsid w:val="0548483E"/>
    <w:rsid w:val="09495E06"/>
    <w:rsid w:val="32DF0F60"/>
    <w:rsid w:val="3B971E16"/>
    <w:rsid w:val="3E052601"/>
    <w:rsid w:val="413571EE"/>
    <w:rsid w:val="437C7374"/>
    <w:rsid w:val="4ECB3B0B"/>
    <w:rsid w:val="53297263"/>
    <w:rsid w:val="59AC7EFF"/>
    <w:rsid w:val="769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4">
    <w:name w:val="Normal (Web)"/>
    <w:basedOn w:val="1"/>
    <w:unhideWhenUsed/>
    <w:qFormat/>
    <w:uiPriority w:val="0"/>
    <w:rPr>
      <w:rFonts w:ascii="Times New Roman" w:hAnsi="Times New Roman" w:cs="Times New Roman"/>
      <w:sz w:val="24"/>
      <w:szCs w:val="24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2022-01-29T02:11:00Z</dcterms:created>
  <dc:creator>hp</dc:creator>
  <cp:lastModifiedBy>hp</cp:lastModifiedBy>
  <cp:lastPrinted>2022-01-30T01:11:22Z</cp:lastPrinted>
  <dcterms:modified xsi:type="dcterms:W3CDTF">2022-01-30T01:55:35Z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