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Times New Roman" w:eastAsia="方正小标宋_GBK" w:cs="Times New Roman"/>
          <w:sz w:val="44"/>
          <w:szCs w:val="44"/>
        </w:rPr>
      </w:pPr>
      <w:bookmarkStart w:id="0" w:name="_GoBack"/>
      <w:r>
        <w:rPr>
          <w:rFonts w:hint="eastAsia" w:ascii="方正小标宋_GBK" w:hAnsi="Times New Roman" w:eastAsia="方正小标宋_GBK" w:cs="Times New Roman"/>
          <w:sz w:val="44"/>
          <w:szCs w:val="44"/>
        </w:rPr>
        <w:t>非基础殡葬服务收费标准参考区间（试行）</w:t>
      </w:r>
    </w:p>
    <w:bookmarkEnd w:id="0"/>
    <w:p>
      <w:pPr>
        <w:spacing w:line="560" w:lineRule="exact"/>
        <w:jc w:val="center"/>
        <w:rPr>
          <w:rFonts w:ascii="Times New Roman" w:hAnsi="Times New Roman" w:eastAsia="方正小标宋_GBK" w:cs="Times New Roman"/>
          <w:sz w:val="44"/>
          <w:szCs w:val="44"/>
        </w:rPr>
      </w:pPr>
    </w:p>
    <w:tbl>
      <w:tblPr>
        <w:tblStyle w:val="3"/>
        <w:tblW w:w="13892"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774"/>
        <w:gridCol w:w="2448"/>
        <w:gridCol w:w="1452"/>
        <w:gridCol w:w="1344"/>
        <w:gridCol w:w="61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37" w:hRule="atLeast"/>
          <w:tblHeader/>
        </w:trPr>
        <w:tc>
          <w:tcPr>
            <w:tcW w:w="709" w:type="dxa"/>
            <w:noWrap w:val="0"/>
            <w:vAlign w:val="center"/>
          </w:tcPr>
          <w:p>
            <w:pPr>
              <w:widowControl/>
              <w:spacing w:line="360" w:lineRule="exact"/>
              <w:jc w:val="center"/>
              <w:rPr>
                <w:rFonts w:ascii="Times New Roman" w:hAnsi="Times New Roman" w:eastAsia="黑体" w:cs="Times New Roman"/>
                <w:sz w:val="24"/>
                <w:szCs w:val="28"/>
              </w:rPr>
            </w:pPr>
            <w:r>
              <w:rPr>
                <w:rFonts w:ascii="Times New Roman" w:hAnsi="Times New Roman" w:eastAsia="黑体" w:cs="Times New Roman"/>
                <w:sz w:val="24"/>
                <w:szCs w:val="28"/>
              </w:rPr>
              <w:t>序号</w:t>
            </w:r>
          </w:p>
        </w:tc>
        <w:tc>
          <w:tcPr>
            <w:tcW w:w="4222" w:type="dxa"/>
            <w:gridSpan w:val="2"/>
            <w:noWrap w:val="0"/>
            <w:vAlign w:val="center"/>
          </w:tcPr>
          <w:p>
            <w:pPr>
              <w:widowControl/>
              <w:spacing w:line="360" w:lineRule="exact"/>
              <w:jc w:val="center"/>
              <w:rPr>
                <w:rFonts w:ascii="Times New Roman" w:hAnsi="Times New Roman" w:eastAsia="黑体" w:cs="Times New Roman"/>
                <w:sz w:val="24"/>
                <w:szCs w:val="28"/>
              </w:rPr>
            </w:pPr>
            <w:r>
              <w:rPr>
                <w:rFonts w:ascii="Times New Roman" w:hAnsi="Times New Roman" w:eastAsia="黑体" w:cs="Times New Roman"/>
                <w:sz w:val="24"/>
                <w:szCs w:val="28"/>
              </w:rPr>
              <w:t>服务项目</w:t>
            </w:r>
          </w:p>
        </w:tc>
        <w:tc>
          <w:tcPr>
            <w:tcW w:w="1452" w:type="dxa"/>
            <w:noWrap w:val="0"/>
            <w:vAlign w:val="center"/>
          </w:tcPr>
          <w:p>
            <w:pPr>
              <w:widowControl/>
              <w:spacing w:line="360" w:lineRule="exact"/>
              <w:jc w:val="center"/>
              <w:rPr>
                <w:rFonts w:ascii="Times New Roman" w:hAnsi="Times New Roman" w:eastAsia="黑体" w:cs="Times New Roman"/>
                <w:sz w:val="24"/>
                <w:szCs w:val="28"/>
              </w:rPr>
            </w:pPr>
            <w:r>
              <w:rPr>
                <w:rFonts w:ascii="Times New Roman" w:hAnsi="Times New Roman" w:eastAsia="黑体" w:cs="Times New Roman"/>
                <w:sz w:val="24"/>
                <w:szCs w:val="28"/>
              </w:rPr>
              <w:t>价格管理</w:t>
            </w:r>
            <w:r>
              <w:rPr>
                <w:rFonts w:ascii="Times New Roman" w:hAnsi="Times New Roman" w:eastAsia="黑体" w:cs="Times New Roman"/>
                <w:sz w:val="24"/>
                <w:szCs w:val="28"/>
              </w:rPr>
              <w:br w:type="textWrapping"/>
            </w:r>
            <w:r>
              <w:rPr>
                <w:rFonts w:ascii="Times New Roman" w:hAnsi="Times New Roman" w:eastAsia="黑体" w:cs="Times New Roman"/>
                <w:sz w:val="24"/>
                <w:szCs w:val="28"/>
              </w:rPr>
              <w:t>形式</w:t>
            </w:r>
          </w:p>
        </w:tc>
        <w:tc>
          <w:tcPr>
            <w:tcW w:w="1344" w:type="dxa"/>
            <w:noWrap w:val="0"/>
            <w:vAlign w:val="center"/>
          </w:tcPr>
          <w:p>
            <w:pPr>
              <w:widowControl/>
              <w:spacing w:line="360" w:lineRule="exact"/>
              <w:jc w:val="center"/>
              <w:rPr>
                <w:rFonts w:ascii="Times New Roman" w:hAnsi="Times New Roman" w:eastAsia="黑体" w:cs="Times New Roman"/>
                <w:sz w:val="24"/>
                <w:szCs w:val="28"/>
              </w:rPr>
            </w:pPr>
            <w:r>
              <w:rPr>
                <w:rFonts w:ascii="Times New Roman" w:hAnsi="Times New Roman" w:eastAsia="黑体" w:cs="Times New Roman"/>
                <w:sz w:val="24"/>
                <w:szCs w:val="28"/>
              </w:rPr>
              <w:t>收费参考</w:t>
            </w:r>
            <w:r>
              <w:rPr>
                <w:rFonts w:ascii="Times New Roman" w:hAnsi="Times New Roman" w:eastAsia="黑体" w:cs="Times New Roman"/>
                <w:sz w:val="24"/>
                <w:szCs w:val="28"/>
              </w:rPr>
              <w:br w:type="textWrapping"/>
            </w:r>
            <w:r>
              <w:rPr>
                <w:rFonts w:ascii="Times New Roman" w:hAnsi="Times New Roman" w:eastAsia="黑体" w:cs="Times New Roman"/>
                <w:sz w:val="24"/>
                <w:szCs w:val="28"/>
              </w:rPr>
              <w:t>区间</w:t>
            </w:r>
          </w:p>
        </w:tc>
        <w:tc>
          <w:tcPr>
            <w:tcW w:w="6165" w:type="dxa"/>
            <w:noWrap w:val="0"/>
            <w:vAlign w:val="center"/>
          </w:tcPr>
          <w:p>
            <w:pPr>
              <w:widowControl/>
              <w:spacing w:line="360" w:lineRule="exact"/>
              <w:jc w:val="center"/>
              <w:rPr>
                <w:rFonts w:ascii="Times New Roman" w:hAnsi="Times New Roman" w:eastAsia="黑体" w:cs="Times New Roman"/>
                <w:sz w:val="24"/>
                <w:szCs w:val="28"/>
              </w:rPr>
            </w:pPr>
            <w:r>
              <w:rPr>
                <w:rFonts w:ascii="Times New Roman" w:hAnsi="Times New Roman" w:eastAsia="黑体" w:cs="Times New Roman"/>
                <w:sz w:val="24"/>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80"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遗体境内特需接运</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运灵车指定路线接运</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8-10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元/公里</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从服务区域内接运遗体入馆前，丧属途中增加地点，指定路线超出规划路线的，按超出里程数加收，超出里程不满10公里的，按10公里计费；接运遗体或骨灰盒至丧属指定目的地，按往返里程数收取，往返里程计费不满320元的按320元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34"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国际运尸</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国际运尸入境/出境</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协商收费（元/具）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按实际产生项目计费。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34"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特殊遗体收殓</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特殊遗体收殓搬抬</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2400-4800元/具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4名工作人员上门收殓搬抬特殊遗体；青岛市内跨服务区域上门入殓搬抬特殊遗体加收因超距超时产生服务附加费，按服务区域内上门入殓搬抬一次正常遗体收费标准收取。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4</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遗体整容化妆</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标准型遗容保护</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300-400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在遗容整理的基础上，对遗体面部上妆，口腔异物处理、剃须、梳理头发等。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温馨型遗容保护</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500-700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在标准化妆的基础上，对遗体理发（男）修发（女）、修眉描眉、修剪指甲、指甲贴(女)、清理眼窝耳蜗和口腔鼻腔并作封孔处理等。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5</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遗体净身入殓</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遗体擦拭更衣</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800-1000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r>
              <w:rPr>
                <w:rFonts w:ascii="Times New Roman" w:hAnsi="Times New Roman" w:eastAsia="宋体" w:cs="Times New Roman"/>
                <w:sz w:val="24"/>
                <w:szCs w:val="28"/>
              </w:rPr>
              <w:t>•</w:t>
            </w:r>
            <w:r>
              <w:rPr>
                <w:rFonts w:ascii="Times New Roman" w:hAnsi="Times New Roman" w:eastAsia="仿宋_GB2312" w:cs="Times New Roman"/>
                <w:sz w:val="24"/>
                <w:szCs w:val="28"/>
              </w:rPr>
              <w:t>次</w:t>
            </w:r>
          </w:p>
        </w:tc>
        <w:tc>
          <w:tcPr>
            <w:tcW w:w="6165" w:type="dxa"/>
            <w:noWrap w:val="0"/>
            <w:vAlign w:val="center"/>
          </w:tcPr>
          <w:p>
            <w:pPr>
              <w:widowControl/>
              <w:spacing w:line="360" w:lineRule="exact"/>
              <w:rPr>
                <w:rFonts w:ascii="Times New Roman" w:hAnsi="Times New Roman" w:eastAsia="仿宋_GB2312" w:cs="Times New Roman"/>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标准型沐浴入殓</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1600-2000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r>
              <w:rPr>
                <w:rFonts w:ascii="Times New Roman" w:hAnsi="Times New Roman" w:eastAsia="宋体" w:cs="Times New Roman"/>
                <w:sz w:val="24"/>
                <w:szCs w:val="28"/>
              </w:rPr>
              <w:t>•</w:t>
            </w:r>
            <w:r>
              <w:rPr>
                <w:rFonts w:ascii="Times New Roman" w:hAnsi="Times New Roman" w:eastAsia="仿宋_GB2312" w:cs="Times New Roman"/>
                <w:sz w:val="24"/>
                <w:szCs w:val="28"/>
              </w:rPr>
              <w:t>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对遗体进行冲洗、标准化妆和更衣入殓服务等。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温馨型沐浴入殓</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2400-3000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r>
              <w:rPr>
                <w:rFonts w:ascii="Times New Roman" w:hAnsi="Times New Roman" w:eastAsia="宋体" w:cs="Times New Roman"/>
                <w:sz w:val="24"/>
                <w:szCs w:val="28"/>
              </w:rPr>
              <w:t>•</w:t>
            </w:r>
            <w:r>
              <w:rPr>
                <w:rFonts w:ascii="Times New Roman" w:hAnsi="Times New Roman" w:eastAsia="仿宋_GB2312" w:cs="Times New Roman"/>
                <w:sz w:val="24"/>
                <w:szCs w:val="28"/>
              </w:rPr>
              <w:t>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对遗体进行冲洗、按摩、毛发清理、手脚面膜、精致化妆和更衣入殓服务等。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34"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6</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遗体修整防腐</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遗体修复整形防腐</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协商收费</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按实际操作项目计费。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守灵厅租用</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单室守灵厅租用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40-55</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元/时</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不满1小时的按1小时计费。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双室守灵厅租用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80-110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元/时</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不满1小时的按1小时计费；含守灵室一间、会客室一间。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三室套房守灵厅租用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120-165</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元/时</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套房守灵厅一日起订，不满1小时的按1小时计费；含守灵室一间、会客室一间、休息室一间。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四室套房守灵厅租用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160-220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元/时</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套房守灵厅一日起订，不满1小时的按1小时计费；含守灵室一间、会客室两间、休息室一间。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特殊火化</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自送死胎火化</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300-350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骨柴（灰）火化烘干</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300-350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死婴、死胎、截肢集中火化</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60-100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9</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休息室租用</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小型休息室租用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200-320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50㎡以下休息室，厅内提供沙发、茶几等家具。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大型休息室租用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400-640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50㎡以上休息室，厅内提供沙发、茶几等家具。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10</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追思厅租用</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小型追思礼厅租用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160-240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20㎡以下追思礼厅，厅内提供供桌、条案等祭祀设施。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中型追思礼厅租用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320-480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20㎡-40㎡追思礼厅，厅内提供电视、供桌、条案等祭祀设施。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大型追思礼厅租用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640-960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40㎡以上追思礼厅，厅内提供LED屏、供桌、条案、椅子等祭祀设施。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沉浸式追思礼厅租用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1000-1200元/场次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100㎡以上3D多功能追思礼厅，厅内提供全屋投影、供桌、椅子等祭祀设施。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11</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特需关怀服务</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告别司仪服务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500-700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告别仪式策划组织、场地设置、请灵送灵、情绪照护、心理支持、司仪主持等服务。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送别礼亲服务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3000-4000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仪式策划组织、主题场地设置、制作播放追思视频、情绪照护、心理支持、司仪主持等服务，赠送纸棺装饰1套。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祭祀追思服务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800-1000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追思祭祀仪式策划组织、场地设置、情绪照护、心理支持、司仪主持等服务，赠送追思祭祀用品1套（中式祭品、西式祭品或供品三选一）。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12</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鲜花供品服务</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单支袋装菊花</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1.5-2.5</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元/枝</w:t>
            </w:r>
          </w:p>
        </w:tc>
        <w:tc>
          <w:tcPr>
            <w:tcW w:w="6165" w:type="dxa"/>
            <w:noWrap w:val="0"/>
            <w:vAlign w:val="center"/>
          </w:tcPr>
          <w:p>
            <w:pPr>
              <w:widowControl/>
              <w:spacing w:line="360" w:lineRule="exact"/>
              <w:rPr>
                <w:rFonts w:ascii="Times New Roman" w:hAnsi="Times New Roman" w:eastAsia="仿宋_GB2312" w:cs="Times New Roman"/>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双层菊花花篮（租赁）</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70-90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菊花不少于80枝。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双层菊花花篮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220-280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菊花不少于80枝。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三层菊花花篮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330-420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菊花不少于110枝。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十字鲜花架</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260-330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菊花不少于60枝，配花不少于30枝。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菊花竹编小花篮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80-120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菊花不少于20枝。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菊花竹编中花篮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140-180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菊花不少于30枝。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菊花竹编大花篮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200-240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菊花不少于55枝。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百合竹编大花篮</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600-700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元/个</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百合不少于35枝，配花不少于45枝。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棺内铺花</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450-550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元/具</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百合不少于25枝，配花不少于30枝。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供品服务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300-400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含9种供品的制作、摆放等服务。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37"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13</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追思视频制作</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追思视频制作</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150-200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元/分钟</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含照片处理、影视编辑、AI设计等。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37"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14</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公墓（骨灰堂）祭祀追思</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祭祀追思服务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800-1000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祭祀仪式策划组织、福荫棚搭设、司仪主持等服务。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37"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15</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公墓（骨灰堂）代客祭扫</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代客祭扫服务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200-300</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元/场次</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墓碑擦拭、上香、拍摄传送现场照片或视频，赠送手捧花2束。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restart"/>
            <w:noWrap w:val="0"/>
            <w:vAlign w:val="center"/>
          </w:tcPr>
          <w:p>
            <w:pPr>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16</w:t>
            </w:r>
          </w:p>
        </w:tc>
        <w:tc>
          <w:tcPr>
            <w:tcW w:w="1774" w:type="dxa"/>
            <w:vMerge w:val="restart"/>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公墓刻字描字</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刻字服务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12-16</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元/字</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墓碑碑后碑文篆刻和首次安葬后的墓碑碑前碑后碑文篆刻。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709"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1774" w:type="dxa"/>
            <w:vMerge w:val="continue"/>
            <w:noWrap w:val="0"/>
            <w:vAlign w:val="center"/>
          </w:tcPr>
          <w:p>
            <w:pPr>
              <w:widowControl/>
              <w:spacing w:line="360" w:lineRule="exact"/>
              <w:jc w:val="center"/>
              <w:rPr>
                <w:rFonts w:ascii="Times New Roman" w:hAnsi="Times New Roman" w:eastAsia="仿宋_GB2312" w:cs="Times New Roman"/>
                <w:sz w:val="24"/>
                <w:szCs w:val="28"/>
              </w:rPr>
            </w:pP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描字服务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1.5-2.5</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元/字</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安葬后的碑文描色。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37"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17</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公墓墓穴改造</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墓穴改造服务</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协商收费</w:t>
            </w:r>
            <w:r>
              <w:rPr>
                <w:rFonts w:ascii="Times New Roman" w:hAnsi="Times New Roman" w:eastAsia="仿宋_GB2312" w:cs="Times New Roman"/>
                <w:sz w:val="24"/>
                <w:szCs w:val="28"/>
              </w:rPr>
              <w:br w:type="textWrapping"/>
            </w:r>
            <w:r>
              <w:rPr>
                <w:rFonts w:ascii="Times New Roman" w:hAnsi="Times New Roman" w:eastAsia="仿宋_GB2312" w:cs="Times New Roman"/>
                <w:sz w:val="24"/>
                <w:szCs w:val="28"/>
              </w:rPr>
              <w:t>（元/穴）</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按实际产生项目计费（不超过材料费、施工费的1.3倍）。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94"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18</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公墓（骨灰堂）墓位（格位）使用费</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公墓（骨灰堂）墓位（格位）使用</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收费标准另行规定。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34" w:hRule="atLeast"/>
        </w:trPr>
        <w:tc>
          <w:tcPr>
            <w:tcW w:w="709" w:type="dxa"/>
            <w:noWrap w:val="0"/>
            <w:vAlign w:val="center"/>
          </w:tcPr>
          <w:p>
            <w:pPr>
              <w:widowControl/>
              <w:spacing w:line="360" w:lineRule="exact"/>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19</w:t>
            </w:r>
          </w:p>
        </w:tc>
        <w:tc>
          <w:tcPr>
            <w:tcW w:w="177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公墓（骨灰堂）墓位（格位）维护管理费</w:t>
            </w:r>
          </w:p>
        </w:tc>
        <w:tc>
          <w:tcPr>
            <w:tcW w:w="2448"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公墓（骨灰堂）墓位（格位）维护管理</w:t>
            </w:r>
          </w:p>
        </w:tc>
        <w:tc>
          <w:tcPr>
            <w:tcW w:w="1452"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市场调节价</w:t>
            </w:r>
          </w:p>
        </w:tc>
        <w:tc>
          <w:tcPr>
            <w:tcW w:w="1344" w:type="dxa"/>
            <w:noWrap w:val="0"/>
            <w:vAlign w:val="center"/>
          </w:tcPr>
          <w:p>
            <w:pPr>
              <w:widowControl/>
              <w:spacing w:line="360" w:lineRule="exact"/>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6165" w:type="dxa"/>
            <w:noWrap w:val="0"/>
            <w:vAlign w:val="center"/>
          </w:tcPr>
          <w:p>
            <w:pPr>
              <w:widowControl/>
              <w:spacing w:line="36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收费标准另行规定。</w:t>
            </w:r>
          </w:p>
        </w:tc>
      </w:tr>
    </w:tbl>
    <w:p/>
    <w:sectPr>
      <w:pgSz w:w="16838" w:h="11906" w:orient="landscape"/>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F77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Title"/>
    <w:next w:val="1"/>
    <w:qFormat/>
    <w:uiPriority w:val="0"/>
    <w:pPr>
      <w:widowControl w:val="0"/>
      <w:jc w:val="center"/>
      <w:outlineLvl w:val="0"/>
    </w:pPr>
    <w:rPr>
      <w:rFonts w:ascii="Arial" w:hAnsi="Arial" w:eastAsia="宋体" w:cs="Times New Roman"/>
      <w:b/>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2026-07-15T02:56:14Z</dcterms:created>
  <dc:creator>Administrator</dc:creator>
  <cp:lastModifiedBy>Administrator</cp:lastModifiedBy>
  <dcterms:modified xsi:type="dcterms:W3CDTF">2026-07-15T02:57:13Z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