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548" w:rsidRDefault="006E6548">
      <w:pPr>
        <w:jc w:val="center"/>
        <w:rPr>
          <w:rFonts w:ascii="文星简大标宋"/>
          <w:sz w:val="84"/>
          <w:szCs w:val="84"/>
        </w:rPr>
      </w:pPr>
    </w:p>
    <w:p w:rsidR="006E6548" w:rsidRDefault="006E6548">
      <w:pPr>
        <w:spacing w:line="2200" w:lineRule="exact"/>
        <w:jc w:val="center"/>
        <w:rPr>
          <w:rFonts w:ascii="文星简大标宋" w:eastAsia="文星简大标宋"/>
          <w:sz w:val="84"/>
          <w:szCs w:val="84"/>
        </w:rPr>
      </w:pPr>
    </w:p>
    <w:p w:rsidR="006E6548" w:rsidRDefault="005D7064">
      <w:pPr>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2022年青岛市民政局</w:t>
      </w:r>
    </w:p>
    <w:p w:rsidR="006E6548" w:rsidRDefault="005D7064">
      <w:pPr>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部门预算</w:t>
      </w:r>
    </w:p>
    <w:p w:rsidR="006E6548" w:rsidRDefault="006E6548">
      <w:pPr>
        <w:rPr>
          <w:sz w:val="52"/>
          <w:szCs w:val="52"/>
        </w:rPr>
      </w:pPr>
    </w:p>
    <w:p w:rsidR="006E6548" w:rsidRDefault="006E6548"/>
    <w:p w:rsidR="006E6548" w:rsidRDefault="006E6548"/>
    <w:p w:rsidR="006E6548" w:rsidRDefault="006E6548"/>
    <w:p w:rsidR="006E6548" w:rsidRDefault="006E6548"/>
    <w:p w:rsidR="006E6548" w:rsidRDefault="006E6548"/>
    <w:p w:rsidR="006E6548" w:rsidRDefault="006E6548"/>
    <w:p w:rsidR="006E6548" w:rsidRDefault="006E6548"/>
    <w:p w:rsidR="006E6548" w:rsidRDefault="006E6548"/>
    <w:p w:rsidR="006E6548" w:rsidRDefault="006E6548"/>
    <w:p w:rsidR="006E6548" w:rsidRDefault="006E6548"/>
    <w:p w:rsidR="006E6548" w:rsidRDefault="006E6548"/>
    <w:p w:rsidR="006E6548" w:rsidRDefault="006E6548"/>
    <w:p w:rsidR="006E6548" w:rsidRDefault="006E6548"/>
    <w:p w:rsidR="006E6548" w:rsidRDefault="006E6548"/>
    <w:p w:rsidR="006E6548" w:rsidRDefault="006E6548"/>
    <w:p w:rsidR="006E6548" w:rsidRDefault="006E6548"/>
    <w:p w:rsidR="006E6548" w:rsidRDefault="005D7064">
      <w:pPr>
        <w:spacing w:line="580" w:lineRule="exact"/>
      </w:pPr>
      <w:r>
        <w:br w:type="page"/>
      </w:r>
    </w:p>
    <w:p w:rsidR="006E6548" w:rsidRDefault="005D7064">
      <w:pPr>
        <w:spacing w:line="580" w:lineRule="exact"/>
        <w:jc w:val="center"/>
        <w:rPr>
          <w:rFonts w:ascii="黑体" w:eastAsia="黑体"/>
          <w:sz w:val="44"/>
          <w:szCs w:val="44"/>
        </w:rPr>
      </w:pPr>
      <w:r>
        <w:rPr>
          <w:rFonts w:ascii="黑体" w:eastAsia="黑体" w:hint="eastAsia"/>
          <w:sz w:val="44"/>
          <w:szCs w:val="44"/>
        </w:rPr>
        <w:t>目  录</w:t>
      </w:r>
    </w:p>
    <w:p w:rsidR="006E6548" w:rsidRDefault="006E6548">
      <w:pPr>
        <w:spacing w:line="580" w:lineRule="exact"/>
        <w:jc w:val="center"/>
        <w:rPr>
          <w:rFonts w:ascii="黑体" w:eastAsia="黑体"/>
          <w:sz w:val="44"/>
          <w:szCs w:val="44"/>
        </w:rPr>
      </w:pPr>
    </w:p>
    <w:p w:rsidR="006E6548" w:rsidRDefault="006E6548">
      <w:pPr>
        <w:spacing w:line="560" w:lineRule="exact"/>
        <w:jc w:val="center"/>
        <w:rPr>
          <w:rFonts w:ascii="黑体" w:eastAsia="黑体"/>
          <w:sz w:val="44"/>
          <w:szCs w:val="44"/>
        </w:rPr>
      </w:pPr>
    </w:p>
    <w:p w:rsidR="006E6548" w:rsidRDefault="005D7064">
      <w:pPr>
        <w:spacing w:line="560" w:lineRule="exact"/>
        <w:rPr>
          <w:rFonts w:ascii="黑体" w:eastAsia="黑体"/>
          <w:sz w:val="36"/>
          <w:szCs w:val="36"/>
        </w:rPr>
      </w:pPr>
      <w:r>
        <w:rPr>
          <w:rFonts w:ascii="黑体" w:eastAsia="黑体" w:hint="eastAsia"/>
          <w:sz w:val="36"/>
          <w:szCs w:val="36"/>
        </w:rPr>
        <w:t>第一部分青岛市民政局部门概况</w:t>
      </w:r>
    </w:p>
    <w:p w:rsidR="006E6548" w:rsidRDefault="005D7064">
      <w:pPr>
        <w:spacing w:line="560" w:lineRule="exact"/>
        <w:ind w:left="640"/>
        <w:rPr>
          <w:rFonts w:ascii="仿宋_GB2312" w:eastAsia="仿宋_GB2312"/>
          <w:sz w:val="32"/>
          <w:szCs w:val="32"/>
        </w:rPr>
      </w:pPr>
      <w:r>
        <w:rPr>
          <w:rFonts w:ascii="仿宋_GB2312" w:eastAsia="仿宋_GB2312" w:hint="eastAsia"/>
          <w:sz w:val="32"/>
          <w:szCs w:val="32"/>
        </w:rPr>
        <w:t>一、主要职能</w:t>
      </w:r>
    </w:p>
    <w:p w:rsidR="006E6548" w:rsidRDefault="005D7064">
      <w:pPr>
        <w:spacing w:line="560" w:lineRule="exact"/>
        <w:ind w:left="640"/>
        <w:rPr>
          <w:rFonts w:ascii="仿宋_GB2312" w:eastAsia="仿宋_GB2312"/>
          <w:sz w:val="32"/>
          <w:szCs w:val="32"/>
        </w:rPr>
      </w:pPr>
      <w:r>
        <w:rPr>
          <w:rFonts w:ascii="仿宋_GB2312" w:eastAsia="仿宋_GB2312" w:hint="eastAsia"/>
          <w:sz w:val="32"/>
          <w:szCs w:val="32"/>
        </w:rPr>
        <w:t>二、机构设置</w:t>
      </w:r>
    </w:p>
    <w:p w:rsidR="006E6548" w:rsidRDefault="005D7064">
      <w:pPr>
        <w:spacing w:line="560" w:lineRule="exact"/>
        <w:ind w:left="640"/>
        <w:rPr>
          <w:rFonts w:ascii="黑体" w:eastAsia="黑体"/>
          <w:sz w:val="32"/>
          <w:szCs w:val="32"/>
        </w:rPr>
      </w:pPr>
      <w:r>
        <w:rPr>
          <w:rFonts w:ascii="仿宋_GB2312" w:eastAsia="仿宋_GB2312" w:hint="eastAsia"/>
          <w:sz w:val="32"/>
          <w:szCs w:val="32"/>
        </w:rPr>
        <w:t>三、预算单位构成</w:t>
      </w:r>
    </w:p>
    <w:p w:rsidR="006E6548" w:rsidRDefault="005D7064">
      <w:pPr>
        <w:spacing w:line="560" w:lineRule="exact"/>
        <w:rPr>
          <w:rFonts w:ascii="黑体" w:eastAsia="黑体"/>
          <w:sz w:val="36"/>
          <w:szCs w:val="36"/>
        </w:rPr>
      </w:pPr>
      <w:r>
        <w:rPr>
          <w:rFonts w:ascii="黑体" w:eastAsia="黑体" w:hint="eastAsia"/>
          <w:sz w:val="36"/>
          <w:szCs w:val="36"/>
        </w:rPr>
        <w:t>第二部分青岛市民政局部门2022年部门预算表</w:t>
      </w:r>
    </w:p>
    <w:p w:rsidR="006E6548" w:rsidRDefault="005D7064">
      <w:pPr>
        <w:spacing w:line="560" w:lineRule="exact"/>
        <w:ind w:firstLineChars="200" w:firstLine="640"/>
        <w:rPr>
          <w:rFonts w:ascii="仿宋_GB2312" w:eastAsia="仿宋_GB2312"/>
          <w:sz w:val="32"/>
          <w:szCs w:val="32"/>
        </w:rPr>
      </w:pPr>
      <w:r>
        <w:rPr>
          <w:rFonts w:ascii="仿宋_GB2312" w:eastAsia="仿宋_GB2312" w:hint="eastAsia"/>
          <w:sz w:val="32"/>
          <w:szCs w:val="32"/>
        </w:rPr>
        <w:t>一、2022年部门预算收支总表</w:t>
      </w:r>
    </w:p>
    <w:p w:rsidR="006E6548" w:rsidRDefault="005D7064">
      <w:pPr>
        <w:spacing w:line="560" w:lineRule="exact"/>
        <w:ind w:firstLineChars="200" w:firstLine="640"/>
        <w:rPr>
          <w:rFonts w:ascii="仿宋_GB2312" w:eastAsia="仿宋_GB2312"/>
          <w:sz w:val="32"/>
          <w:szCs w:val="32"/>
        </w:rPr>
      </w:pPr>
      <w:r>
        <w:rPr>
          <w:rFonts w:ascii="仿宋_GB2312" w:eastAsia="仿宋_GB2312" w:hint="eastAsia"/>
          <w:sz w:val="32"/>
          <w:szCs w:val="32"/>
        </w:rPr>
        <w:t>二、2022年部门预算收入总表</w:t>
      </w:r>
    </w:p>
    <w:p w:rsidR="006E6548" w:rsidRDefault="005D7064">
      <w:pPr>
        <w:spacing w:line="560" w:lineRule="exact"/>
        <w:ind w:firstLineChars="200" w:firstLine="640"/>
        <w:rPr>
          <w:rFonts w:ascii="仿宋_GB2312" w:eastAsia="仿宋_GB2312"/>
          <w:sz w:val="32"/>
          <w:szCs w:val="32"/>
        </w:rPr>
      </w:pPr>
      <w:r>
        <w:rPr>
          <w:rFonts w:ascii="仿宋_GB2312" w:eastAsia="仿宋_GB2312" w:hint="eastAsia"/>
          <w:sz w:val="32"/>
          <w:szCs w:val="32"/>
        </w:rPr>
        <w:t>三、2022年部门预算支出总表</w:t>
      </w:r>
    </w:p>
    <w:p w:rsidR="006E6548" w:rsidRDefault="005D7064">
      <w:pPr>
        <w:spacing w:line="560" w:lineRule="exact"/>
        <w:ind w:firstLineChars="200" w:firstLine="640"/>
        <w:rPr>
          <w:rFonts w:ascii="仿宋_GB2312" w:eastAsia="仿宋_GB2312"/>
          <w:sz w:val="32"/>
          <w:szCs w:val="32"/>
        </w:rPr>
      </w:pPr>
      <w:r>
        <w:rPr>
          <w:rFonts w:ascii="仿宋_GB2312" w:eastAsia="仿宋_GB2312" w:hint="eastAsia"/>
          <w:sz w:val="32"/>
          <w:szCs w:val="32"/>
        </w:rPr>
        <w:t>四、2022年部门预算财政拨款收支总表</w:t>
      </w:r>
    </w:p>
    <w:p w:rsidR="006E6548" w:rsidRDefault="005D7064">
      <w:pPr>
        <w:spacing w:line="560" w:lineRule="exact"/>
        <w:ind w:firstLineChars="200" w:firstLine="640"/>
        <w:rPr>
          <w:rFonts w:ascii="仿宋_GB2312" w:eastAsia="仿宋_GB2312"/>
          <w:sz w:val="32"/>
          <w:szCs w:val="32"/>
        </w:rPr>
      </w:pPr>
      <w:r>
        <w:rPr>
          <w:rFonts w:ascii="仿宋_GB2312" w:eastAsia="仿宋_GB2312" w:hint="eastAsia"/>
          <w:sz w:val="32"/>
          <w:szCs w:val="32"/>
        </w:rPr>
        <w:t>五、2022年一般公共预算财政拨款支出表</w:t>
      </w:r>
    </w:p>
    <w:p w:rsidR="006E6548" w:rsidRDefault="005D7064">
      <w:pPr>
        <w:spacing w:line="560" w:lineRule="exact"/>
        <w:ind w:firstLineChars="200" w:firstLine="640"/>
        <w:rPr>
          <w:rFonts w:ascii="仿宋_GB2312" w:eastAsia="仿宋_GB2312"/>
          <w:sz w:val="32"/>
          <w:szCs w:val="32"/>
        </w:rPr>
      </w:pPr>
      <w:r>
        <w:rPr>
          <w:rFonts w:ascii="仿宋_GB2312" w:eastAsia="仿宋_GB2312" w:hint="eastAsia"/>
          <w:sz w:val="32"/>
          <w:szCs w:val="32"/>
        </w:rPr>
        <w:t>六、2022年一般公共预算基本支出表（部门经济分类）</w:t>
      </w:r>
    </w:p>
    <w:p w:rsidR="006E6548" w:rsidRDefault="005D7064">
      <w:pPr>
        <w:spacing w:line="560" w:lineRule="exact"/>
        <w:ind w:firstLineChars="200" w:firstLine="640"/>
        <w:rPr>
          <w:rFonts w:ascii="仿宋_GB2312" w:eastAsia="仿宋_GB2312"/>
          <w:sz w:val="32"/>
          <w:szCs w:val="32"/>
        </w:rPr>
      </w:pPr>
      <w:r>
        <w:rPr>
          <w:rFonts w:ascii="仿宋_GB2312" w:eastAsia="仿宋_GB2312" w:hint="eastAsia"/>
          <w:sz w:val="32"/>
          <w:szCs w:val="32"/>
        </w:rPr>
        <w:t>七、2022年一般公共预算基本支出表（政府经济分类）</w:t>
      </w:r>
    </w:p>
    <w:p w:rsidR="006E6548" w:rsidRDefault="005D7064">
      <w:pPr>
        <w:spacing w:line="560" w:lineRule="exact"/>
        <w:ind w:firstLineChars="200" w:firstLine="640"/>
        <w:rPr>
          <w:rFonts w:ascii="仿宋_GB2312" w:eastAsia="仿宋_GB2312"/>
          <w:sz w:val="32"/>
          <w:szCs w:val="32"/>
        </w:rPr>
      </w:pPr>
      <w:r>
        <w:rPr>
          <w:rFonts w:ascii="仿宋_GB2312" w:eastAsia="仿宋_GB2312" w:hint="eastAsia"/>
          <w:sz w:val="32"/>
          <w:szCs w:val="32"/>
        </w:rPr>
        <w:t>八、2022年政府性基金预算财政拨款支出表</w:t>
      </w:r>
    </w:p>
    <w:p w:rsidR="006E6548" w:rsidRDefault="005D7064">
      <w:pPr>
        <w:spacing w:line="560" w:lineRule="exact"/>
        <w:ind w:firstLineChars="200" w:firstLine="640"/>
        <w:rPr>
          <w:rFonts w:ascii="仿宋_GB2312" w:eastAsia="仿宋_GB2312"/>
          <w:sz w:val="32"/>
          <w:szCs w:val="32"/>
        </w:rPr>
      </w:pPr>
      <w:r>
        <w:rPr>
          <w:rFonts w:ascii="仿宋_GB2312" w:eastAsia="仿宋_GB2312" w:hint="eastAsia"/>
          <w:sz w:val="32"/>
          <w:szCs w:val="32"/>
        </w:rPr>
        <w:t>九、2022年部门预算财政拨款“三公”经费预算表</w:t>
      </w:r>
    </w:p>
    <w:p w:rsidR="006E6548" w:rsidRDefault="005D7064">
      <w:pPr>
        <w:spacing w:line="560" w:lineRule="exact"/>
        <w:ind w:firstLineChars="200" w:firstLine="640"/>
        <w:rPr>
          <w:rFonts w:ascii="仿宋_GB2312" w:eastAsia="仿宋_GB2312"/>
          <w:sz w:val="32"/>
          <w:szCs w:val="32"/>
        </w:rPr>
      </w:pPr>
      <w:r>
        <w:rPr>
          <w:rFonts w:ascii="仿宋_GB2312" w:eastAsia="仿宋_GB2312" w:hint="eastAsia"/>
          <w:sz w:val="32"/>
          <w:szCs w:val="32"/>
        </w:rPr>
        <w:t>十、2022年政府采购预算表</w:t>
      </w:r>
    </w:p>
    <w:p w:rsidR="006E6548" w:rsidRDefault="005D7064">
      <w:pPr>
        <w:spacing w:line="560" w:lineRule="exact"/>
        <w:ind w:left="1602" w:hangingChars="445" w:hanging="1602"/>
        <w:rPr>
          <w:rFonts w:ascii="黑体" w:eastAsia="黑体"/>
          <w:sz w:val="36"/>
          <w:szCs w:val="36"/>
        </w:rPr>
      </w:pPr>
      <w:r>
        <w:rPr>
          <w:rFonts w:ascii="黑体" w:eastAsia="黑体" w:hint="eastAsia"/>
          <w:sz w:val="36"/>
          <w:szCs w:val="36"/>
        </w:rPr>
        <w:t>第三部分青岛市民政局部门2022年部门预算情况和重要事项说明</w:t>
      </w:r>
    </w:p>
    <w:p w:rsidR="006E6548" w:rsidRDefault="005D7064">
      <w:pPr>
        <w:spacing w:line="560" w:lineRule="exact"/>
        <w:ind w:left="1602" w:hangingChars="445" w:hanging="1602"/>
        <w:rPr>
          <w:rFonts w:ascii="黑体" w:eastAsia="黑体"/>
          <w:sz w:val="36"/>
          <w:szCs w:val="36"/>
        </w:rPr>
      </w:pPr>
      <w:r>
        <w:rPr>
          <w:rFonts w:ascii="黑体" w:eastAsia="黑体" w:hint="eastAsia"/>
          <w:sz w:val="36"/>
          <w:szCs w:val="36"/>
        </w:rPr>
        <w:t>第四部分 名词解释</w:t>
      </w:r>
    </w:p>
    <w:p w:rsidR="006E6548" w:rsidRDefault="006E6548">
      <w:pPr>
        <w:spacing w:line="580" w:lineRule="exact"/>
        <w:ind w:left="1602" w:hangingChars="445" w:hanging="1602"/>
        <w:rPr>
          <w:rFonts w:ascii="黑体" w:eastAsia="黑体"/>
          <w:sz w:val="36"/>
          <w:szCs w:val="36"/>
        </w:rPr>
      </w:pPr>
    </w:p>
    <w:p w:rsidR="006E6548" w:rsidRDefault="006E6548">
      <w:pPr>
        <w:rPr>
          <w:rFonts w:ascii="黑体" w:eastAsia="黑体"/>
          <w:b/>
          <w:sz w:val="48"/>
          <w:szCs w:val="48"/>
        </w:rPr>
      </w:pPr>
    </w:p>
    <w:p w:rsidR="006E6548" w:rsidRDefault="006E6548">
      <w:pPr>
        <w:rPr>
          <w:rFonts w:ascii="黑体" w:eastAsia="黑体"/>
          <w:b/>
          <w:sz w:val="48"/>
          <w:szCs w:val="48"/>
        </w:rPr>
      </w:pPr>
    </w:p>
    <w:p w:rsidR="006E6548" w:rsidRDefault="006E6548">
      <w:pPr>
        <w:rPr>
          <w:rFonts w:ascii="黑体" w:eastAsia="黑体"/>
          <w:b/>
          <w:sz w:val="48"/>
          <w:szCs w:val="48"/>
        </w:rPr>
      </w:pPr>
    </w:p>
    <w:p w:rsidR="006E6548" w:rsidRDefault="006E6548">
      <w:pPr>
        <w:spacing w:line="580" w:lineRule="exact"/>
        <w:ind w:left="1602" w:hangingChars="445" w:hanging="1602"/>
        <w:rPr>
          <w:rFonts w:ascii="黑体" w:eastAsia="黑体"/>
          <w:sz w:val="36"/>
          <w:szCs w:val="36"/>
        </w:rPr>
      </w:pPr>
    </w:p>
    <w:p w:rsidR="006E6548" w:rsidRDefault="005D7064">
      <w:pPr>
        <w:rPr>
          <w:rFonts w:ascii="黑体" w:eastAsia="黑体"/>
          <w:sz w:val="52"/>
          <w:szCs w:val="52"/>
        </w:rPr>
      </w:pPr>
      <w:r>
        <w:rPr>
          <w:rFonts w:ascii="黑体" w:eastAsia="黑体" w:hint="eastAsia"/>
          <w:sz w:val="52"/>
          <w:szCs w:val="52"/>
        </w:rPr>
        <w:t>第一部分</w:t>
      </w:r>
    </w:p>
    <w:p w:rsidR="006E6548" w:rsidRDefault="006E6548">
      <w:pPr>
        <w:ind w:firstLineChars="200" w:firstLine="1040"/>
        <w:rPr>
          <w:rFonts w:ascii="黑体" w:eastAsia="黑体"/>
          <w:sz w:val="52"/>
          <w:szCs w:val="52"/>
        </w:rPr>
      </w:pPr>
    </w:p>
    <w:p w:rsidR="006E6548" w:rsidRDefault="006E6548">
      <w:pPr>
        <w:ind w:firstLineChars="200" w:firstLine="1040"/>
        <w:rPr>
          <w:rFonts w:ascii="黑体" w:eastAsia="黑体"/>
          <w:sz w:val="52"/>
          <w:szCs w:val="52"/>
        </w:rPr>
      </w:pPr>
    </w:p>
    <w:p w:rsidR="006E6548" w:rsidRDefault="006E6548">
      <w:pPr>
        <w:ind w:firstLineChars="200" w:firstLine="1040"/>
        <w:rPr>
          <w:rFonts w:ascii="黑体" w:eastAsia="黑体"/>
          <w:sz w:val="52"/>
          <w:szCs w:val="52"/>
        </w:rPr>
      </w:pPr>
    </w:p>
    <w:p w:rsidR="006E6548" w:rsidRDefault="006E6548">
      <w:pPr>
        <w:jc w:val="center"/>
        <w:rPr>
          <w:rFonts w:ascii="黑体" w:eastAsia="黑体"/>
          <w:sz w:val="52"/>
          <w:szCs w:val="52"/>
        </w:rPr>
      </w:pPr>
    </w:p>
    <w:p w:rsidR="006E6548" w:rsidRDefault="005D7064">
      <w:pPr>
        <w:jc w:val="center"/>
        <w:rPr>
          <w:rFonts w:ascii="黑体" w:eastAsia="黑体"/>
          <w:sz w:val="52"/>
          <w:szCs w:val="52"/>
        </w:rPr>
      </w:pPr>
      <w:r>
        <w:rPr>
          <w:rFonts w:ascii="黑体" w:eastAsia="黑体" w:hint="eastAsia"/>
          <w:sz w:val="52"/>
          <w:szCs w:val="52"/>
        </w:rPr>
        <w:t>青岛市民政局部门概况</w:t>
      </w:r>
    </w:p>
    <w:p w:rsidR="006E6548" w:rsidRDefault="006E6548">
      <w:pPr>
        <w:rPr>
          <w:rFonts w:ascii="黑体" w:eastAsia="黑体"/>
          <w:b/>
          <w:sz w:val="36"/>
          <w:szCs w:val="36"/>
        </w:rPr>
      </w:pPr>
    </w:p>
    <w:p w:rsidR="006E6548" w:rsidRDefault="006E6548">
      <w:pPr>
        <w:rPr>
          <w:rFonts w:ascii="黑体" w:eastAsia="黑体"/>
          <w:b/>
          <w:sz w:val="36"/>
          <w:szCs w:val="36"/>
        </w:rPr>
      </w:pPr>
    </w:p>
    <w:p w:rsidR="006E6548" w:rsidRDefault="006E6548">
      <w:pPr>
        <w:rPr>
          <w:rFonts w:ascii="黑体" w:eastAsia="黑体"/>
          <w:b/>
          <w:sz w:val="36"/>
          <w:szCs w:val="36"/>
        </w:rPr>
      </w:pPr>
    </w:p>
    <w:p w:rsidR="006E6548" w:rsidRDefault="006E6548">
      <w:pPr>
        <w:rPr>
          <w:rFonts w:ascii="黑体" w:eastAsia="黑体"/>
          <w:b/>
          <w:sz w:val="36"/>
          <w:szCs w:val="36"/>
        </w:rPr>
      </w:pPr>
    </w:p>
    <w:p w:rsidR="006E6548" w:rsidRDefault="006E6548">
      <w:pPr>
        <w:rPr>
          <w:rFonts w:ascii="黑体" w:eastAsia="黑体"/>
          <w:b/>
          <w:sz w:val="36"/>
          <w:szCs w:val="36"/>
        </w:rPr>
      </w:pPr>
    </w:p>
    <w:p w:rsidR="006E6548" w:rsidRDefault="006E6548">
      <w:pPr>
        <w:rPr>
          <w:rFonts w:ascii="黑体" w:eastAsia="黑体"/>
          <w:b/>
          <w:sz w:val="36"/>
          <w:szCs w:val="36"/>
        </w:rPr>
      </w:pPr>
    </w:p>
    <w:p w:rsidR="006E6548" w:rsidRDefault="006E6548">
      <w:pPr>
        <w:rPr>
          <w:rFonts w:ascii="黑体" w:eastAsia="黑体"/>
          <w:b/>
          <w:sz w:val="36"/>
          <w:szCs w:val="36"/>
        </w:rPr>
      </w:pPr>
    </w:p>
    <w:p w:rsidR="006E6548" w:rsidRDefault="006E6548">
      <w:pPr>
        <w:rPr>
          <w:rFonts w:ascii="黑体" w:eastAsia="黑体"/>
          <w:b/>
          <w:sz w:val="36"/>
          <w:szCs w:val="36"/>
        </w:rPr>
      </w:pPr>
    </w:p>
    <w:p w:rsidR="006E6548" w:rsidRDefault="006E6548">
      <w:pPr>
        <w:rPr>
          <w:rFonts w:ascii="黑体" w:eastAsia="黑体"/>
          <w:b/>
          <w:sz w:val="36"/>
          <w:szCs w:val="36"/>
        </w:rPr>
      </w:pPr>
    </w:p>
    <w:p w:rsidR="006E6548" w:rsidRDefault="005D7064">
      <w:pPr>
        <w:spacing w:line="580" w:lineRule="exact"/>
        <w:ind w:firstLineChars="200" w:firstLine="640"/>
        <w:rPr>
          <w:rFonts w:ascii="黑体" w:eastAsia="黑体"/>
          <w:sz w:val="32"/>
          <w:szCs w:val="32"/>
        </w:rPr>
      </w:pPr>
      <w:r>
        <w:rPr>
          <w:rFonts w:ascii="黑体" w:eastAsia="黑体" w:hint="eastAsia"/>
          <w:sz w:val="32"/>
          <w:szCs w:val="32"/>
        </w:rPr>
        <w:t>一、主要职能</w:t>
      </w:r>
    </w:p>
    <w:p w:rsidR="006E6548" w:rsidRDefault="005D7064">
      <w:pPr>
        <w:adjustRightInd w:val="0"/>
        <w:snapToGrid w:val="0"/>
        <w:spacing w:line="540" w:lineRule="exact"/>
        <w:ind w:firstLineChars="200" w:firstLine="640"/>
        <w:rPr>
          <w:rFonts w:ascii="仿宋" w:eastAsia="仿宋" w:hAnsi="仿宋"/>
          <w:sz w:val="32"/>
          <w:szCs w:val="32"/>
        </w:rPr>
      </w:pPr>
      <w:r>
        <w:rPr>
          <w:rFonts w:ascii="仿宋" w:eastAsia="仿宋" w:hAnsi="仿宋" w:hint="eastAsia"/>
          <w:sz w:val="32"/>
          <w:szCs w:val="32"/>
        </w:rPr>
        <w:t>（一）贯彻执行民政事业发展法律、法规，起草有关地方性法规、政府规章草案，拟订民政事业发展规划、政策并组织实施。</w:t>
      </w:r>
    </w:p>
    <w:p w:rsidR="006E6548" w:rsidRDefault="005D7064">
      <w:pPr>
        <w:adjustRightInd w:val="0"/>
        <w:snapToGrid w:val="0"/>
        <w:spacing w:line="540" w:lineRule="exact"/>
        <w:ind w:firstLineChars="200" w:firstLine="640"/>
        <w:rPr>
          <w:rFonts w:ascii="仿宋" w:eastAsia="仿宋" w:hAnsi="仿宋"/>
          <w:sz w:val="32"/>
          <w:szCs w:val="32"/>
        </w:rPr>
      </w:pPr>
      <w:r>
        <w:rPr>
          <w:rFonts w:ascii="仿宋" w:eastAsia="仿宋" w:hAnsi="仿宋" w:hint="eastAsia"/>
          <w:sz w:val="32"/>
          <w:szCs w:val="32"/>
        </w:rPr>
        <w:t>（二）负责社会团体、基金会、社会服务机构等社会组织登记管理工作，依法对社会组织进行登记管理和执法监督，查处违法违规行为。承担中共青岛市社会组织综合委员会的日常工作。</w:t>
      </w:r>
    </w:p>
    <w:p w:rsidR="006E6548" w:rsidRDefault="005D7064">
      <w:pPr>
        <w:adjustRightInd w:val="0"/>
        <w:snapToGrid w:val="0"/>
        <w:spacing w:line="540" w:lineRule="exact"/>
        <w:ind w:firstLineChars="200" w:firstLine="640"/>
        <w:rPr>
          <w:rFonts w:ascii="仿宋" w:eastAsia="仿宋" w:hAnsi="仿宋"/>
          <w:sz w:val="32"/>
          <w:szCs w:val="32"/>
        </w:rPr>
      </w:pPr>
      <w:r>
        <w:rPr>
          <w:rFonts w:ascii="仿宋" w:eastAsia="仿宋" w:hAnsi="仿宋" w:hint="eastAsia"/>
          <w:sz w:val="32"/>
          <w:szCs w:val="32"/>
        </w:rPr>
        <w:t>（三）拟订社会救助政策和相关标准，统筹推进城乡社会救助体系建设，负责城乡居民最低生活保障、特困人员救助供养、临时救助、生活无着流浪乞讨人员救助工作，组织、指导社会救助家庭经济状况核对工作。</w:t>
      </w:r>
    </w:p>
    <w:p w:rsidR="006E6548" w:rsidRDefault="005D7064">
      <w:pPr>
        <w:adjustRightInd w:val="0"/>
        <w:snapToGrid w:val="0"/>
        <w:spacing w:line="540" w:lineRule="exact"/>
        <w:ind w:firstLineChars="200" w:firstLine="640"/>
        <w:rPr>
          <w:rFonts w:ascii="仿宋" w:eastAsia="仿宋" w:hAnsi="仿宋"/>
          <w:sz w:val="32"/>
          <w:szCs w:val="32"/>
        </w:rPr>
      </w:pPr>
      <w:r>
        <w:rPr>
          <w:rFonts w:ascii="仿宋" w:eastAsia="仿宋" w:hAnsi="仿宋" w:hint="eastAsia"/>
          <w:sz w:val="32"/>
          <w:szCs w:val="32"/>
        </w:rPr>
        <w:t>（四）拟订城乡基层群众自治组织建设和社区治理政策，指导城乡社区治理体系和治理能力建设，提出加强和改进城乡基层政权建设的意见和建议，推动基层民主政治建设，协调推进乡镇政府服务能力建设。</w:t>
      </w:r>
    </w:p>
    <w:p w:rsidR="006E6548" w:rsidRDefault="005D7064">
      <w:pPr>
        <w:adjustRightInd w:val="0"/>
        <w:snapToGrid w:val="0"/>
        <w:spacing w:line="540" w:lineRule="exact"/>
        <w:ind w:firstLineChars="200" w:firstLine="640"/>
        <w:rPr>
          <w:rFonts w:ascii="仿宋" w:eastAsia="仿宋" w:hAnsi="仿宋"/>
          <w:sz w:val="32"/>
          <w:szCs w:val="32"/>
        </w:rPr>
      </w:pPr>
      <w:r>
        <w:rPr>
          <w:rFonts w:ascii="仿宋" w:eastAsia="仿宋" w:hAnsi="仿宋" w:hint="eastAsia"/>
          <w:sz w:val="32"/>
          <w:szCs w:val="32"/>
        </w:rPr>
        <w:t>（五）拟订或者参与拟订全市行政区划管理政策、总体规划等并组织实施，负责行政区划的设立、命名、变更和政府驻地迁移的审核报批，负责行政区域界线的勘定、管理和边界争议调处，负责权限内地名管理工作。</w:t>
      </w:r>
    </w:p>
    <w:p w:rsidR="006E6548" w:rsidRDefault="005D7064">
      <w:pPr>
        <w:adjustRightInd w:val="0"/>
        <w:snapToGrid w:val="0"/>
        <w:spacing w:line="540" w:lineRule="exact"/>
        <w:ind w:firstLineChars="200" w:firstLine="640"/>
        <w:rPr>
          <w:rFonts w:ascii="仿宋" w:eastAsia="仿宋" w:hAnsi="仿宋"/>
          <w:sz w:val="32"/>
          <w:szCs w:val="32"/>
        </w:rPr>
      </w:pPr>
      <w:r>
        <w:rPr>
          <w:rFonts w:ascii="仿宋" w:eastAsia="仿宋" w:hAnsi="仿宋" w:hint="eastAsia"/>
          <w:sz w:val="32"/>
          <w:szCs w:val="32"/>
        </w:rPr>
        <w:t>（六）负责指导全市婚姻登记工作。拟订婚姻登记管理政策并组织实施，推进婚俗改革。</w:t>
      </w:r>
    </w:p>
    <w:p w:rsidR="006E6548" w:rsidRDefault="005D7064">
      <w:pPr>
        <w:adjustRightInd w:val="0"/>
        <w:snapToGrid w:val="0"/>
        <w:spacing w:line="540" w:lineRule="exact"/>
        <w:ind w:firstLineChars="200" w:firstLine="640"/>
        <w:rPr>
          <w:rFonts w:ascii="仿宋" w:eastAsia="仿宋" w:hAnsi="仿宋"/>
          <w:sz w:val="32"/>
          <w:szCs w:val="32"/>
        </w:rPr>
      </w:pPr>
      <w:r>
        <w:rPr>
          <w:rFonts w:ascii="仿宋" w:eastAsia="仿宋" w:hAnsi="仿宋" w:hint="eastAsia"/>
          <w:sz w:val="32"/>
          <w:szCs w:val="32"/>
        </w:rPr>
        <w:t>（七）负责殡葬行业监督管理。拟订殡葬管理政策、行业服务规范并组织实施，负责殡仪馆的设立管理，承办设立经营性公墓的审核报批，推进殡葬改革。</w:t>
      </w:r>
    </w:p>
    <w:p w:rsidR="006E6548" w:rsidRDefault="005D7064">
      <w:pPr>
        <w:adjustRightInd w:val="0"/>
        <w:snapToGrid w:val="0"/>
        <w:spacing w:line="540" w:lineRule="exact"/>
        <w:ind w:firstLineChars="200" w:firstLine="640"/>
        <w:rPr>
          <w:rFonts w:ascii="仿宋" w:eastAsia="仿宋" w:hAnsi="仿宋"/>
          <w:sz w:val="32"/>
          <w:szCs w:val="32"/>
        </w:rPr>
      </w:pPr>
      <w:r>
        <w:rPr>
          <w:rFonts w:ascii="仿宋" w:eastAsia="仿宋" w:hAnsi="仿宋" w:hint="eastAsia"/>
          <w:sz w:val="32"/>
          <w:szCs w:val="32"/>
        </w:rPr>
        <w:lastRenderedPageBreak/>
        <w:t>（八）负责养老服务行业监督管理。统筹推进、督促指导养老服务工作，拟订养老服务体系建设规划、政策、标准并组织实施，承担老年人福利和特殊困难老年人救助工作。</w:t>
      </w:r>
    </w:p>
    <w:p w:rsidR="006E6548" w:rsidRDefault="005D7064">
      <w:pPr>
        <w:adjustRightInd w:val="0"/>
        <w:snapToGrid w:val="0"/>
        <w:spacing w:line="540" w:lineRule="exact"/>
        <w:ind w:firstLineChars="200" w:firstLine="640"/>
        <w:rPr>
          <w:rFonts w:ascii="仿宋" w:eastAsia="仿宋" w:hAnsi="仿宋"/>
          <w:sz w:val="32"/>
          <w:szCs w:val="32"/>
        </w:rPr>
      </w:pPr>
      <w:r>
        <w:rPr>
          <w:rFonts w:ascii="仿宋" w:eastAsia="仿宋" w:hAnsi="仿宋" w:hint="eastAsia"/>
          <w:sz w:val="32"/>
          <w:szCs w:val="32"/>
        </w:rPr>
        <w:t>（九）拟订残疾人权益保护政策，统筹推进残疾人福利制度建设和康复辅助器具产业发展。</w:t>
      </w:r>
    </w:p>
    <w:p w:rsidR="006E6548" w:rsidRDefault="005D7064">
      <w:pPr>
        <w:adjustRightInd w:val="0"/>
        <w:snapToGrid w:val="0"/>
        <w:spacing w:line="540" w:lineRule="exact"/>
        <w:ind w:firstLineChars="200" w:firstLine="640"/>
        <w:rPr>
          <w:rFonts w:ascii="仿宋" w:eastAsia="仿宋" w:hAnsi="仿宋"/>
          <w:sz w:val="32"/>
          <w:szCs w:val="32"/>
        </w:rPr>
      </w:pPr>
      <w:r>
        <w:rPr>
          <w:rFonts w:ascii="仿宋" w:eastAsia="仿宋" w:hAnsi="仿宋" w:hint="eastAsia"/>
          <w:sz w:val="32"/>
          <w:szCs w:val="32"/>
        </w:rPr>
        <w:t>（十）拟订儿童福利、孤弃儿童保障、儿童收养、儿童救助保护政策、标准并组织实施，健全农村留守儿童关爱服务体系和困境儿童保障制度。</w:t>
      </w:r>
    </w:p>
    <w:p w:rsidR="006E6548" w:rsidRDefault="005D7064">
      <w:pPr>
        <w:adjustRightInd w:val="0"/>
        <w:snapToGrid w:val="0"/>
        <w:spacing w:line="540" w:lineRule="exact"/>
        <w:ind w:firstLineChars="200" w:firstLine="640"/>
        <w:rPr>
          <w:rFonts w:ascii="仿宋" w:eastAsia="仿宋" w:hAnsi="仿宋"/>
          <w:sz w:val="32"/>
          <w:szCs w:val="32"/>
        </w:rPr>
      </w:pPr>
      <w:r>
        <w:rPr>
          <w:rFonts w:ascii="仿宋" w:eastAsia="仿宋" w:hAnsi="仿宋" w:hint="eastAsia"/>
          <w:sz w:val="32"/>
          <w:szCs w:val="32"/>
        </w:rPr>
        <w:t>（十一）组织拟订促进慈善事业发展政策，组织、指导社会捐助工作，负责福利彩票销售管理等工作。</w:t>
      </w:r>
    </w:p>
    <w:p w:rsidR="006E6548" w:rsidRDefault="005D7064">
      <w:pPr>
        <w:adjustRightInd w:val="0"/>
        <w:snapToGrid w:val="0"/>
        <w:spacing w:line="540" w:lineRule="exact"/>
        <w:ind w:firstLineChars="200" w:firstLine="640"/>
        <w:rPr>
          <w:rFonts w:ascii="仿宋" w:eastAsia="仿宋" w:hAnsi="仿宋"/>
          <w:sz w:val="32"/>
          <w:szCs w:val="32"/>
        </w:rPr>
      </w:pPr>
      <w:r>
        <w:rPr>
          <w:rFonts w:ascii="仿宋" w:eastAsia="仿宋" w:hAnsi="仿宋" w:hint="eastAsia"/>
          <w:sz w:val="32"/>
          <w:szCs w:val="32"/>
        </w:rPr>
        <w:t>（十二）拟订社会工作、志愿服务政策和标准，组织推进社会工作人才队伍建设，推进相关志愿者队伍建设。</w:t>
      </w:r>
    </w:p>
    <w:p w:rsidR="006E6548" w:rsidRDefault="005D7064">
      <w:pPr>
        <w:adjustRightInd w:val="0"/>
        <w:snapToGrid w:val="0"/>
        <w:spacing w:line="540" w:lineRule="exact"/>
        <w:ind w:firstLineChars="200" w:firstLine="640"/>
        <w:rPr>
          <w:rFonts w:ascii="仿宋" w:eastAsia="仿宋" w:hAnsi="仿宋"/>
          <w:sz w:val="32"/>
          <w:szCs w:val="32"/>
        </w:rPr>
      </w:pPr>
      <w:r>
        <w:rPr>
          <w:rFonts w:ascii="仿宋" w:eastAsia="仿宋" w:hAnsi="仿宋" w:hint="eastAsia"/>
          <w:sz w:val="32"/>
          <w:szCs w:val="32"/>
        </w:rPr>
        <w:t>（十三）管理国家以及省、市拨付的民政事业经费，指导、监督民政事业经费的使用。负责民政统计工作。</w:t>
      </w:r>
    </w:p>
    <w:p w:rsidR="006E6548" w:rsidRDefault="005D7064">
      <w:pPr>
        <w:adjustRightInd w:val="0"/>
        <w:snapToGrid w:val="0"/>
        <w:spacing w:line="540" w:lineRule="exact"/>
        <w:ind w:firstLineChars="200" w:firstLine="640"/>
        <w:rPr>
          <w:rFonts w:ascii="仿宋" w:eastAsia="仿宋" w:hAnsi="仿宋"/>
          <w:sz w:val="32"/>
          <w:szCs w:val="32"/>
        </w:rPr>
      </w:pPr>
      <w:r>
        <w:rPr>
          <w:rFonts w:ascii="仿宋" w:eastAsia="仿宋" w:hAnsi="仿宋" w:hint="eastAsia"/>
          <w:sz w:val="32"/>
          <w:szCs w:val="32"/>
        </w:rPr>
        <w:t>（十四）承担民政领域招商引资和招才引智相关工作。培育、引导、扶持相关行业协会发展，推进行业协会自律，发挥服务国家、服务社会、服务群众、服务行业的作用。</w:t>
      </w:r>
    </w:p>
    <w:p w:rsidR="006E6548" w:rsidRDefault="005D7064">
      <w:pPr>
        <w:adjustRightInd w:val="0"/>
        <w:snapToGrid w:val="0"/>
        <w:spacing w:line="540" w:lineRule="exact"/>
        <w:ind w:firstLineChars="200" w:firstLine="640"/>
        <w:rPr>
          <w:rFonts w:ascii="仿宋" w:eastAsia="仿宋" w:hAnsi="仿宋"/>
          <w:sz w:val="32"/>
          <w:szCs w:val="32"/>
        </w:rPr>
      </w:pPr>
      <w:r>
        <w:rPr>
          <w:rFonts w:ascii="仿宋" w:eastAsia="仿宋" w:hAnsi="仿宋" w:hint="eastAsia"/>
          <w:sz w:val="32"/>
          <w:szCs w:val="32"/>
        </w:rPr>
        <w:t>（十五）完成市委、市政府交办的其他任务。</w:t>
      </w:r>
    </w:p>
    <w:p w:rsidR="006E6548" w:rsidRDefault="005D7064">
      <w:pPr>
        <w:adjustRightInd w:val="0"/>
        <w:snapToGrid w:val="0"/>
        <w:spacing w:line="540" w:lineRule="exact"/>
        <w:ind w:firstLineChars="200" w:firstLine="640"/>
        <w:rPr>
          <w:rFonts w:ascii="仿宋" w:eastAsia="仿宋" w:hAnsi="仿宋"/>
          <w:sz w:val="32"/>
          <w:szCs w:val="32"/>
        </w:rPr>
      </w:pPr>
      <w:r>
        <w:rPr>
          <w:rFonts w:ascii="仿宋" w:eastAsia="仿宋" w:hAnsi="仿宋" w:hint="eastAsia"/>
          <w:sz w:val="32"/>
          <w:szCs w:val="32"/>
        </w:rPr>
        <w:t>（十六）职能转变。按照党中央、国务院关于政府职能转变、深化放管服改革，深入推进审批服务便民化的决策部署，认真落实省委、省政府和市委、市政府深化“一次办好”和推进相对集中行政许可权改革要求，组织推进民政系统转变政府职能，深化简政放权，创新监管方式，优化政务服务工作。强化基本民生保障职能，为困难群众、孤老孤残孤儿等特殊群体提供基本社会服务，促进资源向薄弱地区、领域、环节倾斜。积极培育社会组织、</w:t>
      </w:r>
      <w:r>
        <w:rPr>
          <w:rFonts w:ascii="仿宋" w:eastAsia="仿宋" w:hAnsi="仿宋" w:hint="eastAsia"/>
          <w:sz w:val="32"/>
          <w:szCs w:val="32"/>
        </w:rPr>
        <w:lastRenderedPageBreak/>
        <w:t>社会工作者等多元参与主体，推动搭建基层社会治理和社区公共服务平台。</w:t>
      </w:r>
    </w:p>
    <w:p w:rsidR="006E6548" w:rsidRDefault="005D7064">
      <w:pPr>
        <w:adjustRightInd w:val="0"/>
        <w:snapToGrid w:val="0"/>
        <w:spacing w:line="540" w:lineRule="exact"/>
        <w:ind w:firstLineChars="200" w:firstLine="640"/>
        <w:rPr>
          <w:rFonts w:ascii="仿宋" w:eastAsia="仿宋" w:hAnsi="仿宋"/>
          <w:sz w:val="32"/>
          <w:szCs w:val="32"/>
        </w:rPr>
      </w:pPr>
      <w:r>
        <w:rPr>
          <w:rFonts w:ascii="仿宋" w:eastAsia="仿宋" w:hAnsi="仿宋" w:hint="eastAsia"/>
          <w:sz w:val="32"/>
          <w:szCs w:val="32"/>
        </w:rPr>
        <w:t>（十七）有关职责分工。涉及职责分工的部门，应当建立信息共享、行政执法联动等机制，加强协调配合和工作衔接，形成监管合力。</w:t>
      </w:r>
    </w:p>
    <w:p w:rsidR="006E6548" w:rsidRDefault="005D7064">
      <w:pPr>
        <w:adjustRightInd w:val="0"/>
        <w:snapToGrid w:val="0"/>
        <w:spacing w:line="540" w:lineRule="exact"/>
        <w:ind w:firstLineChars="200" w:firstLine="640"/>
        <w:rPr>
          <w:rFonts w:ascii="仿宋" w:eastAsia="仿宋" w:hAnsi="仿宋"/>
          <w:sz w:val="32"/>
          <w:szCs w:val="32"/>
        </w:rPr>
      </w:pPr>
      <w:r>
        <w:rPr>
          <w:rFonts w:ascii="仿宋" w:eastAsia="仿宋" w:hAnsi="仿宋" w:hint="eastAsia"/>
          <w:sz w:val="32"/>
          <w:szCs w:val="32"/>
        </w:rPr>
        <w:t>1．与市卫生健康委的有关职责分工。市民政局负责统筹推进、督促指导、监督管理养老服务工作，起草养老服务体系建设规划和政府规章草案、政策、标准并组织实施，承担老年人福利和特殊困难老年人救助工作。市卫生健康委负责拟订应对人口老龄化、医养结合政策措施，综合协调、督促指导、组织推进老龄事业发展，组织起草维护老年人权益的政府规章草案以及老龄事业发展规划，建立和完善老年健康服务体系，指导老年人权益保障工作，承担老年疾病防治、老年人医疗照护、老年人心理健康与关怀服务等老年健康工作。</w:t>
      </w:r>
    </w:p>
    <w:p w:rsidR="006E6548" w:rsidRDefault="005D7064">
      <w:pPr>
        <w:adjustRightInd w:val="0"/>
        <w:snapToGrid w:val="0"/>
        <w:spacing w:line="540" w:lineRule="exact"/>
        <w:ind w:firstLineChars="200" w:firstLine="640"/>
        <w:rPr>
          <w:rFonts w:ascii="仿宋" w:eastAsia="仿宋" w:hAnsi="仿宋"/>
          <w:sz w:val="32"/>
          <w:szCs w:val="32"/>
        </w:rPr>
      </w:pPr>
      <w:r>
        <w:rPr>
          <w:rFonts w:ascii="仿宋" w:eastAsia="仿宋" w:hAnsi="仿宋" w:hint="eastAsia"/>
          <w:sz w:val="32"/>
          <w:szCs w:val="32"/>
        </w:rPr>
        <w:t>2．市行政审批局和审批服务事项划出部门应当坚持“谁审批谁负责、谁主管谁监管”的原则，按照《中共青岛市委办公厅、青岛市人民政府办公厅印发〈关于推进相对集中行政许可权改革组建青岛市行政审批服务局改革方案〉的通知》文件执行。市行政审批局对划转的行政许可和相关政务服务事项，依法履行职责，并对行政审批行为承担相应的法律责任；履行市行政审批服务工作领导小组办公室职责，牵头建立完善协调与其他审批部门、监管部门、执法机构的关系，研究解决现场踏勘、审图验收等环节的衔接措施。审批服务事项划出部门应当全方位做好监管工作，突出加强事中事后监管，依法对市行政审批局实施的审批行为和行政相对人行使行政许可权利进行监督，依法确定和调整</w:t>
      </w:r>
      <w:r>
        <w:rPr>
          <w:rFonts w:ascii="仿宋" w:eastAsia="仿宋" w:hAnsi="仿宋" w:hint="eastAsia"/>
          <w:sz w:val="32"/>
          <w:szCs w:val="32"/>
        </w:rPr>
        <w:lastRenderedPageBreak/>
        <w:t>行政审批实施所需的审批条件、技术标准等审批规范，明确行政相对人行使行政许可权利的要求、规则和限制性规定等，及时调整和完善行政权力清单、责任清单，严格落实监管职责。各部门应当加强衔接配合，决不允许推卸责任、决不允许出现监管空白。</w:t>
      </w:r>
    </w:p>
    <w:p w:rsidR="006E6548" w:rsidRDefault="005D7064">
      <w:pPr>
        <w:spacing w:line="580" w:lineRule="exact"/>
        <w:ind w:firstLine="645"/>
        <w:rPr>
          <w:rFonts w:ascii="黑体" w:eastAsia="黑体"/>
          <w:sz w:val="32"/>
          <w:szCs w:val="32"/>
        </w:rPr>
      </w:pPr>
      <w:r>
        <w:rPr>
          <w:rFonts w:ascii="黑体" w:eastAsia="黑体" w:hint="eastAsia"/>
          <w:sz w:val="32"/>
          <w:szCs w:val="32"/>
        </w:rPr>
        <w:t>二、机构设置</w:t>
      </w:r>
    </w:p>
    <w:p w:rsidR="006E6548" w:rsidRDefault="005D7064">
      <w:pPr>
        <w:spacing w:line="360" w:lineRule="auto"/>
        <w:ind w:firstLineChars="200" w:firstLine="640"/>
        <w:rPr>
          <w:rFonts w:ascii="仿宋_GB2312" w:eastAsia="仿宋_GB2312" w:hAnsi="楷体"/>
          <w:sz w:val="32"/>
          <w:szCs w:val="32"/>
        </w:rPr>
      </w:pPr>
      <w:r>
        <w:rPr>
          <w:rFonts w:ascii="仿宋_GB2312" w:eastAsia="仿宋_GB2312" w:hAnsi="楷体" w:hint="eastAsia"/>
          <w:sz w:val="32"/>
          <w:szCs w:val="32"/>
        </w:rPr>
        <w:t>市民政局内设机构共14个。分别为：办公室、</w:t>
      </w:r>
      <w:r>
        <w:rPr>
          <w:rFonts w:ascii="仿宋" w:eastAsia="仿宋" w:hAnsi="仿宋" w:hint="eastAsia"/>
          <w:sz w:val="32"/>
          <w:szCs w:val="32"/>
        </w:rPr>
        <w:t>人事处、政策法规处、规划财务处、市社会组织管理局（挂市社会组织执法监察局、中共青岛市社会组织综合委员会办公室牌子）、社会救助处、基层政权建设和社区治理处、区划地名处、社会事务处、养老服务处、儿童福利处、慈善事业促进和社会工作处、机关党</w:t>
      </w:r>
      <w:r>
        <w:rPr>
          <w:rFonts w:ascii="仿宋_GB2312" w:eastAsia="仿宋_GB2312" w:hAnsi="楷体" w:hint="eastAsia"/>
          <w:sz w:val="32"/>
          <w:szCs w:val="32"/>
        </w:rPr>
        <w:t>委、离退休工作处。</w:t>
      </w:r>
    </w:p>
    <w:p w:rsidR="006E6548" w:rsidRDefault="005D7064">
      <w:pPr>
        <w:pStyle w:val="a7"/>
        <w:adjustRightInd w:val="0"/>
        <w:spacing w:before="0" w:beforeAutospacing="0" w:after="0" w:afterAutospacing="0" w:line="360" w:lineRule="auto"/>
        <w:ind w:firstLineChars="200" w:firstLine="640"/>
        <w:rPr>
          <w:rFonts w:ascii="仿宋_GB2312" w:eastAsia="仿宋_GB2312" w:hAnsi="楷体"/>
          <w:sz w:val="32"/>
          <w:szCs w:val="32"/>
        </w:rPr>
      </w:pPr>
      <w:r>
        <w:rPr>
          <w:rFonts w:ascii="仿宋_GB2312" w:eastAsia="仿宋_GB2312" w:hAnsi="楷体" w:hint="eastAsia"/>
          <w:sz w:val="32"/>
          <w:szCs w:val="32"/>
        </w:rPr>
        <w:t>（2）事业单位（共</w:t>
      </w:r>
      <w:r w:rsidR="009B30F2">
        <w:rPr>
          <w:rFonts w:ascii="仿宋_GB2312" w:eastAsia="仿宋_GB2312" w:hAnsi="楷体" w:hint="eastAsia"/>
          <w:sz w:val="32"/>
          <w:szCs w:val="32"/>
        </w:rPr>
        <w:t>9</w:t>
      </w:r>
      <w:r>
        <w:rPr>
          <w:rFonts w:ascii="仿宋_GB2312" w:eastAsia="仿宋_GB2312" w:hAnsi="楷体" w:hint="eastAsia"/>
          <w:sz w:val="32"/>
          <w:szCs w:val="32"/>
        </w:rPr>
        <w:t>个）</w:t>
      </w:r>
    </w:p>
    <w:p w:rsidR="009B30F2" w:rsidRPr="005C44D9" w:rsidRDefault="009B30F2" w:rsidP="009B30F2">
      <w:pPr>
        <w:pStyle w:val="a7"/>
        <w:adjustRightInd w:val="0"/>
        <w:spacing w:before="0" w:beforeAutospacing="0" w:after="0" w:afterAutospacing="0" w:line="360" w:lineRule="auto"/>
        <w:ind w:firstLineChars="200" w:firstLine="640"/>
        <w:rPr>
          <w:rFonts w:ascii="仿宋_GB2312" w:eastAsia="仿宋_GB2312" w:hAnsi="楷体"/>
          <w:color w:val="000000"/>
          <w:sz w:val="32"/>
          <w:szCs w:val="32"/>
        </w:rPr>
      </w:pPr>
      <w:r w:rsidRPr="005C44D9">
        <w:rPr>
          <w:rFonts w:ascii="仿宋_GB2312" w:eastAsia="仿宋_GB2312" w:hAnsi="楷体" w:hint="eastAsia"/>
          <w:color w:val="000000"/>
          <w:sz w:val="32"/>
          <w:szCs w:val="32"/>
        </w:rPr>
        <w:t>全额拨款事业单位5个，分别是：青岛市救助服务中心、青岛市社会福利院、青岛市儿童福利院、青岛市居民家庭经济状况核对中心、青岛市民政事务综合服务中心。</w:t>
      </w:r>
    </w:p>
    <w:p w:rsidR="009B30F2" w:rsidRPr="005C44D9" w:rsidRDefault="009B30F2" w:rsidP="009B30F2">
      <w:pPr>
        <w:pStyle w:val="a7"/>
        <w:adjustRightInd w:val="0"/>
        <w:spacing w:before="0" w:beforeAutospacing="0" w:after="0" w:afterAutospacing="0" w:line="360" w:lineRule="auto"/>
        <w:ind w:firstLineChars="200" w:firstLine="640"/>
        <w:rPr>
          <w:rFonts w:ascii="黑体" w:eastAsia="黑体"/>
          <w:color w:val="000000"/>
          <w:sz w:val="32"/>
          <w:szCs w:val="32"/>
        </w:rPr>
      </w:pPr>
      <w:r w:rsidRPr="005C44D9">
        <w:rPr>
          <w:rFonts w:ascii="仿宋_GB2312" w:eastAsia="仿宋_GB2312" w:hAnsi="楷体" w:hint="eastAsia"/>
          <w:color w:val="000000"/>
          <w:sz w:val="32"/>
          <w:szCs w:val="32"/>
        </w:rPr>
        <w:t>自收自支事业单位4个，分别是：青岛市殡葬事业服务中心、青岛市福利彩票发行中心、青岛福彩养老院、青岛市社区服务指导中心。</w:t>
      </w:r>
    </w:p>
    <w:p w:rsidR="006E6548" w:rsidRDefault="005D7064">
      <w:pPr>
        <w:spacing w:line="580" w:lineRule="exact"/>
        <w:ind w:firstLineChars="200" w:firstLine="640"/>
        <w:rPr>
          <w:rFonts w:ascii="黑体" w:eastAsia="黑体"/>
          <w:sz w:val="32"/>
          <w:szCs w:val="32"/>
        </w:rPr>
      </w:pPr>
      <w:r>
        <w:rPr>
          <w:rFonts w:ascii="黑体" w:eastAsia="黑体" w:hint="eastAsia"/>
          <w:sz w:val="32"/>
          <w:szCs w:val="32"/>
        </w:rPr>
        <w:t>三、预算单位构成</w:t>
      </w:r>
    </w:p>
    <w:p w:rsidR="006E6548" w:rsidRDefault="005D7064">
      <w:pPr>
        <w:snapToGrid w:val="0"/>
        <w:spacing w:line="580" w:lineRule="exact"/>
        <w:ind w:firstLineChars="171" w:firstLine="547"/>
        <w:rPr>
          <w:rFonts w:ascii="仿宋_GB2312" w:eastAsia="仿宋_GB2312" w:cs="Courier New"/>
          <w:sz w:val="32"/>
          <w:szCs w:val="32"/>
        </w:rPr>
      </w:pPr>
      <w:r>
        <w:rPr>
          <w:rFonts w:ascii="仿宋_GB2312" w:eastAsia="仿宋_GB2312" w:hAnsi="宋体" w:cs="Courier New" w:hint="eastAsia"/>
          <w:sz w:val="32"/>
          <w:szCs w:val="32"/>
        </w:rPr>
        <w:t>青岛市民政局部门预算包括：部门本级预算、所属事业单位预算。</w:t>
      </w:r>
    </w:p>
    <w:p w:rsidR="006E6548" w:rsidRDefault="005D7064">
      <w:pPr>
        <w:spacing w:line="580" w:lineRule="exact"/>
        <w:ind w:firstLineChars="150" w:firstLine="480"/>
        <w:rPr>
          <w:rFonts w:ascii="仿宋_GB2312" w:eastAsia="仿宋_GB2312" w:hAnsi="宋体" w:cs="Courier New"/>
          <w:sz w:val="32"/>
          <w:szCs w:val="32"/>
        </w:rPr>
      </w:pPr>
      <w:r>
        <w:rPr>
          <w:rFonts w:ascii="仿宋_GB2312" w:eastAsia="仿宋_GB2312" w:hAnsi="宋体" w:cs="Courier New" w:hint="eastAsia"/>
          <w:sz w:val="32"/>
          <w:szCs w:val="32"/>
        </w:rPr>
        <w:t>纳入民政局（办、部、委）2022年部门预算编制范围的二级</w:t>
      </w:r>
      <w:r>
        <w:rPr>
          <w:rFonts w:ascii="仿宋_GB2312" w:eastAsia="仿宋_GB2312" w:hAnsi="宋体" w:cs="Courier New" w:hint="eastAsia"/>
          <w:sz w:val="32"/>
          <w:szCs w:val="32"/>
        </w:rPr>
        <w:lastRenderedPageBreak/>
        <w:t>预算单位共7个，包括：</w:t>
      </w:r>
    </w:p>
    <w:p w:rsidR="00164175" w:rsidRPr="005C44D9" w:rsidRDefault="00164175" w:rsidP="00164175">
      <w:pPr>
        <w:spacing w:line="580" w:lineRule="exact"/>
        <w:ind w:firstLineChars="200" w:firstLine="640"/>
        <w:rPr>
          <w:rFonts w:ascii="仿宋_GB2312" w:eastAsia="仿宋_GB2312" w:hAnsi="宋体" w:cs="Courier New"/>
          <w:color w:val="000000"/>
          <w:sz w:val="32"/>
          <w:szCs w:val="32"/>
        </w:rPr>
      </w:pPr>
      <w:r w:rsidRPr="005C44D9">
        <w:rPr>
          <w:rFonts w:ascii="仿宋_GB2312" w:eastAsia="仿宋_GB2312" w:hAnsi="宋体" w:cs="Courier New" w:hint="eastAsia"/>
          <w:color w:val="000000"/>
          <w:sz w:val="32"/>
          <w:szCs w:val="32"/>
        </w:rPr>
        <w:t>1、青岛市民政局本级</w:t>
      </w:r>
    </w:p>
    <w:p w:rsidR="00164175" w:rsidRPr="005C44D9" w:rsidRDefault="00164175" w:rsidP="00164175">
      <w:pPr>
        <w:spacing w:line="580" w:lineRule="exact"/>
        <w:ind w:left="710"/>
        <w:rPr>
          <w:rFonts w:ascii="仿宋_GB2312" w:eastAsia="仿宋_GB2312" w:hAnsi="宋体" w:cs="Courier New"/>
          <w:color w:val="000000"/>
          <w:sz w:val="32"/>
          <w:szCs w:val="32"/>
        </w:rPr>
      </w:pPr>
      <w:r w:rsidRPr="005C44D9">
        <w:rPr>
          <w:rFonts w:ascii="仿宋_GB2312" w:eastAsia="仿宋_GB2312" w:hAnsi="宋体" w:cs="Courier New" w:hint="eastAsia"/>
          <w:color w:val="000000"/>
          <w:sz w:val="32"/>
          <w:szCs w:val="32"/>
        </w:rPr>
        <w:t>2、青岛市救助服务中心</w:t>
      </w:r>
    </w:p>
    <w:p w:rsidR="00164175" w:rsidRPr="005C44D9" w:rsidRDefault="00164175" w:rsidP="00164175">
      <w:pPr>
        <w:spacing w:line="580" w:lineRule="exact"/>
        <w:ind w:left="710"/>
        <w:rPr>
          <w:rFonts w:ascii="仿宋_GB2312" w:eastAsia="仿宋_GB2312" w:hAnsi="宋体" w:cs="Courier New"/>
          <w:color w:val="000000"/>
          <w:sz w:val="32"/>
          <w:szCs w:val="32"/>
        </w:rPr>
      </w:pPr>
      <w:r w:rsidRPr="005C44D9">
        <w:rPr>
          <w:rFonts w:ascii="仿宋_GB2312" w:eastAsia="仿宋_GB2312" w:hAnsi="宋体" w:cs="Courier New" w:hint="eastAsia"/>
          <w:color w:val="000000"/>
          <w:sz w:val="32"/>
          <w:szCs w:val="32"/>
        </w:rPr>
        <w:t>3、青岛市社会福利院</w:t>
      </w:r>
    </w:p>
    <w:p w:rsidR="00164175" w:rsidRPr="005C44D9" w:rsidRDefault="00164175" w:rsidP="00164175">
      <w:pPr>
        <w:spacing w:line="580" w:lineRule="exact"/>
        <w:ind w:left="710"/>
        <w:rPr>
          <w:rFonts w:ascii="仿宋_GB2312" w:eastAsia="仿宋_GB2312" w:hAnsi="宋体" w:cs="Courier New"/>
          <w:color w:val="000000"/>
          <w:sz w:val="32"/>
          <w:szCs w:val="32"/>
        </w:rPr>
      </w:pPr>
      <w:r w:rsidRPr="005C44D9">
        <w:rPr>
          <w:rFonts w:ascii="仿宋_GB2312" w:eastAsia="仿宋_GB2312" w:hAnsi="宋体" w:cs="Courier New" w:hint="eastAsia"/>
          <w:color w:val="000000"/>
          <w:sz w:val="32"/>
          <w:szCs w:val="32"/>
        </w:rPr>
        <w:t>4、青岛市儿童福利院</w:t>
      </w:r>
    </w:p>
    <w:p w:rsidR="00164175" w:rsidRPr="005C44D9" w:rsidRDefault="00164175" w:rsidP="00164175">
      <w:pPr>
        <w:spacing w:line="580" w:lineRule="exact"/>
        <w:ind w:firstLineChars="250" w:firstLine="750"/>
        <w:rPr>
          <w:rFonts w:ascii="仿宋_GB2312" w:eastAsia="仿宋_GB2312" w:hAnsi="宋体" w:cs="Courier New"/>
          <w:color w:val="000000"/>
          <w:sz w:val="30"/>
          <w:szCs w:val="30"/>
        </w:rPr>
      </w:pPr>
      <w:r w:rsidRPr="005C44D9">
        <w:rPr>
          <w:rFonts w:ascii="仿宋_GB2312" w:eastAsia="仿宋_GB2312" w:hAnsi="宋体" w:cs="Courier New" w:hint="eastAsia"/>
          <w:color w:val="000000"/>
          <w:sz w:val="30"/>
          <w:szCs w:val="30"/>
        </w:rPr>
        <w:t>5、青岛市民政事务综合服务中心</w:t>
      </w:r>
    </w:p>
    <w:p w:rsidR="00164175" w:rsidRPr="005C44D9" w:rsidRDefault="00164175" w:rsidP="00164175">
      <w:pPr>
        <w:spacing w:line="580" w:lineRule="exact"/>
        <w:ind w:firstLineChars="250" w:firstLine="750"/>
        <w:rPr>
          <w:rFonts w:ascii="仿宋_GB2312" w:eastAsia="仿宋_GB2312" w:hAnsi="宋体" w:cs="Courier New"/>
          <w:color w:val="000000"/>
          <w:sz w:val="30"/>
          <w:szCs w:val="30"/>
        </w:rPr>
      </w:pPr>
      <w:r w:rsidRPr="005C44D9">
        <w:rPr>
          <w:rFonts w:ascii="仿宋_GB2312" w:eastAsia="仿宋_GB2312" w:hAnsi="宋体" w:cs="Courier New" w:hint="eastAsia"/>
          <w:color w:val="000000"/>
          <w:sz w:val="30"/>
          <w:szCs w:val="30"/>
        </w:rPr>
        <w:t>6、青岛市居民家庭经济状况核对中心</w:t>
      </w:r>
    </w:p>
    <w:p w:rsidR="00164175" w:rsidRPr="005C44D9" w:rsidRDefault="00164175" w:rsidP="00164175">
      <w:pPr>
        <w:spacing w:line="580" w:lineRule="exact"/>
        <w:ind w:firstLineChars="250" w:firstLine="750"/>
        <w:rPr>
          <w:rFonts w:ascii="仿宋_GB2312" w:eastAsia="仿宋_GB2312" w:hAnsi="宋体" w:cs="Courier New"/>
          <w:color w:val="000000"/>
          <w:sz w:val="30"/>
          <w:szCs w:val="30"/>
        </w:rPr>
      </w:pPr>
      <w:r w:rsidRPr="005C44D9">
        <w:rPr>
          <w:rFonts w:ascii="仿宋_GB2312" w:eastAsia="仿宋_GB2312" w:hAnsi="宋体" w:cs="Courier New" w:hint="eastAsia"/>
          <w:color w:val="000000"/>
          <w:sz w:val="30"/>
          <w:szCs w:val="30"/>
        </w:rPr>
        <w:t>7、青岛市殡葬事业服务中心</w:t>
      </w:r>
    </w:p>
    <w:p w:rsidR="00164175" w:rsidRPr="0044346F" w:rsidRDefault="00164175" w:rsidP="00164175">
      <w:pPr>
        <w:spacing w:line="580" w:lineRule="exact"/>
        <w:ind w:firstLineChars="200" w:firstLine="640"/>
        <w:rPr>
          <w:rFonts w:ascii="仿宋_GB2312" w:eastAsia="仿宋_GB2312" w:hAnsi="宋体" w:cs="Courier New"/>
          <w:color w:val="FF0000"/>
          <w:sz w:val="32"/>
          <w:szCs w:val="32"/>
        </w:rPr>
      </w:pPr>
    </w:p>
    <w:p w:rsidR="006E6548" w:rsidRDefault="006E6548">
      <w:pPr>
        <w:spacing w:line="580" w:lineRule="exact"/>
        <w:ind w:firstLineChars="200" w:firstLine="640"/>
        <w:rPr>
          <w:rFonts w:ascii="仿宋_GB2312" w:eastAsia="仿宋_GB2312" w:hAnsi="宋体" w:cs="Courier New"/>
          <w:sz w:val="32"/>
          <w:szCs w:val="32"/>
        </w:rPr>
      </w:pPr>
    </w:p>
    <w:p w:rsidR="006E6548" w:rsidRDefault="006E6548">
      <w:pPr>
        <w:rPr>
          <w:rFonts w:ascii="黑体" w:eastAsia="黑体"/>
          <w:b/>
          <w:sz w:val="48"/>
          <w:szCs w:val="48"/>
        </w:rPr>
      </w:pPr>
    </w:p>
    <w:p w:rsidR="006E6548" w:rsidRDefault="006E6548">
      <w:pPr>
        <w:rPr>
          <w:rFonts w:ascii="黑体" w:eastAsia="黑体"/>
          <w:b/>
          <w:sz w:val="48"/>
          <w:szCs w:val="48"/>
        </w:rPr>
      </w:pPr>
    </w:p>
    <w:p w:rsidR="006E6548" w:rsidRDefault="006E6548">
      <w:pPr>
        <w:spacing w:line="580" w:lineRule="exact"/>
        <w:ind w:firstLineChars="150" w:firstLine="480"/>
        <w:rPr>
          <w:rFonts w:ascii="仿宋_GB2312" w:eastAsia="仿宋_GB2312" w:hAnsi="宋体" w:cs="Courier New"/>
          <w:sz w:val="32"/>
          <w:szCs w:val="32"/>
        </w:rPr>
      </w:pPr>
    </w:p>
    <w:p w:rsidR="006E6548" w:rsidRDefault="006E6548">
      <w:pPr>
        <w:rPr>
          <w:rFonts w:ascii="仿宋_GB2312" w:eastAsia="仿宋_GB2312" w:hAnsi="宋体" w:cs="Courier New"/>
          <w:sz w:val="32"/>
          <w:szCs w:val="32"/>
        </w:rPr>
      </w:pPr>
    </w:p>
    <w:p w:rsidR="006E6548" w:rsidRDefault="006E6548">
      <w:pPr>
        <w:rPr>
          <w:rFonts w:ascii="黑体" w:eastAsia="黑体"/>
          <w:b/>
          <w:sz w:val="48"/>
          <w:szCs w:val="48"/>
        </w:rPr>
      </w:pPr>
    </w:p>
    <w:p w:rsidR="006E6548" w:rsidRDefault="006E6548">
      <w:pPr>
        <w:rPr>
          <w:rFonts w:ascii="黑体" w:eastAsia="黑体"/>
          <w:b/>
          <w:sz w:val="48"/>
          <w:szCs w:val="48"/>
        </w:rPr>
      </w:pPr>
    </w:p>
    <w:p w:rsidR="006E6548" w:rsidRDefault="006E6548">
      <w:pPr>
        <w:rPr>
          <w:rFonts w:ascii="黑体" w:eastAsia="黑体"/>
          <w:b/>
          <w:sz w:val="48"/>
          <w:szCs w:val="48"/>
        </w:rPr>
      </w:pPr>
    </w:p>
    <w:p w:rsidR="006E6548" w:rsidRDefault="006E6548">
      <w:pPr>
        <w:rPr>
          <w:rFonts w:ascii="黑体" w:eastAsia="黑体"/>
          <w:b/>
          <w:sz w:val="48"/>
          <w:szCs w:val="48"/>
        </w:rPr>
      </w:pPr>
    </w:p>
    <w:p w:rsidR="006E6548" w:rsidRDefault="006E6548">
      <w:pPr>
        <w:rPr>
          <w:rFonts w:ascii="黑体" w:eastAsia="黑体"/>
          <w:sz w:val="52"/>
          <w:szCs w:val="52"/>
        </w:rPr>
      </w:pPr>
    </w:p>
    <w:p w:rsidR="006E6548" w:rsidRDefault="006E6548">
      <w:pPr>
        <w:rPr>
          <w:rFonts w:ascii="黑体" w:eastAsia="黑体"/>
          <w:sz w:val="52"/>
          <w:szCs w:val="52"/>
        </w:rPr>
      </w:pPr>
    </w:p>
    <w:p w:rsidR="006E6548" w:rsidRDefault="006E6548">
      <w:pPr>
        <w:rPr>
          <w:rFonts w:ascii="黑体" w:eastAsia="黑体"/>
          <w:sz w:val="52"/>
          <w:szCs w:val="52"/>
        </w:rPr>
      </w:pPr>
    </w:p>
    <w:p w:rsidR="006E6548" w:rsidRDefault="006E6548">
      <w:pPr>
        <w:rPr>
          <w:rFonts w:ascii="黑体" w:eastAsia="黑体"/>
          <w:sz w:val="52"/>
          <w:szCs w:val="52"/>
        </w:rPr>
      </w:pPr>
    </w:p>
    <w:p w:rsidR="006E6548" w:rsidRDefault="005D7064">
      <w:pPr>
        <w:rPr>
          <w:rFonts w:ascii="黑体" w:eastAsia="黑体"/>
          <w:sz w:val="52"/>
          <w:szCs w:val="52"/>
        </w:rPr>
      </w:pPr>
      <w:r>
        <w:rPr>
          <w:rFonts w:ascii="黑体" w:eastAsia="黑体" w:hint="eastAsia"/>
          <w:sz w:val="52"/>
          <w:szCs w:val="52"/>
        </w:rPr>
        <w:t>第二部分</w:t>
      </w:r>
    </w:p>
    <w:p w:rsidR="006E6548" w:rsidRDefault="006E6548">
      <w:pPr>
        <w:rPr>
          <w:rFonts w:ascii="黑体" w:eastAsia="黑体"/>
          <w:sz w:val="52"/>
          <w:szCs w:val="52"/>
        </w:rPr>
      </w:pPr>
    </w:p>
    <w:p w:rsidR="006E6548" w:rsidRDefault="006E6548">
      <w:pPr>
        <w:rPr>
          <w:rFonts w:ascii="黑体" w:eastAsia="黑体"/>
          <w:sz w:val="52"/>
          <w:szCs w:val="52"/>
        </w:rPr>
      </w:pPr>
    </w:p>
    <w:p w:rsidR="006E6548" w:rsidRDefault="006E6548">
      <w:pPr>
        <w:rPr>
          <w:rFonts w:ascii="黑体" w:eastAsia="黑体"/>
          <w:sz w:val="52"/>
          <w:szCs w:val="52"/>
        </w:rPr>
      </w:pPr>
    </w:p>
    <w:p w:rsidR="006E6548" w:rsidRDefault="005D7064">
      <w:pPr>
        <w:jc w:val="center"/>
        <w:rPr>
          <w:rFonts w:ascii="黑体" w:eastAsia="黑体"/>
          <w:sz w:val="52"/>
          <w:szCs w:val="52"/>
        </w:rPr>
      </w:pPr>
      <w:r>
        <w:rPr>
          <w:rFonts w:ascii="黑体" w:eastAsia="黑体" w:hint="eastAsia"/>
          <w:sz w:val="52"/>
          <w:szCs w:val="52"/>
        </w:rPr>
        <w:t>2022年部门预算表</w:t>
      </w:r>
    </w:p>
    <w:p w:rsidR="006E6548" w:rsidRDefault="005D7064">
      <w:pPr>
        <w:jc w:val="center"/>
        <w:rPr>
          <w:rFonts w:ascii="黑体" w:eastAsia="黑体"/>
          <w:sz w:val="52"/>
          <w:szCs w:val="52"/>
        </w:rPr>
      </w:pPr>
      <w:r>
        <w:rPr>
          <w:rFonts w:ascii="楷体_GB2312" w:eastAsia="楷体_GB2312" w:hAnsi="楷体_GB2312" w:cs="楷体_GB2312" w:hint="eastAsia"/>
          <w:sz w:val="44"/>
          <w:szCs w:val="44"/>
        </w:rPr>
        <w:t>（可作为附件公开）</w:t>
      </w:r>
    </w:p>
    <w:p w:rsidR="006E6548" w:rsidRDefault="006E6548">
      <w:pPr>
        <w:rPr>
          <w:rFonts w:ascii="黑体" w:eastAsia="黑体"/>
          <w:b/>
          <w:sz w:val="30"/>
          <w:szCs w:val="30"/>
        </w:rPr>
      </w:pPr>
    </w:p>
    <w:p w:rsidR="006E6548" w:rsidRDefault="006E6548">
      <w:pPr>
        <w:rPr>
          <w:rFonts w:ascii="黑体" w:eastAsia="黑体"/>
          <w:b/>
          <w:sz w:val="30"/>
          <w:szCs w:val="30"/>
        </w:rPr>
      </w:pPr>
    </w:p>
    <w:p w:rsidR="006E6548" w:rsidRDefault="006E6548">
      <w:pPr>
        <w:rPr>
          <w:rFonts w:ascii="黑体" w:eastAsia="黑体"/>
          <w:b/>
          <w:sz w:val="30"/>
          <w:szCs w:val="30"/>
        </w:rPr>
      </w:pPr>
    </w:p>
    <w:p w:rsidR="006E6548" w:rsidRDefault="006E6548">
      <w:pPr>
        <w:rPr>
          <w:rFonts w:ascii="黑体" w:eastAsia="黑体"/>
          <w:b/>
          <w:sz w:val="30"/>
          <w:szCs w:val="30"/>
        </w:rPr>
      </w:pPr>
    </w:p>
    <w:p w:rsidR="006E6548" w:rsidRDefault="006E6548">
      <w:pPr>
        <w:rPr>
          <w:rFonts w:ascii="黑体" w:eastAsia="黑体"/>
          <w:b/>
          <w:sz w:val="30"/>
          <w:szCs w:val="30"/>
        </w:rPr>
      </w:pPr>
    </w:p>
    <w:p w:rsidR="006E6548" w:rsidRDefault="006E6548">
      <w:pPr>
        <w:rPr>
          <w:rFonts w:ascii="黑体" w:eastAsia="黑体"/>
          <w:b/>
          <w:sz w:val="30"/>
          <w:szCs w:val="30"/>
        </w:rPr>
      </w:pPr>
    </w:p>
    <w:p w:rsidR="006E6548" w:rsidRDefault="006E6548">
      <w:pPr>
        <w:jc w:val="center"/>
        <w:rPr>
          <w:rFonts w:ascii="黑体" w:eastAsia="黑体"/>
          <w:b/>
          <w:sz w:val="30"/>
          <w:szCs w:val="30"/>
        </w:rPr>
        <w:sectPr w:rsidR="006E6548">
          <w:headerReference w:type="even" r:id="rId9"/>
          <w:headerReference w:type="default" r:id="rId10"/>
          <w:footerReference w:type="even" r:id="rId11"/>
          <w:footerReference w:type="default" r:id="rId12"/>
          <w:pgSz w:w="11906" w:h="16838"/>
          <w:pgMar w:top="2098" w:right="1474" w:bottom="1134" w:left="1587" w:header="851" w:footer="992" w:gutter="0"/>
          <w:cols w:space="720"/>
          <w:docGrid w:type="lines" w:linePitch="312"/>
        </w:sectPr>
      </w:pPr>
    </w:p>
    <w:p w:rsidR="006E6548" w:rsidRDefault="006E6548">
      <w:pPr>
        <w:rPr>
          <w:rFonts w:ascii="黑体" w:eastAsia="黑体"/>
          <w:sz w:val="52"/>
          <w:szCs w:val="52"/>
        </w:rPr>
      </w:pPr>
    </w:p>
    <w:p w:rsidR="006E6548" w:rsidRDefault="006E6548">
      <w:pPr>
        <w:rPr>
          <w:rFonts w:ascii="黑体" w:eastAsia="黑体"/>
          <w:sz w:val="52"/>
          <w:szCs w:val="52"/>
        </w:rPr>
      </w:pPr>
    </w:p>
    <w:p w:rsidR="006E6548" w:rsidRDefault="005D7064">
      <w:pPr>
        <w:rPr>
          <w:rFonts w:ascii="黑体" w:eastAsia="黑体"/>
          <w:sz w:val="52"/>
          <w:szCs w:val="52"/>
        </w:rPr>
      </w:pPr>
      <w:r>
        <w:rPr>
          <w:rFonts w:ascii="黑体" w:eastAsia="黑体" w:hint="eastAsia"/>
          <w:sz w:val="52"/>
          <w:szCs w:val="52"/>
        </w:rPr>
        <w:t>第三部分</w:t>
      </w:r>
    </w:p>
    <w:p w:rsidR="006E6548" w:rsidRDefault="006E6548">
      <w:pPr>
        <w:rPr>
          <w:rFonts w:ascii="黑体" w:eastAsia="黑体"/>
          <w:sz w:val="52"/>
          <w:szCs w:val="52"/>
        </w:rPr>
      </w:pPr>
    </w:p>
    <w:p w:rsidR="006E6548" w:rsidRDefault="006E6548">
      <w:pPr>
        <w:rPr>
          <w:rFonts w:ascii="黑体" w:eastAsia="黑体"/>
          <w:sz w:val="52"/>
          <w:szCs w:val="52"/>
        </w:rPr>
      </w:pPr>
    </w:p>
    <w:p w:rsidR="006E6548" w:rsidRDefault="006E6548">
      <w:pPr>
        <w:rPr>
          <w:rFonts w:ascii="黑体" w:eastAsia="黑体"/>
          <w:sz w:val="52"/>
          <w:szCs w:val="52"/>
        </w:rPr>
      </w:pPr>
    </w:p>
    <w:p w:rsidR="006E6548" w:rsidRDefault="005D7064">
      <w:pPr>
        <w:ind w:leftChars="8" w:left="277" w:hangingChars="50" w:hanging="260"/>
        <w:jc w:val="center"/>
        <w:rPr>
          <w:rFonts w:ascii="黑体" w:eastAsia="黑体"/>
          <w:sz w:val="52"/>
          <w:szCs w:val="52"/>
        </w:rPr>
      </w:pPr>
      <w:r>
        <w:rPr>
          <w:rFonts w:ascii="黑体" w:eastAsia="黑体" w:hint="eastAsia"/>
          <w:sz w:val="52"/>
          <w:szCs w:val="52"/>
        </w:rPr>
        <w:t>2022年部门预算情况和</w:t>
      </w:r>
    </w:p>
    <w:p w:rsidR="006E6548" w:rsidRDefault="005D7064">
      <w:pPr>
        <w:ind w:leftChars="8" w:left="277" w:hangingChars="50" w:hanging="260"/>
        <w:jc w:val="center"/>
        <w:rPr>
          <w:rFonts w:ascii="黑体" w:eastAsia="黑体"/>
          <w:sz w:val="52"/>
          <w:szCs w:val="52"/>
        </w:rPr>
      </w:pPr>
      <w:r>
        <w:rPr>
          <w:rFonts w:ascii="黑体" w:eastAsia="黑体" w:hint="eastAsia"/>
          <w:sz w:val="52"/>
          <w:szCs w:val="52"/>
        </w:rPr>
        <w:t>重要事项说明</w:t>
      </w:r>
    </w:p>
    <w:p w:rsidR="006E6548" w:rsidRDefault="005D7064">
      <w:pPr>
        <w:spacing w:line="580" w:lineRule="exact"/>
        <w:ind w:firstLine="600"/>
        <w:rPr>
          <w:rFonts w:ascii="黑体" w:eastAsia="黑体" w:hAnsi="黑体"/>
          <w:sz w:val="32"/>
          <w:szCs w:val="32"/>
        </w:rPr>
      </w:pPr>
      <w:r>
        <w:rPr>
          <w:rFonts w:ascii="黑体" w:eastAsia="黑体" w:hint="eastAsia"/>
          <w:sz w:val="52"/>
          <w:szCs w:val="52"/>
        </w:rPr>
        <w:br w:type="page"/>
      </w:r>
      <w:r>
        <w:rPr>
          <w:rFonts w:ascii="黑体" w:eastAsia="黑体" w:hAnsi="黑体" w:hint="eastAsia"/>
          <w:sz w:val="32"/>
          <w:szCs w:val="32"/>
        </w:rPr>
        <w:lastRenderedPageBreak/>
        <w:t>一、2022年部门预算情况说明</w:t>
      </w:r>
    </w:p>
    <w:p w:rsidR="006E6548" w:rsidRDefault="005D7064">
      <w:pPr>
        <w:spacing w:line="580" w:lineRule="exact"/>
        <w:ind w:firstLineChars="200" w:firstLine="640"/>
        <w:rPr>
          <w:rFonts w:ascii="楷体_GB2312" w:eastAsia="楷体_GB2312"/>
          <w:sz w:val="32"/>
          <w:szCs w:val="32"/>
        </w:rPr>
      </w:pPr>
      <w:r>
        <w:rPr>
          <w:rFonts w:ascii="楷体_GB2312" w:eastAsia="楷体_GB2312" w:hint="eastAsia"/>
          <w:sz w:val="32"/>
          <w:szCs w:val="32"/>
        </w:rPr>
        <w:t>（一）2022年收支预算总体情况说明</w:t>
      </w:r>
    </w:p>
    <w:p w:rsidR="006E6548" w:rsidRDefault="003E34A9">
      <w:pPr>
        <w:spacing w:line="580" w:lineRule="exact"/>
        <w:ind w:firstLineChars="200" w:firstLine="640"/>
        <w:rPr>
          <w:rFonts w:ascii="仿宋_GB2312" w:eastAsia="仿宋_GB2312"/>
          <w:bCs/>
          <w:sz w:val="32"/>
          <w:szCs w:val="32"/>
        </w:rPr>
      </w:pPr>
      <w:r>
        <w:rPr>
          <w:rFonts w:ascii="仿宋_GB2312" w:eastAsia="仿宋_GB2312"/>
          <w:bCs/>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2.3pt;margin-top:163.45pt;width:306.05pt;height:150.05pt;z-index:-5">
            <v:imagedata r:id="rId13" o:title=""/>
          </v:shape>
          <o:OLEObject Type="Embed" ProgID="MSGraph.Chart.8" ShapeID="_x0000_s1028" DrawAspect="Content" ObjectID="_1714299065" r:id="rId14">
            <o:FieldCodes>\s</o:FieldCodes>
          </o:OLEObject>
        </w:pict>
      </w:r>
      <w:r w:rsidR="005D7064">
        <w:rPr>
          <w:rFonts w:ascii="仿宋_GB2312" w:eastAsia="仿宋_GB2312" w:hint="eastAsia"/>
          <w:sz w:val="32"/>
          <w:szCs w:val="32"/>
        </w:rPr>
        <w:t>按照综合预算的原则，青岛市民政局部门所有收入和支出均纳入部门预算管理。按照收支平衡原则，青岛市民政局部门2022年收支总预算均为</w:t>
      </w:r>
      <w:r w:rsidR="002B44B3">
        <w:rPr>
          <w:rFonts w:ascii="仿宋_GB2312" w:eastAsia="仿宋_GB2312" w:hint="eastAsia"/>
          <w:sz w:val="32"/>
          <w:szCs w:val="32"/>
        </w:rPr>
        <w:t>15197.17</w:t>
      </w:r>
      <w:r w:rsidR="005D7064">
        <w:rPr>
          <w:rFonts w:ascii="仿宋_GB2312" w:eastAsia="仿宋_GB2312" w:hint="eastAsia"/>
          <w:sz w:val="32"/>
          <w:szCs w:val="32"/>
        </w:rPr>
        <w:t>万元。青岛市民政局部门</w:t>
      </w:r>
      <w:r w:rsidR="005D7064">
        <w:rPr>
          <w:rFonts w:ascii="仿宋_GB2312" w:eastAsia="仿宋_GB2312" w:hAnsi="宋体" w:cs="Courier New" w:hint="eastAsia"/>
          <w:sz w:val="32"/>
          <w:szCs w:val="32"/>
        </w:rPr>
        <w:t>收入包括：一般公共预算拨款收入、政府性基金预算拨款收入。</w:t>
      </w:r>
    </w:p>
    <w:p w:rsidR="005D7064" w:rsidRDefault="005D7064" w:rsidP="005D7064">
      <w:pPr>
        <w:tabs>
          <w:tab w:val="left" w:pos="3990"/>
        </w:tabs>
        <w:spacing w:line="580" w:lineRule="exact"/>
        <w:ind w:firstLineChars="200" w:firstLine="640"/>
        <w:rPr>
          <w:rFonts w:ascii="仿宋_GB2312" w:eastAsia="仿宋_GB2312"/>
          <w:bCs/>
          <w:sz w:val="32"/>
          <w:szCs w:val="32"/>
        </w:rPr>
      </w:pPr>
      <w:r>
        <w:rPr>
          <w:rFonts w:ascii="仿宋_GB2312" w:eastAsia="仿宋_GB2312"/>
          <w:bCs/>
          <w:sz w:val="32"/>
          <w:szCs w:val="32"/>
        </w:rPr>
        <w:tab/>
      </w:r>
    </w:p>
    <w:p w:rsidR="005D7064" w:rsidRPr="005D7064" w:rsidRDefault="005D7064">
      <w:pPr>
        <w:spacing w:line="580" w:lineRule="exact"/>
        <w:ind w:firstLineChars="200" w:firstLine="640"/>
        <w:rPr>
          <w:rFonts w:ascii="仿宋_GB2312" w:eastAsia="仿宋_GB2312"/>
          <w:bCs/>
          <w:sz w:val="32"/>
          <w:szCs w:val="32"/>
        </w:rPr>
      </w:pPr>
    </w:p>
    <w:p w:rsidR="006E6548" w:rsidRDefault="006E6548">
      <w:pPr>
        <w:spacing w:line="580" w:lineRule="exact"/>
        <w:ind w:firstLineChars="200" w:firstLine="640"/>
        <w:rPr>
          <w:rFonts w:ascii="仿宋_GB2312" w:eastAsia="仿宋_GB2312"/>
          <w:bCs/>
          <w:sz w:val="32"/>
          <w:szCs w:val="32"/>
        </w:rPr>
      </w:pPr>
    </w:p>
    <w:p w:rsidR="006E6548" w:rsidRDefault="006E6548">
      <w:pPr>
        <w:spacing w:line="580" w:lineRule="exact"/>
        <w:ind w:firstLineChars="200" w:firstLine="640"/>
        <w:rPr>
          <w:rFonts w:ascii="楷体_GB2312" w:eastAsia="楷体_GB2312" w:hAnsi="黑体" w:cs="黑体"/>
          <w:bCs/>
          <w:sz w:val="32"/>
          <w:szCs w:val="32"/>
        </w:rPr>
      </w:pPr>
    </w:p>
    <w:p w:rsidR="0061379D" w:rsidRDefault="0061379D">
      <w:pPr>
        <w:spacing w:line="580" w:lineRule="exact"/>
        <w:ind w:firstLineChars="200" w:firstLine="640"/>
        <w:rPr>
          <w:rFonts w:ascii="楷体_GB2312" w:eastAsia="楷体_GB2312" w:hAnsi="黑体" w:cs="黑体"/>
          <w:bCs/>
          <w:sz w:val="32"/>
          <w:szCs w:val="32"/>
        </w:rPr>
      </w:pPr>
    </w:p>
    <w:p w:rsidR="00C101A2" w:rsidRDefault="00C101A2">
      <w:pPr>
        <w:spacing w:line="580" w:lineRule="exact"/>
        <w:ind w:firstLineChars="200" w:firstLine="640"/>
        <w:rPr>
          <w:rFonts w:ascii="楷体_GB2312" w:eastAsia="楷体_GB2312" w:hAnsi="黑体" w:cs="黑体"/>
          <w:bCs/>
          <w:sz w:val="32"/>
          <w:szCs w:val="32"/>
        </w:rPr>
      </w:pPr>
    </w:p>
    <w:p w:rsidR="006E6548" w:rsidRDefault="005D7064">
      <w:pPr>
        <w:spacing w:line="580" w:lineRule="exact"/>
        <w:ind w:firstLineChars="200" w:firstLine="640"/>
        <w:rPr>
          <w:rFonts w:ascii="楷体_GB2312" w:eastAsia="楷体_GB2312" w:hAnsi="黑体" w:cs="黑体"/>
          <w:bCs/>
          <w:sz w:val="32"/>
          <w:szCs w:val="32"/>
        </w:rPr>
      </w:pPr>
      <w:r>
        <w:rPr>
          <w:rFonts w:ascii="楷体_GB2312" w:eastAsia="楷体_GB2312" w:hAnsi="黑体" w:cs="黑体" w:hint="eastAsia"/>
          <w:bCs/>
          <w:sz w:val="32"/>
          <w:szCs w:val="32"/>
        </w:rPr>
        <w:t>（二）2022年收入预算情况说明</w:t>
      </w:r>
    </w:p>
    <w:p w:rsidR="006E6548" w:rsidRDefault="005D7064">
      <w:pPr>
        <w:spacing w:line="580" w:lineRule="exact"/>
        <w:ind w:firstLineChars="200" w:firstLine="640"/>
        <w:rPr>
          <w:rFonts w:ascii="仿宋_GB2312" w:eastAsia="仿宋_GB2312"/>
          <w:bCs/>
          <w:sz w:val="32"/>
          <w:szCs w:val="32"/>
        </w:rPr>
      </w:pPr>
      <w:r>
        <w:rPr>
          <w:rFonts w:ascii="仿宋_GB2312" w:eastAsia="仿宋_GB2312" w:hAnsi="仿宋_GB2312" w:cs="仿宋_GB2312" w:hint="eastAsia"/>
          <w:bCs/>
          <w:sz w:val="32"/>
          <w:szCs w:val="32"/>
        </w:rPr>
        <w:t>青岛市民政局部门2022年收入预算为</w:t>
      </w:r>
      <w:r w:rsidR="002B44B3">
        <w:rPr>
          <w:rFonts w:ascii="仿宋_GB2312" w:eastAsia="仿宋_GB2312" w:hAnsi="仿宋_GB2312" w:cs="仿宋_GB2312" w:hint="eastAsia"/>
          <w:bCs/>
          <w:sz w:val="32"/>
          <w:szCs w:val="32"/>
        </w:rPr>
        <w:t>15197.17</w:t>
      </w:r>
      <w:r>
        <w:rPr>
          <w:rFonts w:ascii="仿宋_GB2312" w:eastAsia="仿宋_GB2312" w:hAnsi="仿宋_GB2312" w:cs="仿宋_GB2312" w:hint="eastAsia"/>
          <w:bCs/>
          <w:sz w:val="32"/>
          <w:szCs w:val="32"/>
        </w:rPr>
        <w:t>万元，其中：财政拨款</w:t>
      </w:r>
      <w:r w:rsidR="002B44B3">
        <w:rPr>
          <w:rFonts w:ascii="仿宋_GB2312" w:eastAsia="仿宋_GB2312" w:hAnsi="仿宋_GB2312" w:cs="仿宋_GB2312" w:hint="eastAsia"/>
          <w:bCs/>
          <w:sz w:val="32"/>
          <w:szCs w:val="32"/>
        </w:rPr>
        <w:t>15197.17</w:t>
      </w:r>
      <w:r>
        <w:rPr>
          <w:rFonts w:ascii="仿宋_GB2312" w:eastAsia="仿宋_GB2312" w:hAnsi="仿宋_GB2312" w:cs="仿宋_GB2312" w:hint="eastAsia"/>
          <w:bCs/>
          <w:sz w:val="32"/>
          <w:szCs w:val="32"/>
        </w:rPr>
        <w:t>万元，占100%</w:t>
      </w:r>
      <w:r w:rsidR="001B54F4">
        <w:rPr>
          <w:rFonts w:ascii="仿宋_GB2312" w:eastAsia="仿宋_GB2312" w:hAnsi="仿宋_GB2312" w:cs="仿宋_GB2312" w:hint="eastAsia"/>
          <w:bCs/>
          <w:sz w:val="32"/>
          <w:szCs w:val="32"/>
        </w:rPr>
        <w:t>。</w:t>
      </w:r>
    </w:p>
    <w:p w:rsidR="005D7064" w:rsidRDefault="003E34A9" w:rsidP="005D7064">
      <w:pPr>
        <w:tabs>
          <w:tab w:val="left" w:pos="3990"/>
        </w:tabs>
        <w:spacing w:line="580" w:lineRule="exact"/>
        <w:ind w:firstLineChars="200" w:firstLine="640"/>
        <w:rPr>
          <w:rFonts w:ascii="仿宋_GB2312" w:eastAsia="仿宋_GB2312"/>
          <w:bCs/>
          <w:sz w:val="32"/>
          <w:szCs w:val="32"/>
        </w:rPr>
      </w:pPr>
      <w:r>
        <w:rPr>
          <w:rFonts w:ascii="仿宋_GB2312" w:eastAsia="仿宋_GB2312"/>
          <w:bCs/>
          <w:noProof/>
          <w:sz w:val="32"/>
          <w:szCs w:val="32"/>
        </w:rPr>
        <w:pict>
          <v:shape id="_x0000_s1029" type="#_x0000_t75" style="position:absolute;left:0;text-align:left;margin-left:48.9pt;margin-top:8.05pt;width:372.8pt;height:158.25pt;z-index:-4">
            <v:imagedata r:id="rId15" o:title=""/>
          </v:shape>
          <o:OLEObject Type="Embed" ProgID="MSGraph.Chart.8" ShapeID="_x0000_s1029" DrawAspect="Content" ObjectID="_1714299066" r:id="rId16">
            <o:FieldCodes>\s</o:FieldCodes>
          </o:OLEObject>
        </w:pict>
      </w:r>
      <w:r w:rsidR="005D7064">
        <w:rPr>
          <w:rFonts w:ascii="仿宋_GB2312" w:eastAsia="仿宋_GB2312"/>
          <w:bCs/>
          <w:sz w:val="32"/>
          <w:szCs w:val="32"/>
        </w:rPr>
        <w:tab/>
      </w:r>
    </w:p>
    <w:p w:rsidR="006E6548" w:rsidRDefault="006E6548">
      <w:pPr>
        <w:spacing w:line="580" w:lineRule="exact"/>
        <w:ind w:firstLineChars="200" w:firstLine="640"/>
        <w:rPr>
          <w:rFonts w:ascii="仿宋_GB2312" w:eastAsia="仿宋_GB2312"/>
          <w:bCs/>
          <w:sz w:val="32"/>
          <w:szCs w:val="32"/>
        </w:rPr>
      </w:pPr>
      <w:r w:rsidRPr="006E6548">
        <w:rPr>
          <w:rFonts w:ascii="仿宋_GB2312" w:eastAsia="仿宋_GB2312" w:hint="eastAsia"/>
          <w:bCs/>
          <w:sz w:val="32"/>
          <w:szCs w:val="32"/>
        </w:rPr>
        <w:object w:dxaOrig="4320" w:dyaOrig="4320">
          <v:shape id="_x0000_i1025" type="#_x0000_t75" style="width:3in;height:3in" o:ole=""/>
          <o:OLEObject Type="Embed" ProgID="Excel.Chart.8" ShapeID="_x0000_i1025" DrawAspect="Content" ObjectID="_1714299063" r:id="rId17"/>
        </w:object>
      </w:r>
      <w:r w:rsidRPr="006E6548">
        <w:rPr>
          <w:rFonts w:ascii="仿宋_GB2312" w:eastAsia="仿宋_GB2312" w:hint="eastAsia"/>
          <w:bCs/>
          <w:sz w:val="32"/>
          <w:szCs w:val="32"/>
        </w:rPr>
        <w:object w:dxaOrig="4320" w:dyaOrig="4320">
          <v:shape id="_x0000_i1026" type="#_x0000_t75" style="width:3in;height:3in" o:ole=""/>
          <o:OLEObject Type="Embed" ProgID="Excel.Chart.8" ShapeID="_x0000_i1026" DrawAspect="Content" ObjectID="_1714299064" r:id="rId18"/>
        </w:object>
      </w:r>
    </w:p>
    <w:p w:rsidR="006E6548" w:rsidRDefault="006E6548">
      <w:pPr>
        <w:spacing w:line="580" w:lineRule="exact"/>
        <w:ind w:firstLineChars="200" w:firstLine="640"/>
        <w:rPr>
          <w:rFonts w:ascii="仿宋_GB2312" w:eastAsia="仿宋_GB2312"/>
          <w:bCs/>
          <w:sz w:val="32"/>
          <w:szCs w:val="32"/>
        </w:rPr>
      </w:pPr>
    </w:p>
    <w:p w:rsidR="003A149E" w:rsidRDefault="003A149E">
      <w:pPr>
        <w:spacing w:line="580" w:lineRule="exact"/>
        <w:ind w:firstLineChars="200" w:firstLine="640"/>
        <w:rPr>
          <w:rFonts w:ascii="楷体_GB2312" w:eastAsia="楷体_GB2312" w:hAnsi="黑体" w:cs="黑体"/>
          <w:bCs/>
          <w:sz w:val="32"/>
          <w:szCs w:val="32"/>
        </w:rPr>
      </w:pPr>
    </w:p>
    <w:p w:rsidR="0061379D" w:rsidRDefault="0061379D">
      <w:pPr>
        <w:spacing w:line="580" w:lineRule="exact"/>
        <w:ind w:firstLineChars="200" w:firstLine="640"/>
        <w:rPr>
          <w:rFonts w:ascii="楷体_GB2312" w:eastAsia="楷体_GB2312" w:hAnsi="黑体" w:cs="黑体"/>
          <w:bCs/>
          <w:sz w:val="32"/>
          <w:szCs w:val="32"/>
        </w:rPr>
      </w:pPr>
    </w:p>
    <w:p w:rsidR="006E6548" w:rsidRDefault="005D7064">
      <w:pPr>
        <w:spacing w:line="580" w:lineRule="exact"/>
        <w:ind w:firstLineChars="200" w:firstLine="640"/>
        <w:rPr>
          <w:rFonts w:ascii="楷体_GB2312" w:eastAsia="楷体_GB2312" w:hAnsi="黑体" w:cs="黑体"/>
          <w:bCs/>
          <w:sz w:val="32"/>
          <w:szCs w:val="32"/>
        </w:rPr>
      </w:pPr>
      <w:r>
        <w:rPr>
          <w:rFonts w:ascii="楷体_GB2312" w:eastAsia="楷体_GB2312" w:hAnsi="黑体" w:cs="黑体" w:hint="eastAsia"/>
          <w:bCs/>
          <w:sz w:val="32"/>
          <w:szCs w:val="32"/>
        </w:rPr>
        <w:t>（三）2022年支出预算情况说明</w:t>
      </w:r>
    </w:p>
    <w:p w:rsidR="00C101A2" w:rsidRDefault="005D7064">
      <w:pPr>
        <w:spacing w:line="580" w:lineRule="exact"/>
        <w:ind w:firstLineChars="200" w:firstLine="640"/>
        <w:rPr>
          <w:rFonts w:ascii="仿宋_GB2312" w:eastAsia="仿宋_GB2312"/>
          <w:bCs/>
          <w:sz w:val="32"/>
          <w:szCs w:val="32"/>
        </w:rPr>
      </w:pPr>
      <w:r>
        <w:rPr>
          <w:rFonts w:ascii="仿宋_GB2312" w:eastAsia="仿宋_GB2312" w:hAnsi="仿宋_GB2312" w:cs="仿宋_GB2312" w:hint="eastAsia"/>
          <w:bCs/>
          <w:sz w:val="32"/>
          <w:szCs w:val="32"/>
        </w:rPr>
        <w:t>青岛市民政局部门2022年支出预算为</w:t>
      </w:r>
      <w:r w:rsidR="002B44B3">
        <w:rPr>
          <w:rFonts w:ascii="仿宋_GB2312" w:eastAsia="仿宋_GB2312" w:hAnsi="仿宋_GB2312" w:cs="仿宋_GB2312" w:hint="eastAsia"/>
          <w:bCs/>
          <w:sz w:val="32"/>
          <w:szCs w:val="32"/>
        </w:rPr>
        <w:t>15197.17</w:t>
      </w:r>
      <w:r>
        <w:rPr>
          <w:rFonts w:ascii="仿宋_GB2312" w:eastAsia="仿宋_GB2312" w:hAnsi="仿宋_GB2312" w:cs="仿宋_GB2312" w:hint="eastAsia"/>
          <w:bCs/>
          <w:sz w:val="32"/>
          <w:szCs w:val="32"/>
        </w:rPr>
        <w:t>万元，</w:t>
      </w:r>
      <w:r>
        <w:rPr>
          <w:rFonts w:ascii="仿宋_GB2312" w:eastAsia="仿宋_GB2312" w:hAnsi="仿宋_GB2312" w:cs="仿宋_GB2312" w:hint="eastAsia"/>
          <w:bCs/>
          <w:sz w:val="32"/>
          <w:szCs w:val="32"/>
        </w:rPr>
        <w:lastRenderedPageBreak/>
        <w:t>其中：基本支出</w:t>
      </w:r>
      <w:r w:rsidR="002B44B3">
        <w:rPr>
          <w:rFonts w:ascii="仿宋_GB2312" w:eastAsia="仿宋_GB2312" w:hAnsi="仿宋_GB2312" w:cs="仿宋_GB2312" w:hint="eastAsia"/>
          <w:bCs/>
          <w:sz w:val="32"/>
          <w:szCs w:val="32"/>
        </w:rPr>
        <w:t>10601.71</w:t>
      </w:r>
      <w:r>
        <w:rPr>
          <w:rFonts w:ascii="仿宋_GB2312" w:eastAsia="仿宋_GB2312" w:hAnsi="仿宋_GB2312" w:cs="仿宋_GB2312" w:hint="eastAsia"/>
          <w:bCs/>
          <w:sz w:val="32"/>
          <w:szCs w:val="32"/>
        </w:rPr>
        <w:t>万元，占</w:t>
      </w:r>
      <w:r w:rsidR="002B44B3">
        <w:rPr>
          <w:rFonts w:ascii="仿宋_GB2312" w:eastAsia="仿宋_GB2312" w:hAnsi="仿宋_GB2312" w:cs="仿宋_GB2312" w:hint="eastAsia"/>
          <w:bCs/>
          <w:sz w:val="32"/>
          <w:szCs w:val="32"/>
        </w:rPr>
        <w:t>69.76</w:t>
      </w:r>
      <w:r>
        <w:rPr>
          <w:rFonts w:ascii="仿宋_GB2312" w:eastAsia="仿宋_GB2312" w:hAnsi="仿宋_GB2312" w:cs="仿宋_GB2312" w:hint="eastAsia"/>
          <w:bCs/>
          <w:sz w:val="32"/>
          <w:szCs w:val="32"/>
        </w:rPr>
        <w:t>%，项目支出</w:t>
      </w:r>
      <w:r w:rsidR="002B44B3">
        <w:rPr>
          <w:rFonts w:ascii="仿宋_GB2312" w:eastAsia="仿宋_GB2312" w:hAnsi="仿宋_GB2312" w:cs="仿宋_GB2312" w:hint="eastAsia"/>
          <w:bCs/>
          <w:sz w:val="32"/>
          <w:szCs w:val="32"/>
        </w:rPr>
        <w:t>4595.46</w:t>
      </w:r>
      <w:r>
        <w:rPr>
          <w:rFonts w:ascii="仿宋_GB2312" w:eastAsia="仿宋_GB2312" w:hAnsi="仿宋_GB2312" w:cs="仿宋_GB2312" w:hint="eastAsia"/>
          <w:bCs/>
          <w:sz w:val="32"/>
          <w:szCs w:val="32"/>
        </w:rPr>
        <w:t>万元，占</w:t>
      </w:r>
      <w:r w:rsidR="002B44B3">
        <w:rPr>
          <w:rFonts w:ascii="仿宋_GB2312" w:eastAsia="仿宋_GB2312" w:hAnsi="仿宋_GB2312" w:cs="仿宋_GB2312" w:hint="eastAsia"/>
          <w:bCs/>
          <w:sz w:val="32"/>
          <w:szCs w:val="32"/>
        </w:rPr>
        <w:t>30.24</w:t>
      </w:r>
      <w:r>
        <w:rPr>
          <w:rFonts w:ascii="仿宋_GB2312" w:eastAsia="仿宋_GB2312" w:hAnsi="仿宋_GB2312" w:cs="仿宋_GB2312" w:hint="eastAsia"/>
          <w:bCs/>
          <w:sz w:val="32"/>
          <w:szCs w:val="32"/>
        </w:rPr>
        <w:t>%。</w:t>
      </w:r>
      <w:r>
        <w:rPr>
          <w:rFonts w:ascii="仿宋_GB2312" w:eastAsia="仿宋_GB2312" w:hint="eastAsia"/>
          <w:bCs/>
          <w:sz w:val="32"/>
          <w:szCs w:val="32"/>
        </w:rPr>
        <w:t xml:space="preserve"> </w:t>
      </w:r>
    </w:p>
    <w:p w:rsidR="006E6548" w:rsidRDefault="003E34A9">
      <w:pPr>
        <w:spacing w:line="580" w:lineRule="exact"/>
        <w:ind w:firstLineChars="200" w:firstLine="640"/>
        <w:rPr>
          <w:rFonts w:ascii="仿宋_GB2312" w:eastAsia="仿宋_GB2312"/>
          <w:bCs/>
          <w:sz w:val="32"/>
          <w:szCs w:val="32"/>
        </w:rPr>
      </w:pPr>
      <w:r>
        <w:rPr>
          <w:rFonts w:ascii="仿宋_GB2312" w:eastAsia="仿宋_GB2312"/>
          <w:bCs/>
          <w:noProof/>
          <w:sz w:val="32"/>
          <w:szCs w:val="32"/>
        </w:rPr>
        <w:pict>
          <v:shape id="_x0000_s1030" type="#_x0000_t75" style="position:absolute;left:0;text-align:left;margin-left:88.55pt;margin-top:19.2pt;width:265.5pt;height:174pt;z-index:-3">
            <v:imagedata r:id="rId19" o:title=""/>
          </v:shape>
          <o:OLEObject Type="Embed" ProgID="MSGraph.Chart.8" ShapeID="_x0000_s1030" DrawAspect="Content" ObjectID="_1714299067" r:id="rId20">
            <o:FieldCodes>\s</o:FieldCodes>
          </o:OLEObject>
        </w:pict>
      </w:r>
    </w:p>
    <w:p w:rsidR="005D7064" w:rsidRDefault="005D7064">
      <w:pPr>
        <w:spacing w:line="580" w:lineRule="exact"/>
        <w:ind w:firstLineChars="200" w:firstLine="640"/>
        <w:rPr>
          <w:rFonts w:ascii="仿宋_GB2312" w:eastAsia="仿宋_GB2312"/>
          <w:bCs/>
          <w:sz w:val="32"/>
          <w:szCs w:val="32"/>
        </w:rPr>
      </w:pPr>
    </w:p>
    <w:p w:rsidR="005D7064" w:rsidRDefault="005D7064">
      <w:pPr>
        <w:spacing w:line="580" w:lineRule="exact"/>
        <w:ind w:firstLineChars="200" w:firstLine="640"/>
        <w:rPr>
          <w:rFonts w:ascii="仿宋_GB2312" w:eastAsia="仿宋_GB2312"/>
          <w:bCs/>
          <w:sz w:val="32"/>
          <w:szCs w:val="32"/>
        </w:rPr>
      </w:pPr>
    </w:p>
    <w:p w:rsidR="006E6548" w:rsidRDefault="006E6548">
      <w:pPr>
        <w:spacing w:line="580" w:lineRule="exact"/>
        <w:ind w:firstLineChars="200" w:firstLine="640"/>
        <w:rPr>
          <w:rFonts w:ascii="仿宋_GB2312" w:eastAsia="仿宋_GB2312"/>
          <w:bCs/>
          <w:sz w:val="32"/>
          <w:szCs w:val="32"/>
        </w:rPr>
      </w:pPr>
    </w:p>
    <w:p w:rsidR="006E6548" w:rsidRDefault="006E6548">
      <w:pPr>
        <w:spacing w:line="580" w:lineRule="exact"/>
        <w:ind w:firstLineChars="200" w:firstLine="640"/>
        <w:rPr>
          <w:rFonts w:ascii="仿宋_GB2312" w:eastAsia="仿宋_GB2312"/>
          <w:bCs/>
          <w:sz w:val="32"/>
          <w:szCs w:val="32"/>
        </w:rPr>
      </w:pPr>
    </w:p>
    <w:p w:rsidR="003A149E" w:rsidRDefault="003A149E">
      <w:pPr>
        <w:spacing w:line="580" w:lineRule="exact"/>
        <w:ind w:firstLineChars="200" w:firstLine="640"/>
        <w:rPr>
          <w:rFonts w:ascii="楷体_GB2312" w:eastAsia="楷体_GB2312" w:hAnsi="黑体" w:cs="黑体"/>
          <w:sz w:val="32"/>
          <w:szCs w:val="32"/>
        </w:rPr>
      </w:pPr>
    </w:p>
    <w:p w:rsidR="006E6548" w:rsidRDefault="005D7064">
      <w:pPr>
        <w:spacing w:line="580" w:lineRule="exact"/>
        <w:ind w:firstLineChars="200" w:firstLine="640"/>
        <w:rPr>
          <w:rFonts w:ascii="楷体_GB2312" w:eastAsia="楷体_GB2312" w:hAnsi="黑体" w:cs="黑体"/>
          <w:sz w:val="32"/>
          <w:szCs w:val="32"/>
        </w:rPr>
      </w:pPr>
      <w:r>
        <w:rPr>
          <w:rFonts w:ascii="楷体_GB2312" w:eastAsia="楷体_GB2312" w:hAnsi="黑体" w:cs="黑体" w:hint="eastAsia"/>
          <w:sz w:val="32"/>
          <w:szCs w:val="32"/>
        </w:rPr>
        <w:t>（四）2022年财政拨款收入支出预算总体情况说明</w:t>
      </w:r>
    </w:p>
    <w:p w:rsidR="006E6548" w:rsidRDefault="005D706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2022年财政拨款收支预算 </w:t>
      </w:r>
      <w:r w:rsidR="002B44B3">
        <w:rPr>
          <w:rFonts w:ascii="仿宋_GB2312" w:eastAsia="仿宋_GB2312" w:hAnsi="仿宋_GB2312" w:cs="仿宋_GB2312" w:hint="eastAsia"/>
          <w:bCs/>
          <w:sz w:val="32"/>
          <w:szCs w:val="32"/>
        </w:rPr>
        <w:t>15197.17</w:t>
      </w:r>
      <w:r>
        <w:rPr>
          <w:rFonts w:ascii="仿宋_GB2312" w:eastAsia="仿宋_GB2312" w:hAnsi="仿宋_GB2312" w:cs="仿宋_GB2312" w:hint="eastAsia"/>
          <w:sz w:val="32"/>
          <w:szCs w:val="32"/>
        </w:rPr>
        <w:t>万元，与2021年相比，财政拨款收入、支出总计各减少</w:t>
      </w:r>
      <w:r w:rsidR="002B44B3">
        <w:rPr>
          <w:rFonts w:ascii="仿宋_GB2312" w:eastAsia="仿宋_GB2312" w:hAnsi="仿宋_GB2312" w:cs="仿宋_GB2312" w:hint="eastAsia"/>
          <w:sz w:val="32"/>
          <w:szCs w:val="32"/>
        </w:rPr>
        <w:t>7718.</w:t>
      </w:r>
      <w:r w:rsidR="00711C00">
        <w:rPr>
          <w:rFonts w:ascii="仿宋_GB2312" w:eastAsia="仿宋_GB2312" w:hAnsi="仿宋_GB2312" w:cs="仿宋_GB2312" w:hint="eastAsia"/>
          <w:sz w:val="32"/>
          <w:szCs w:val="32"/>
        </w:rPr>
        <w:t>0</w:t>
      </w:r>
      <w:r w:rsidR="002B44B3">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万元，下降</w:t>
      </w:r>
      <w:r w:rsidR="007B1B89">
        <w:rPr>
          <w:rFonts w:ascii="仿宋_GB2312" w:eastAsia="仿宋_GB2312" w:hAnsi="仿宋_GB2312" w:cs="仿宋_GB2312" w:hint="eastAsia"/>
          <w:sz w:val="32"/>
          <w:szCs w:val="32"/>
        </w:rPr>
        <w:t>33.68</w:t>
      </w:r>
      <w:r>
        <w:rPr>
          <w:rFonts w:ascii="仿宋_GB2312" w:eastAsia="仿宋_GB2312" w:hAnsi="仿宋_GB2312" w:cs="仿宋_GB2312" w:hint="eastAsia"/>
          <w:sz w:val="32"/>
          <w:szCs w:val="32"/>
        </w:rPr>
        <w:t>%。主要原因减少了基建项目预算支出。</w:t>
      </w:r>
    </w:p>
    <w:p w:rsidR="00711C00" w:rsidRDefault="00711C00">
      <w:pPr>
        <w:spacing w:line="580" w:lineRule="exact"/>
        <w:ind w:firstLineChars="200" w:firstLine="640"/>
        <w:rPr>
          <w:rFonts w:ascii="仿宋_GB2312" w:eastAsia="仿宋_GB2312"/>
          <w:bCs/>
          <w:sz w:val="32"/>
          <w:szCs w:val="32"/>
        </w:rPr>
      </w:pPr>
    </w:p>
    <w:p w:rsidR="00593AE5" w:rsidRDefault="003E34A9">
      <w:pPr>
        <w:spacing w:line="580" w:lineRule="exact"/>
        <w:ind w:firstLineChars="200" w:firstLine="640"/>
        <w:rPr>
          <w:rFonts w:ascii="仿宋_GB2312" w:eastAsia="仿宋_GB2312"/>
          <w:bCs/>
          <w:sz w:val="32"/>
          <w:szCs w:val="32"/>
        </w:rPr>
      </w:pPr>
      <w:r>
        <w:rPr>
          <w:rFonts w:ascii="仿宋_GB2312" w:eastAsia="仿宋_GB2312"/>
          <w:bCs/>
          <w:noProof/>
          <w:sz w:val="32"/>
          <w:szCs w:val="32"/>
        </w:rPr>
        <w:pict>
          <v:shape id="_x0000_s1033" type="#_x0000_t75" style="position:absolute;left:0;text-align:left;margin-left:0;margin-top:-.5pt;width:279.8pt;height:137.3pt;z-index:-2;mso-position-horizontal:center">
            <v:imagedata r:id="rId21" o:title=""/>
          </v:shape>
          <o:OLEObject Type="Embed" ProgID="MSGraph.Chart.8" ShapeID="_x0000_s1033" DrawAspect="Content" ObjectID="_1714299068" r:id="rId22">
            <o:FieldCodes>\s</o:FieldCodes>
          </o:OLEObject>
        </w:pict>
      </w:r>
    </w:p>
    <w:p w:rsidR="006E6548" w:rsidRDefault="006E6548">
      <w:pPr>
        <w:spacing w:line="580" w:lineRule="exact"/>
        <w:ind w:firstLineChars="200" w:firstLine="640"/>
        <w:rPr>
          <w:rFonts w:ascii="仿宋_GB2312" w:eastAsia="仿宋_GB2312"/>
          <w:bCs/>
          <w:sz w:val="32"/>
          <w:szCs w:val="32"/>
        </w:rPr>
      </w:pPr>
    </w:p>
    <w:p w:rsidR="006E6548" w:rsidRDefault="006E6548">
      <w:pPr>
        <w:spacing w:line="580" w:lineRule="exact"/>
        <w:ind w:firstLineChars="200" w:firstLine="640"/>
        <w:rPr>
          <w:rFonts w:ascii="仿宋_GB2312" w:eastAsia="仿宋_GB2312"/>
          <w:bCs/>
          <w:sz w:val="32"/>
          <w:szCs w:val="32"/>
        </w:rPr>
      </w:pPr>
    </w:p>
    <w:p w:rsidR="006E6548" w:rsidRDefault="006E6548">
      <w:pPr>
        <w:spacing w:line="580" w:lineRule="exact"/>
        <w:ind w:firstLineChars="200" w:firstLine="640"/>
        <w:rPr>
          <w:rFonts w:ascii="仿宋_GB2312" w:eastAsia="仿宋_GB2312"/>
          <w:bCs/>
          <w:sz w:val="32"/>
          <w:szCs w:val="32"/>
        </w:rPr>
      </w:pPr>
    </w:p>
    <w:p w:rsidR="004C3F2F" w:rsidRDefault="004C3F2F">
      <w:pPr>
        <w:spacing w:line="580" w:lineRule="exact"/>
        <w:ind w:firstLineChars="200" w:firstLine="640"/>
        <w:rPr>
          <w:rFonts w:ascii="仿宋_GB2312" w:eastAsia="仿宋_GB2312"/>
          <w:bCs/>
          <w:sz w:val="32"/>
          <w:szCs w:val="32"/>
        </w:rPr>
      </w:pPr>
    </w:p>
    <w:p w:rsidR="003A149E" w:rsidRDefault="003A149E">
      <w:pPr>
        <w:spacing w:line="580" w:lineRule="exact"/>
        <w:ind w:firstLineChars="200" w:firstLine="640"/>
        <w:rPr>
          <w:rFonts w:ascii="楷体_GB2312" w:eastAsia="楷体_GB2312" w:hAnsi="黑体" w:cs="黑体"/>
          <w:sz w:val="32"/>
          <w:szCs w:val="32"/>
        </w:rPr>
      </w:pPr>
    </w:p>
    <w:p w:rsidR="006E6548" w:rsidRDefault="005D7064">
      <w:pPr>
        <w:spacing w:line="580" w:lineRule="exact"/>
        <w:ind w:firstLineChars="200" w:firstLine="640"/>
        <w:rPr>
          <w:rFonts w:ascii="楷体_GB2312" w:eastAsia="楷体_GB2312" w:hAnsi="黑体" w:cs="黑体"/>
          <w:sz w:val="32"/>
          <w:szCs w:val="32"/>
        </w:rPr>
      </w:pPr>
      <w:r>
        <w:rPr>
          <w:rFonts w:ascii="楷体_GB2312" w:eastAsia="楷体_GB2312" w:hAnsi="黑体" w:cs="黑体" w:hint="eastAsia"/>
          <w:sz w:val="32"/>
          <w:szCs w:val="32"/>
        </w:rPr>
        <w:t>（五）2022年一般公共预算财政拨款收入支出预算情况说明</w:t>
      </w:r>
    </w:p>
    <w:p w:rsidR="006E6548" w:rsidRDefault="005D7064">
      <w:pPr>
        <w:spacing w:line="580" w:lineRule="exact"/>
        <w:ind w:firstLineChars="200" w:firstLine="640"/>
        <w:rPr>
          <w:rFonts w:ascii="仿宋_GB2312" w:eastAsia="仿宋_GB2312" w:hAnsi="仿宋_GB2312" w:cs="仿宋_GB2312"/>
          <w:sz w:val="32"/>
          <w:szCs w:val="32"/>
        </w:rPr>
      </w:pPr>
      <w:r>
        <w:rPr>
          <w:rFonts w:ascii="仿宋_GB2312" w:eastAsia="仿宋_GB2312" w:hAnsi="楷体_GB2312" w:cs="楷体_GB2312" w:hint="eastAsia"/>
          <w:sz w:val="32"/>
          <w:szCs w:val="32"/>
        </w:rPr>
        <w:t>2022年一般公共预算收入</w:t>
      </w:r>
      <w:r w:rsidR="007B1B89">
        <w:rPr>
          <w:rFonts w:ascii="仿宋_GB2312" w:eastAsia="仿宋_GB2312" w:hAnsi="楷体_GB2312" w:cs="楷体_GB2312" w:hint="eastAsia"/>
          <w:sz w:val="32"/>
          <w:szCs w:val="32"/>
        </w:rPr>
        <w:t>14719.17</w:t>
      </w:r>
      <w:r>
        <w:rPr>
          <w:rFonts w:ascii="仿宋_GB2312" w:eastAsia="仿宋_GB2312" w:hAnsi="楷体_GB2312" w:cs="楷体_GB2312" w:hint="eastAsia"/>
          <w:sz w:val="32"/>
          <w:szCs w:val="32"/>
        </w:rPr>
        <w:t>万元，与2021年相比，下降</w:t>
      </w:r>
      <w:r w:rsidR="007B1B89">
        <w:rPr>
          <w:rFonts w:ascii="仿宋_GB2312" w:eastAsia="仿宋_GB2312" w:hAnsi="楷体_GB2312" w:cs="楷体_GB2312" w:hint="eastAsia"/>
          <w:sz w:val="32"/>
          <w:szCs w:val="32"/>
        </w:rPr>
        <w:t>6440.02</w:t>
      </w:r>
      <w:r>
        <w:rPr>
          <w:rFonts w:ascii="仿宋_GB2312" w:eastAsia="仿宋_GB2312" w:hAnsi="楷体_GB2312" w:cs="楷体_GB2312" w:hint="eastAsia"/>
          <w:sz w:val="32"/>
          <w:szCs w:val="32"/>
        </w:rPr>
        <w:t xml:space="preserve"> 万元，比上年下降</w:t>
      </w:r>
      <w:r w:rsidR="007B1B89">
        <w:rPr>
          <w:rFonts w:ascii="仿宋_GB2312" w:eastAsia="仿宋_GB2312" w:hAnsi="楷体_GB2312" w:cs="楷体_GB2312" w:hint="eastAsia"/>
          <w:sz w:val="32"/>
          <w:szCs w:val="32"/>
        </w:rPr>
        <w:t>30.44</w:t>
      </w:r>
      <w:r>
        <w:rPr>
          <w:rFonts w:ascii="仿宋_GB2312" w:eastAsia="仿宋_GB2312" w:hAnsi="楷体_GB2312" w:cs="楷体_GB2312" w:hint="eastAsia"/>
          <w:sz w:val="32"/>
          <w:szCs w:val="32"/>
        </w:rPr>
        <w:t xml:space="preserve"> %。主要原因</w:t>
      </w:r>
      <w:r>
        <w:rPr>
          <w:rFonts w:ascii="仿宋_GB2312" w:eastAsia="仿宋_GB2312" w:hAnsi="仿宋_GB2312" w:cs="仿宋_GB2312" w:hint="eastAsia"/>
          <w:sz w:val="32"/>
          <w:szCs w:val="32"/>
        </w:rPr>
        <w:t>减少了基建项目预算支出。</w:t>
      </w:r>
    </w:p>
    <w:p w:rsidR="006E6548" w:rsidRDefault="005D706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2022年一般公共预算支出 </w:t>
      </w:r>
      <w:r w:rsidR="007B1B89">
        <w:rPr>
          <w:rFonts w:ascii="仿宋_GB2312" w:eastAsia="仿宋_GB2312" w:hAnsi="仿宋_GB2312" w:cs="仿宋_GB2312" w:hint="eastAsia"/>
          <w:sz w:val="32"/>
          <w:szCs w:val="32"/>
        </w:rPr>
        <w:t>14719.17</w:t>
      </w:r>
      <w:r>
        <w:rPr>
          <w:rFonts w:ascii="仿宋_GB2312" w:eastAsia="仿宋_GB2312" w:hAnsi="仿宋_GB2312" w:cs="仿宋_GB2312" w:hint="eastAsia"/>
          <w:sz w:val="32"/>
          <w:szCs w:val="32"/>
        </w:rPr>
        <w:t>万元，</w:t>
      </w:r>
      <w:r>
        <w:rPr>
          <w:rFonts w:ascii="仿宋_GB2312" w:eastAsia="仿宋_GB2312" w:hAnsi="楷体_GB2312" w:cs="楷体_GB2312" w:hint="eastAsia"/>
          <w:sz w:val="32"/>
          <w:szCs w:val="32"/>
        </w:rPr>
        <w:t>与2021年相比，下降了</w:t>
      </w:r>
      <w:r w:rsidR="007B1B89">
        <w:rPr>
          <w:rFonts w:ascii="仿宋_GB2312" w:eastAsia="仿宋_GB2312" w:hAnsi="楷体_GB2312" w:cs="楷体_GB2312" w:hint="eastAsia"/>
          <w:sz w:val="32"/>
          <w:szCs w:val="32"/>
        </w:rPr>
        <w:t>6440.02</w:t>
      </w:r>
      <w:r w:rsidR="00711C00">
        <w:rPr>
          <w:rFonts w:ascii="仿宋_GB2312" w:eastAsia="仿宋_GB2312" w:hAnsi="楷体_GB2312" w:cs="楷体_GB2312" w:hint="eastAsia"/>
          <w:sz w:val="32"/>
          <w:szCs w:val="32"/>
        </w:rPr>
        <w:t xml:space="preserve"> </w:t>
      </w:r>
      <w:r>
        <w:rPr>
          <w:rFonts w:ascii="仿宋_GB2312" w:eastAsia="仿宋_GB2312" w:hAnsi="楷体_GB2312" w:cs="楷体_GB2312" w:hint="eastAsia"/>
          <w:sz w:val="32"/>
          <w:szCs w:val="32"/>
        </w:rPr>
        <w:t>万元，比上年下降</w:t>
      </w:r>
      <w:r w:rsidR="007B1B89">
        <w:rPr>
          <w:rFonts w:ascii="仿宋_GB2312" w:eastAsia="仿宋_GB2312" w:hAnsi="楷体_GB2312" w:cs="楷体_GB2312" w:hint="eastAsia"/>
          <w:sz w:val="32"/>
          <w:szCs w:val="32"/>
        </w:rPr>
        <w:t>30.44</w:t>
      </w:r>
      <w:r>
        <w:rPr>
          <w:rFonts w:ascii="仿宋_GB2312" w:eastAsia="仿宋_GB2312" w:hAnsi="楷体_GB2312" w:cs="楷体_GB2312" w:hint="eastAsia"/>
          <w:sz w:val="32"/>
          <w:szCs w:val="32"/>
        </w:rPr>
        <w:t xml:space="preserve"> %。主要原因</w:t>
      </w:r>
      <w:r>
        <w:rPr>
          <w:rFonts w:ascii="仿宋_GB2312" w:eastAsia="仿宋_GB2312" w:hAnsi="仿宋_GB2312" w:cs="仿宋_GB2312" w:hint="eastAsia"/>
          <w:sz w:val="32"/>
          <w:szCs w:val="32"/>
        </w:rPr>
        <w:t xml:space="preserve">减少了基建项目预算支出。其中：社会保障和就业（类）支出 </w:t>
      </w:r>
      <w:r w:rsidR="007B1B89">
        <w:rPr>
          <w:rFonts w:ascii="仿宋_GB2312" w:eastAsia="仿宋_GB2312" w:hAnsi="仿宋_GB2312" w:cs="仿宋_GB2312" w:hint="eastAsia"/>
          <w:sz w:val="32"/>
          <w:szCs w:val="32"/>
        </w:rPr>
        <w:t>13989.02</w:t>
      </w:r>
      <w:r>
        <w:rPr>
          <w:rFonts w:ascii="仿宋_GB2312" w:eastAsia="仿宋_GB2312" w:hAnsi="仿宋_GB2312" w:cs="仿宋_GB2312" w:hint="eastAsia"/>
          <w:sz w:val="32"/>
          <w:szCs w:val="32"/>
        </w:rPr>
        <w:t xml:space="preserve"> 万元，占</w:t>
      </w:r>
      <w:r w:rsidR="007B1B89">
        <w:rPr>
          <w:rFonts w:ascii="仿宋_GB2312" w:eastAsia="仿宋_GB2312" w:hAnsi="仿宋_GB2312" w:cs="仿宋_GB2312" w:hint="eastAsia"/>
          <w:sz w:val="32"/>
          <w:szCs w:val="32"/>
        </w:rPr>
        <w:t>95.03</w:t>
      </w:r>
      <w:r>
        <w:rPr>
          <w:rFonts w:ascii="仿宋_GB2312" w:eastAsia="仿宋_GB2312" w:hAnsi="仿宋_GB2312" w:cs="仿宋_GB2312" w:hint="eastAsia"/>
          <w:sz w:val="32"/>
          <w:szCs w:val="32"/>
        </w:rPr>
        <w:t xml:space="preserve">  %；商业服务业（类）等支出 34 万元，占0.23 %；住房保障（类）支出576.25万元，占3.98%。</w:t>
      </w:r>
    </w:p>
    <w:p w:rsidR="006E6548" w:rsidRDefault="003E34A9">
      <w:pPr>
        <w:spacing w:line="580" w:lineRule="exact"/>
        <w:ind w:firstLineChars="200" w:firstLine="640"/>
        <w:rPr>
          <w:rFonts w:ascii="仿宋_GB2312" w:eastAsia="仿宋_GB2312"/>
          <w:bCs/>
          <w:sz w:val="32"/>
          <w:szCs w:val="32"/>
        </w:rPr>
      </w:pPr>
      <w:r>
        <w:rPr>
          <w:rFonts w:ascii="仿宋_GB2312" w:eastAsia="仿宋_GB2312"/>
          <w:bCs/>
          <w:noProof/>
          <w:sz w:val="32"/>
          <w:szCs w:val="32"/>
        </w:rPr>
        <w:pict>
          <v:shape id="_x0000_s1034" type="#_x0000_t75" style="position:absolute;left:0;text-align:left;margin-left:105.05pt;margin-top:45.5pt;width:310.15pt;height:151.9pt;z-index:-1">
            <v:imagedata r:id="rId23" o:title=""/>
          </v:shape>
          <o:OLEObject Type="Embed" ProgID="MSGraph.Chart.8" ShapeID="_x0000_s1034" DrawAspect="Content" ObjectID="_1714299069" r:id="rId24">
            <o:FieldCodes>\s</o:FieldCodes>
          </o:OLEObject>
        </w:pict>
      </w:r>
    </w:p>
    <w:p w:rsidR="006E6548" w:rsidRDefault="004C3F2F" w:rsidP="004C3F2F">
      <w:pPr>
        <w:tabs>
          <w:tab w:val="left" w:pos="3495"/>
        </w:tabs>
        <w:spacing w:line="580" w:lineRule="exact"/>
        <w:ind w:firstLineChars="200" w:firstLine="640"/>
        <w:rPr>
          <w:rFonts w:ascii="仿宋_GB2312" w:eastAsia="仿宋_GB2312"/>
          <w:bCs/>
          <w:sz w:val="32"/>
          <w:szCs w:val="32"/>
        </w:rPr>
      </w:pPr>
      <w:r>
        <w:rPr>
          <w:rFonts w:ascii="仿宋_GB2312" w:eastAsia="仿宋_GB2312"/>
          <w:bCs/>
          <w:sz w:val="32"/>
          <w:szCs w:val="32"/>
        </w:rPr>
        <w:tab/>
      </w:r>
    </w:p>
    <w:p w:rsidR="004C3F2F" w:rsidRDefault="004C3F2F">
      <w:pPr>
        <w:spacing w:line="580" w:lineRule="exact"/>
        <w:ind w:firstLineChars="200" w:firstLine="640"/>
        <w:rPr>
          <w:rFonts w:ascii="仿宋_GB2312" w:eastAsia="仿宋_GB2312"/>
          <w:bCs/>
          <w:sz w:val="32"/>
          <w:szCs w:val="32"/>
        </w:rPr>
      </w:pPr>
    </w:p>
    <w:p w:rsidR="004C3F2F" w:rsidRDefault="004C3F2F">
      <w:pPr>
        <w:spacing w:line="580" w:lineRule="exact"/>
        <w:ind w:firstLineChars="200" w:firstLine="640"/>
        <w:rPr>
          <w:rFonts w:ascii="仿宋_GB2312" w:eastAsia="仿宋_GB2312"/>
          <w:bCs/>
          <w:sz w:val="32"/>
          <w:szCs w:val="32"/>
        </w:rPr>
      </w:pPr>
    </w:p>
    <w:p w:rsidR="004C3F2F" w:rsidRDefault="004C3F2F">
      <w:pPr>
        <w:spacing w:line="580" w:lineRule="exact"/>
        <w:ind w:firstLineChars="200" w:firstLine="640"/>
        <w:rPr>
          <w:rFonts w:ascii="仿宋_GB2312" w:eastAsia="仿宋_GB2312"/>
          <w:bCs/>
          <w:sz w:val="32"/>
          <w:szCs w:val="32"/>
        </w:rPr>
      </w:pPr>
    </w:p>
    <w:p w:rsidR="003A149E" w:rsidRDefault="003A149E">
      <w:pPr>
        <w:spacing w:line="580" w:lineRule="exact"/>
        <w:ind w:firstLineChars="200" w:firstLine="640"/>
        <w:rPr>
          <w:rFonts w:ascii="仿宋_GB2312" w:eastAsia="仿宋_GB2312" w:hAnsi="楷体_GB2312" w:cs="楷体_GB2312"/>
          <w:sz w:val="32"/>
          <w:szCs w:val="32"/>
        </w:rPr>
      </w:pPr>
    </w:p>
    <w:p w:rsidR="00711C00" w:rsidRDefault="00711C00">
      <w:pPr>
        <w:spacing w:line="580" w:lineRule="exact"/>
        <w:ind w:firstLineChars="200" w:firstLine="640"/>
        <w:rPr>
          <w:rFonts w:ascii="仿宋_GB2312" w:eastAsia="仿宋_GB2312" w:hAnsi="楷体_GB2312" w:cs="楷体_GB2312"/>
          <w:sz w:val="32"/>
          <w:szCs w:val="32"/>
        </w:rPr>
      </w:pPr>
    </w:p>
    <w:p w:rsidR="006E6548" w:rsidRDefault="005D7064">
      <w:pPr>
        <w:spacing w:line="580" w:lineRule="exact"/>
        <w:ind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具体情况如下：</w:t>
      </w:r>
    </w:p>
    <w:p w:rsidR="001C3FCB" w:rsidRPr="001C3FCB" w:rsidRDefault="005D7064" w:rsidP="001C3FCB">
      <w:pPr>
        <w:spacing w:line="580" w:lineRule="exact"/>
        <w:ind w:firstLine="640"/>
        <w:rPr>
          <w:rFonts w:ascii="仿宋_GB2312" w:eastAsia="仿宋_GB2312" w:hAnsi="楷体_GB2312" w:cs="楷体_GB2312"/>
          <w:color w:val="000000"/>
          <w:sz w:val="32"/>
          <w:szCs w:val="32"/>
        </w:rPr>
      </w:pPr>
      <w:r>
        <w:rPr>
          <w:rFonts w:ascii="仿宋_GB2312" w:eastAsia="仿宋_GB2312" w:hAnsi="楷体_GB2312" w:cs="楷体_GB2312" w:hint="eastAsia"/>
          <w:sz w:val="32"/>
          <w:szCs w:val="32"/>
        </w:rPr>
        <w:t>1. 社会保障和就业支出（类）民政管理事务（款）行政运行（项）2525.39万元，比上年减少14.65%，主要由于规范清理工资津贴补贴所致。社会保障和就业支出（类）民政管理事务（款）其他民政管理事务支出（项）469.99万元，比上年增加40.54%，主要因规范清理工资津贴补贴，导致有关数据与上年产生差异所致。社会保障和就业支出（类）民政管理事务（款）行政区划和地名管理（项）16.63万元，比上年减少66.06%，主要调整资金使用级次所致。社会保障和就业支出（类）民政管理事务（款）基层政权建设和社区治理（项）30万元，与上年持平。社会保障和就业支出（类）</w:t>
      </w:r>
      <w:r>
        <w:rPr>
          <w:rFonts w:ascii="仿宋_GB2312" w:eastAsia="仿宋_GB2312" w:hAnsi="楷体_GB2312" w:cs="楷体_GB2312" w:hint="eastAsia"/>
          <w:sz w:val="32"/>
          <w:szCs w:val="32"/>
        </w:rPr>
        <w:lastRenderedPageBreak/>
        <w:t>社会福利（款）社会福利事业单位（项）</w:t>
      </w:r>
      <w:r w:rsidR="005A4553">
        <w:rPr>
          <w:rFonts w:ascii="仿宋_GB2312" w:eastAsia="仿宋_GB2312" w:hAnsi="楷体_GB2312" w:cs="楷体_GB2312" w:hint="eastAsia"/>
          <w:sz w:val="32"/>
          <w:szCs w:val="32"/>
        </w:rPr>
        <w:t>2362.99</w:t>
      </w:r>
      <w:r>
        <w:rPr>
          <w:rFonts w:ascii="仿宋_GB2312" w:eastAsia="仿宋_GB2312" w:hAnsi="楷体_GB2312" w:cs="楷体_GB2312" w:hint="eastAsia"/>
          <w:sz w:val="32"/>
          <w:szCs w:val="32"/>
        </w:rPr>
        <w:t>万元，比上年增加</w:t>
      </w:r>
      <w:r w:rsidR="005A4553">
        <w:rPr>
          <w:rFonts w:ascii="仿宋_GB2312" w:eastAsia="仿宋_GB2312" w:hAnsi="楷体_GB2312" w:cs="楷体_GB2312" w:hint="eastAsia"/>
          <w:sz w:val="32"/>
          <w:szCs w:val="32"/>
        </w:rPr>
        <w:t>160.81</w:t>
      </w:r>
      <w:r>
        <w:rPr>
          <w:rFonts w:ascii="仿宋_GB2312" w:eastAsia="仿宋_GB2312" w:hAnsi="楷体_GB2312" w:cs="楷体_GB2312" w:hint="eastAsia"/>
          <w:sz w:val="32"/>
          <w:szCs w:val="32"/>
        </w:rPr>
        <w:t>%，主要因规范清理工资津贴补贴，导致有关数据与上年产生差异所致。社会保障和就业支出（类）社会福利（款）殡葬（项）2176.9万元，与上年基本持平。社会保障和就业支出（类）社会福利（款）老年福利（项）2344.99</w:t>
      </w:r>
      <w:r w:rsidR="000A6BC6">
        <w:rPr>
          <w:rFonts w:ascii="仿宋_GB2312" w:eastAsia="仿宋_GB2312" w:hAnsi="楷体_GB2312" w:cs="楷体_GB2312" w:hint="eastAsia"/>
          <w:sz w:val="32"/>
          <w:szCs w:val="32"/>
        </w:rPr>
        <w:t>万元，</w:t>
      </w:r>
      <w:r>
        <w:rPr>
          <w:rFonts w:ascii="仿宋_GB2312" w:eastAsia="仿宋_GB2312" w:hAnsi="楷体_GB2312" w:cs="楷体_GB2312" w:hint="eastAsia"/>
          <w:sz w:val="32"/>
          <w:szCs w:val="32"/>
        </w:rPr>
        <w:t>与上年基本持平。社会保障和就业支出（类）社会福利（款）儿童福利（项）2010.16</w:t>
      </w:r>
      <w:r w:rsidR="000A6BC6">
        <w:rPr>
          <w:rFonts w:ascii="仿宋_GB2312" w:eastAsia="仿宋_GB2312" w:hAnsi="楷体_GB2312" w:cs="楷体_GB2312" w:hint="eastAsia"/>
          <w:sz w:val="32"/>
          <w:szCs w:val="32"/>
        </w:rPr>
        <w:t>万元，</w:t>
      </w:r>
      <w:r>
        <w:rPr>
          <w:rFonts w:ascii="仿宋_GB2312" w:eastAsia="仿宋_GB2312" w:hAnsi="楷体_GB2312" w:cs="楷体_GB2312" w:hint="eastAsia"/>
          <w:sz w:val="32"/>
          <w:szCs w:val="32"/>
        </w:rPr>
        <w:t>与上年基本持平。社会保障和就业支出（类）社会福利（款）养老服务（项）35</w:t>
      </w:r>
      <w:r w:rsidR="000A6BC6">
        <w:rPr>
          <w:rFonts w:ascii="仿宋_GB2312" w:eastAsia="仿宋_GB2312" w:hAnsi="楷体_GB2312" w:cs="楷体_GB2312" w:hint="eastAsia"/>
          <w:sz w:val="32"/>
          <w:szCs w:val="32"/>
        </w:rPr>
        <w:t>万元，</w:t>
      </w:r>
      <w:r>
        <w:rPr>
          <w:rFonts w:ascii="仿宋_GB2312" w:eastAsia="仿宋_GB2312" w:hAnsi="楷体_GB2312" w:cs="楷体_GB2312" w:hint="eastAsia"/>
          <w:sz w:val="32"/>
          <w:szCs w:val="32"/>
        </w:rPr>
        <w:t>比上年增加100%，主要开展星级养老机构等级评定及起草养老服务发展白皮书。社会保障和就业支出（类）临时救助（款）流浪乞讨人员救助支出（项）1061.94万元，</w:t>
      </w:r>
      <w:r w:rsidR="00DD35BC">
        <w:rPr>
          <w:rFonts w:ascii="仿宋_GB2312" w:eastAsia="仿宋_GB2312" w:hAnsi="楷体_GB2312" w:cs="楷体_GB2312" w:hint="eastAsia"/>
          <w:sz w:val="32"/>
          <w:szCs w:val="32"/>
        </w:rPr>
        <w:t>比上年增加21.31%，主要因新增购置2辆特种专业用车以及规范清理工资津贴补贴所致</w:t>
      </w:r>
      <w:r>
        <w:rPr>
          <w:rFonts w:ascii="仿宋_GB2312" w:eastAsia="仿宋_GB2312" w:hAnsi="楷体_GB2312" w:cs="楷体_GB2312" w:hint="eastAsia"/>
          <w:sz w:val="32"/>
          <w:szCs w:val="32"/>
        </w:rPr>
        <w:t>。商业服务业支出（类）其他商业服务业等支出（款）其他商业服务业等支出（项）34</w:t>
      </w:r>
      <w:r w:rsidR="000A6BC6">
        <w:rPr>
          <w:rFonts w:ascii="仿宋_GB2312" w:eastAsia="仿宋_GB2312" w:hAnsi="楷体_GB2312" w:cs="楷体_GB2312" w:hint="eastAsia"/>
          <w:sz w:val="32"/>
          <w:szCs w:val="32"/>
        </w:rPr>
        <w:t>万元，</w:t>
      </w:r>
      <w:r>
        <w:rPr>
          <w:rFonts w:ascii="仿宋_GB2312" w:eastAsia="仿宋_GB2312" w:hAnsi="楷体_GB2312" w:cs="楷体_GB2312" w:hint="eastAsia"/>
          <w:sz w:val="32"/>
          <w:szCs w:val="32"/>
        </w:rPr>
        <w:t>比上年减</w:t>
      </w:r>
      <w:r w:rsidR="000A6BC6">
        <w:rPr>
          <w:rFonts w:ascii="仿宋_GB2312" w:eastAsia="仿宋_GB2312" w:hAnsi="楷体_GB2312" w:cs="楷体_GB2312" w:hint="eastAsia"/>
          <w:sz w:val="32"/>
          <w:szCs w:val="32"/>
        </w:rPr>
        <w:t>少</w:t>
      </w:r>
      <w:r>
        <w:rPr>
          <w:rFonts w:ascii="仿宋_GB2312" w:eastAsia="仿宋_GB2312" w:hAnsi="楷体_GB2312" w:cs="楷体_GB2312" w:hint="eastAsia"/>
          <w:sz w:val="32"/>
          <w:szCs w:val="32"/>
        </w:rPr>
        <w:t>19.04%</w:t>
      </w:r>
      <w:r w:rsidR="000A6BC6">
        <w:rPr>
          <w:rFonts w:ascii="仿宋_GB2312" w:eastAsia="仿宋_GB2312" w:hAnsi="楷体_GB2312" w:cs="楷体_GB2312" w:hint="eastAsia"/>
          <w:sz w:val="32"/>
          <w:szCs w:val="32"/>
        </w:rPr>
        <w:t>，</w:t>
      </w:r>
      <w:r>
        <w:rPr>
          <w:rFonts w:ascii="仿宋_GB2312" w:eastAsia="仿宋_GB2312" w:hAnsi="楷体_GB2312" w:cs="楷体_GB2312" w:hint="eastAsia"/>
          <w:sz w:val="32"/>
          <w:szCs w:val="32"/>
        </w:rPr>
        <w:t>主要由于一般公共预算收支压减专项资金所致。</w:t>
      </w:r>
      <w:r w:rsidR="001C3FCB" w:rsidRPr="001C3FCB">
        <w:rPr>
          <w:rFonts w:ascii="仿宋_GB2312" w:eastAsia="仿宋_GB2312" w:hAnsi="楷体_GB2312" w:cs="楷体_GB2312" w:hint="eastAsia"/>
          <w:color w:val="000000"/>
          <w:sz w:val="32"/>
          <w:szCs w:val="32"/>
        </w:rPr>
        <w:t>社会保障和就业支出（类）行政事业单位养老支出（款）机关事业单位基本养老保险缴费支出（项）636.68万元，与上年基本一致。社会保障和就业支出（类）行政事业单位养老支出（款）机关事业单位职业年金缴费支出（项）318.34万元，与上年基本一致。</w:t>
      </w:r>
    </w:p>
    <w:p w:rsidR="006E6548" w:rsidRDefault="005D7064">
      <w:pPr>
        <w:spacing w:line="580" w:lineRule="exact"/>
        <w:ind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2、住房保障支出（类）住房改革支出（款）住房公积金（项）576.25</w:t>
      </w:r>
      <w:r w:rsidR="0010651E">
        <w:rPr>
          <w:rFonts w:ascii="仿宋_GB2312" w:eastAsia="仿宋_GB2312" w:hAnsi="楷体_GB2312" w:cs="楷体_GB2312" w:hint="eastAsia"/>
          <w:sz w:val="32"/>
          <w:szCs w:val="32"/>
        </w:rPr>
        <w:t>万元，</w:t>
      </w:r>
      <w:r>
        <w:rPr>
          <w:rFonts w:ascii="仿宋_GB2312" w:eastAsia="仿宋_GB2312" w:hAnsi="楷体_GB2312" w:cs="楷体_GB2312" w:hint="eastAsia"/>
          <w:sz w:val="32"/>
          <w:szCs w:val="32"/>
        </w:rPr>
        <w:t>与上年基本持平。</w:t>
      </w:r>
    </w:p>
    <w:p w:rsidR="006E6548" w:rsidRDefault="005D7064">
      <w:pPr>
        <w:spacing w:line="58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（六）政府性基金预算收支情况</w:t>
      </w:r>
    </w:p>
    <w:p w:rsidR="006E6548" w:rsidRDefault="005D7064">
      <w:pPr>
        <w:spacing w:line="580" w:lineRule="exact"/>
        <w:ind w:firstLineChars="200" w:firstLine="640"/>
        <w:rPr>
          <w:rFonts w:ascii="仿宋_GB2312" w:eastAsia="仿宋_GB2312" w:hAnsi="仿宋_GB2312" w:cs="仿宋_GB2312"/>
          <w:sz w:val="32"/>
          <w:szCs w:val="32"/>
        </w:rPr>
      </w:pPr>
      <w:r>
        <w:rPr>
          <w:rFonts w:ascii="仿宋_GB2312" w:eastAsia="仿宋_GB2312" w:hAnsi="楷体_GB2312" w:cs="楷体_GB2312" w:hint="eastAsia"/>
          <w:sz w:val="32"/>
          <w:szCs w:val="32"/>
        </w:rPr>
        <w:t>2022年政府性基金收入 478 万元，与2021年相比，减</w:t>
      </w:r>
      <w:r>
        <w:rPr>
          <w:rFonts w:ascii="仿宋_GB2312" w:eastAsia="仿宋_GB2312" w:hAnsi="楷体_GB2312" w:cs="楷体_GB2312" w:hint="eastAsia"/>
          <w:sz w:val="32"/>
          <w:szCs w:val="32"/>
        </w:rPr>
        <w:lastRenderedPageBreak/>
        <w:t>少 1278 万元，比上年下降72.77 %。主要因</w:t>
      </w:r>
      <w:r>
        <w:rPr>
          <w:rFonts w:ascii="仿宋_GB2312" w:eastAsia="仿宋_GB2312" w:hAnsi="仿宋_GB2312" w:cs="仿宋_GB2312" w:hint="eastAsia"/>
          <w:sz w:val="32"/>
          <w:szCs w:val="32"/>
        </w:rPr>
        <w:t>部分项目取消预算安排，调整支出级次等。</w:t>
      </w:r>
    </w:p>
    <w:p w:rsidR="006E6548" w:rsidRDefault="005D7064">
      <w:pPr>
        <w:spacing w:line="580" w:lineRule="exact"/>
        <w:ind w:firstLine="640"/>
        <w:rPr>
          <w:rFonts w:ascii="仿宋_GB2312" w:eastAsia="仿宋_GB2312" w:hAnsi="楷体_GB2312" w:cs="楷体_GB2312"/>
          <w:sz w:val="32"/>
          <w:szCs w:val="32"/>
        </w:rPr>
      </w:pPr>
      <w:r>
        <w:rPr>
          <w:rFonts w:ascii="仿宋_GB2312" w:eastAsia="仿宋_GB2312" w:hAnsi="仿宋_GB2312" w:cs="仿宋_GB2312" w:hint="eastAsia"/>
          <w:sz w:val="32"/>
          <w:szCs w:val="32"/>
        </w:rPr>
        <w:t>2022年政府性基金支出 478 万元，</w:t>
      </w:r>
      <w:r>
        <w:rPr>
          <w:rFonts w:ascii="仿宋_GB2312" w:eastAsia="仿宋_GB2312" w:hAnsi="楷体_GB2312" w:cs="楷体_GB2312" w:hint="eastAsia"/>
          <w:sz w:val="32"/>
          <w:szCs w:val="32"/>
        </w:rPr>
        <w:t>与2021年相比，减少1278 万元，比上年下降72.77 %。主要因</w:t>
      </w:r>
      <w:r>
        <w:rPr>
          <w:rFonts w:ascii="仿宋_GB2312" w:eastAsia="仿宋_GB2312" w:hAnsi="仿宋_GB2312" w:cs="仿宋_GB2312" w:hint="eastAsia"/>
          <w:sz w:val="32"/>
          <w:szCs w:val="32"/>
        </w:rPr>
        <w:t>部分项目取消预算安排，调整支出级次等。</w:t>
      </w:r>
    </w:p>
    <w:p w:rsidR="006E6548" w:rsidRDefault="005D7064">
      <w:pPr>
        <w:spacing w:line="580" w:lineRule="exact"/>
        <w:ind w:firstLineChars="200" w:firstLine="640"/>
        <w:rPr>
          <w:rFonts w:ascii="楷体_GB2312" w:eastAsia="楷体_GB2312" w:hAnsi="黑体" w:cs="黑体"/>
          <w:sz w:val="32"/>
          <w:szCs w:val="32"/>
        </w:rPr>
      </w:pPr>
      <w:r>
        <w:rPr>
          <w:rFonts w:ascii="楷体_GB2312" w:eastAsia="楷体_GB2312" w:hAnsi="黑体" w:cs="黑体" w:hint="eastAsia"/>
          <w:sz w:val="32"/>
          <w:szCs w:val="32"/>
        </w:rPr>
        <w:t>（七）2022年财政拨款基本支出预算情况说明</w:t>
      </w:r>
    </w:p>
    <w:p w:rsidR="006E6548" w:rsidRDefault="005D7064">
      <w:pPr>
        <w:spacing w:line="580" w:lineRule="exact"/>
        <w:ind w:firstLineChars="186" w:firstLine="595"/>
        <w:rPr>
          <w:rFonts w:ascii="仿宋_GB2312" w:eastAsia="仿宋_GB2312"/>
          <w:sz w:val="32"/>
          <w:szCs w:val="32"/>
        </w:rPr>
      </w:pPr>
      <w:r>
        <w:rPr>
          <w:rFonts w:ascii="仿宋_GB2312" w:eastAsia="仿宋_GB2312" w:hint="eastAsia"/>
          <w:sz w:val="32"/>
          <w:szCs w:val="32"/>
        </w:rPr>
        <w:t>2022年，通过财政拨款安排的基本支出</w:t>
      </w:r>
      <w:r w:rsidR="00A86E51">
        <w:rPr>
          <w:rFonts w:ascii="仿宋_GB2312" w:eastAsia="仿宋_GB2312" w:hint="eastAsia"/>
          <w:sz w:val="32"/>
          <w:szCs w:val="32"/>
        </w:rPr>
        <w:t>10601.71</w:t>
      </w:r>
      <w:r>
        <w:rPr>
          <w:rFonts w:ascii="仿宋_GB2312" w:eastAsia="仿宋_GB2312" w:hint="eastAsia"/>
          <w:sz w:val="32"/>
          <w:szCs w:val="32"/>
        </w:rPr>
        <w:t>万元，其中：</w:t>
      </w:r>
    </w:p>
    <w:p w:rsidR="006E6548" w:rsidRDefault="005D7064">
      <w:pPr>
        <w:spacing w:line="580" w:lineRule="exact"/>
        <w:ind w:firstLineChars="186" w:firstLine="595"/>
        <w:rPr>
          <w:rFonts w:ascii="仿宋_GB2312" w:eastAsia="仿宋_GB2312"/>
          <w:sz w:val="32"/>
          <w:szCs w:val="32"/>
        </w:rPr>
      </w:pPr>
      <w:r>
        <w:rPr>
          <w:rFonts w:ascii="仿宋_GB2312" w:eastAsia="仿宋_GB2312" w:hint="eastAsia"/>
          <w:sz w:val="32"/>
          <w:szCs w:val="32"/>
        </w:rPr>
        <w:t>人员经费 9346.47万元，按部门预算支出经济分类主要包括：基本工资、津贴补贴、奖金、绩效工资、机关事业单位基本养老保险缴费、职业年金缴费、职工基本医疗保险缴费、其他社会保障缴费、住房公积金、离休费、退休费、生活补助、医疗费补助等。按政府预算支出经济分类主要包括：工资奖金津补贴、社会保障缴费、住房公积金、社会福利和救助、离退休费、对事业单位经常性补助等。</w:t>
      </w:r>
    </w:p>
    <w:p w:rsidR="006E6548" w:rsidRDefault="005D7064">
      <w:pPr>
        <w:spacing w:line="580" w:lineRule="exact"/>
        <w:ind w:firstLine="600"/>
        <w:rPr>
          <w:rFonts w:ascii="仿宋_GB2312" w:eastAsia="仿宋_GB2312"/>
          <w:sz w:val="32"/>
          <w:szCs w:val="32"/>
        </w:rPr>
      </w:pPr>
      <w:r>
        <w:rPr>
          <w:rFonts w:ascii="仿宋_GB2312" w:eastAsia="仿宋_GB2312" w:hint="eastAsia"/>
          <w:sz w:val="32"/>
          <w:szCs w:val="32"/>
        </w:rPr>
        <w:t>公用经费</w:t>
      </w:r>
      <w:r w:rsidR="00A86E51">
        <w:rPr>
          <w:rFonts w:ascii="仿宋_GB2312" w:eastAsia="仿宋_GB2312" w:hint="eastAsia"/>
          <w:sz w:val="32"/>
          <w:szCs w:val="32"/>
        </w:rPr>
        <w:t>1255.24</w:t>
      </w:r>
      <w:r>
        <w:rPr>
          <w:rFonts w:ascii="仿宋_GB2312" w:eastAsia="仿宋_GB2312" w:hint="eastAsia"/>
          <w:sz w:val="32"/>
          <w:szCs w:val="32"/>
        </w:rPr>
        <w:t>万元，按部门预算支出经济分类主要包括：办公费、印刷费、咨询费、手续费、水费、电费、邮电费、取暖费、物业管理费、差旅费、维修（护）费、租赁费、会议费、培训费、公务接待费、、劳务费、委托业务费、工会经费、福利费、公务用车运行维护费、其他交通费用、其他商品和服务支出</w:t>
      </w:r>
      <w:r>
        <w:rPr>
          <w:rFonts w:eastAsia="仿宋_GB2312" w:hint="eastAsia"/>
          <w:sz w:val="32"/>
          <w:szCs w:val="32"/>
        </w:rPr>
        <w:t>等</w:t>
      </w:r>
      <w:r>
        <w:rPr>
          <w:rFonts w:ascii="仿宋_GB2312" w:eastAsia="仿宋_GB2312" w:hint="eastAsia"/>
          <w:sz w:val="32"/>
          <w:szCs w:val="32"/>
        </w:rPr>
        <w:t>。按政府预算支出经济分类主要包括：办公经费、会议费、培训费、委托业务费、公务接待费、公务用车运行维护费、维修（护）费、其他商品和服务支出、对事业单位经常性补助、对事业单位资本性补助</w:t>
      </w:r>
      <w:r>
        <w:rPr>
          <w:rFonts w:eastAsia="仿宋_GB2312" w:hint="eastAsia"/>
          <w:sz w:val="32"/>
          <w:szCs w:val="32"/>
        </w:rPr>
        <w:t>等</w:t>
      </w:r>
      <w:r>
        <w:rPr>
          <w:rFonts w:ascii="仿宋_GB2312" w:eastAsia="仿宋_GB2312" w:hint="eastAsia"/>
          <w:sz w:val="32"/>
          <w:szCs w:val="32"/>
        </w:rPr>
        <w:t>。</w:t>
      </w:r>
    </w:p>
    <w:p w:rsidR="006E6548" w:rsidRDefault="005D7064">
      <w:pPr>
        <w:spacing w:line="580" w:lineRule="exact"/>
        <w:ind w:firstLine="600"/>
        <w:rPr>
          <w:rFonts w:ascii="楷体_GB2312" w:eastAsia="楷体_GB2312"/>
          <w:sz w:val="32"/>
          <w:szCs w:val="32"/>
        </w:rPr>
      </w:pPr>
      <w:r>
        <w:rPr>
          <w:rFonts w:ascii="楷体_GB2312" w:eastAsia="楷体_GB2312" w:hint="eastAsia"/>
          <w:sz w:val="32"/>
          <w:szCs w:val="32"/>
        </w:rPr>
        <w:lastRenderedPageBreak/>
        <w:t>（八）2022年财政拨款安排的“三公”经费情况</w:t>
      </w:r>
    </w:p>
    <w:p w:rsidR="006E6548" w:rsidRDefault="005D7064">
      <w:pPr>
        <w:spacing w:line="560" w:lineRule="exact"/>
        <w:ind w:firstLineChars="200" w:firstLine="640"/>
        <w:rPr>
          <w:rFonts w:ascii="仿宋_GB2312" w:eastAsia="仿宋_GB2312" w:hAnsi="仿宋" w:cs="宋体"/>
          <w:sz w:val="32"/>
          <w:szCs w:val="32"/>
        </w:rPr>
      </w:pPr>
      <w:r>
        <w:rPr>
          <w:rFonts w:ascii="仿宋_GB2312" w:eastAsia="仿宋_GB2312" w:hint="eastAsia"/>
          <w:sz w:val="32"/>
          <w:szCs w:val="32"/>
        </w:rPr>
        <w:t xml:space="preserve">2022年，通过财政拨款安排的“三公”经费预算共 99.82 万元（包括局机关及所属事业单位），比2021年增加149.3 </w:t>
      </w:r>
      <w:r>
        <w:rPr>
          <w:rFonts w:ascii="仿宋_GB2312" w:eastAsia="仿宋_GB2312" w:hAnsi="楷体_GB2312" w:cs="楷体_GB2312" w:hint="eastAsia"/>
          <w:sz w:val="32"/>
          <w:szCs w:val="32"/>
        </w:rPr>
        <w:t>%</w:t>
      </w:r>
      <w:r>
        <w:rPr>
          <w:rFonts w:ascii="仿宋_GB2312" w:eastAsia="仿宋_GB2312" w:hint="eastAsia"/>
          <w:sz w:val="32"/>
          <w:szCs w:val="32"/>
        </w:rPr>
        <w:t>。其中：因公出国（境）经费 0 万元，与上年度一致</w:t>
      </w:r>
      <w:r>
        <w:rPr>
          <w:rFonts w:ascii="仿宋_GB2312" w:eastAsia="仿宋_GB2312" w:hAnsi="仿宋_GB2312" w:cs="仿宋_GB2312" w:hint="eastAsia"/>
          <w:sz w:val="32"/>
          <w:szCs w:val="32"/>
        </w:rPr>
        <w:t>；公务用车运行维护费 25.2 万元，</w:t>
      </w:r>
      <w:r>
        <w:rPr>
          <w:rFonts w:ascii="仿宋_GB2312" w:eastAsia="仿宋_GB2312" w:hint="eastAsia"/>
          <w:sz w:val="32"/>
          <w:szCs w:val="32"/>
        </w:rPr>
        <w:t xml:space="preserve">比2021年下降21.94 </w:t>
      </w:r>
      <w:r>
        <w:rPr>
          <w:rFonts w:ascii="仿宋_GB2312" w:eastAsia="仿宋_GB2312" w:hAnsi="楷体_GB2312" w:cs="楷体_GB2312" w:hint="eastAsia"/>
          <w:sz w:val="32"/>
          <w:szCs w:val="32"/>
        </w:rPr>
        <w:t>%，主要用于压减“三公“经费及车辆报废，下降的</w:t>
      </w:r>
      <w:r>
        <w:rPr>
          <w:rFonts w:ascii="仿宋_GB2312" w:eastAsia="仿宋_GB2312" w:hAnsi="仿宋_GB2312" w:cs="仿宋_GB2312" w:hint="eastAsia"/>
          <w:sz w:val="32"/>
          <w:szCs w:val="32"/>
        </w:rPr>
        <w:t>主要原因是压减“三公”经费及车辆报废所致；公务用车购置费68万元，比上年增长100%，主要用于：青岛市救助服务中心新</w:t>
      </w:r>
      <w:r>
        <w:rPr>
          <w:rFonts w:ascii="仿宋_GB2312" w:eastAsia="仿宋_GB2312" w:hAnsi="仿宋" w:cs="宋体" w:hint="eastAsia"/>
          <w:sz w:val="32"/>
          <w:szCs w:val="32"/>
        </w:rPr>
        <w:t>购置专业的救护车，用于救治和转运患有传染病等特殊疾病的受助人员，以降低人传染人的群体性风险。</w:t>
      </w:r>
      <w:r>
        <w:rPr>
          <w:rFonts w:ascii="仿宋_GB2312" w:eastAsia="仿宋_GB2312" w:hint="eastAsia"/>
          <w:sz w:val="32"/>
          <w:szCs w:val="32"/>
        </w:rPr>
        <w:t>增长</w:t>
      </w:r>
      <w:r>
        <w:rPr>
          <w:rFonts w:ascii="仿宋_GB2312" w:eastAsia="仿宋_GB2312" w:hAnsi="仿宋_GB2312" w:cs="仿宋_GB2312" w:hint="eastAsia"/>
          <w:sz w:val="32"/>
          <w:szCs w:val="32"/>
        </w:rPr>
        <w:t>的主要原因是新购置专业救护车；公务接待费 6.62 万元，</w:t>
      </w:r>
      <w:r>
        <w:rPr>
          <w:rFonts w:ascii="仿宋_GB2312" w:eastAsia="仿宋_GB2312" w:hint="eastAsia"/>
          <w:sz w:val="32"/>
          <w:szCs w:val="32"/>
        </w:rPr>
        <w:t>比2021年下降10.17</w:t>
      </w:r>
      <w:r>
        <w:rPr>
          <w:rFonts w:ascii="仿宋_GB2312" w:eastAsia="仿宋_GB2312" w:hAnsi="楷体_GB2312" w:cs="楷体_GB2312" w:hint="eastAsia"/>
          <w:sz w:val="32"/>
          <w:szCs w:val="32"/>
        </w:rPr>
        <w:t>%，</w:t>
      </w:r>
      <w:r>
        <w:rPr>
          <w:rFonts w:ascii="仿宋_GB2312" w:eastAsia="仿宋_GB2312" w:hAnsi="仿宋_GB2312" w:cs="仿宋_GB2312" w:hint="eastAsia"/>
          <w:sz w:val="32"/>
          <w:szCs w:val="32"/>
        </w:rPr>
        <w:t>主要用于：压减“三公“经费，下降的主要原因是压减“三公”经费所致。</w:t>
      </w:r>
    </w:p>
    <w:p w:rsidR="006E6548" w:rsidRDefault="005D7064">
      <w:pPr>
        <w:spacing w:line="580" w:lineRule="exact"/>
        <w:ind w:firstLine="600"/>
        <w:rPr>
          <w:rFonts w:ascii="黑体" w:eastAsia="黑体" w:hAnsi="黑体"/>
          <w:sz w:val="32"/>
          <w:szCs w:val="32"/>
        </w:rPr>
      </w:pPr>
      <w:r>
        <w:rPr>
          <w:rFonts w:ascii="黑体" w:eastAsia="黑体" w:hAnsi="黑体" w:hint="eastAsia"/>
          <w:sz w:val="32"/>
          <w:szCs w:val="32"/>
        </w:rPr>
        <w:t>二、其他重要事项的情况说明</w:t>
      </w:r>
    </w:p>
    <w:p w:rsidR="006E6548" w:rsidRDefault="005D7064">
      <w:pPr>
        <w:spacing w:line="580" w:lineRule="exact"/>
        <w:ind w:firstLine="601"/>
        <w:rPr>
          <w:rFonts w:ascii="楷体_GB2312" w:eastAsia="楷体_GB2312"/>
          <w:sz w:val="32"/>
          <w:szCs w:val="32"/>
        </w:rPr>
      </w:pPr>
      <w:r>
        <w:rPr>
          <w:rFonts w:ascii="楷体_GB2312" w:eastAsia="楷体_GB2312" w:hint="eastAsia"/>
          <w:sz w:val="32"/>
          <w:szCs w:val="32"/>
        </w:rPr>
        <w:t>（一）重点项目情况说明</w:t>
      </w:r>
    </w:p>
    <w:p w:rsidR="006E6548" w:rsidRPr="00EA448D" w:rsidRDefault="005D7064" w:rsidP="00EA448D">
      <w:pPr>
        <w:spacing w:line="580" w:lineRule="exact"/>
        <w:ind w:firstLineChars="264" w:firstLine="848"/>
        <w:rPr>
          <w:rFonts w:ascii="仿宋" w:eastAsia="仿宋" w:hAnsi="仿宋"/>
          <w:b/>
          <w:sz w:val="32"/>
          <w:szCs w:val="32"/>
        </w:rPr>
      </w:pPr>
      <w:r w:rsidRPr="00EA448D">
        <w:rPr>
          <w:rFonts w:ascii="仿宋" w:eastAsia="仿宋" w:hAnsi="仿宋" w:cs="仿宋_GB2312"/>
          <w:b/>
          <w:kern w:val="0"/>
          <w:sz w:val="32"/>
          <w:szCs w:val="32"/>
        </w:rPr>
        <w:t>60</w:t>
      </w:r>
      <w:r w:rsidRPr="00EA448D">
        <w:rPr>
          <w:rFonts w:ascii="仿宋" w:eastAsia="仿宋" w:hAnsi="仿宋" w:cs="仿宋_GB2312" w:hint="eastAsia"/>
          <w:b/>
          <w:kern w:val="0"/>
          <w:sz w:val="32"/>
          <w:szCs w:val="32"/>
        </w:rPr>
        <w:t>岁以上老年人意外伤害保险补贴</w:t>
      </w:r>
    </w:p>
    <w:p w:rsidR="006E6548" w:rsidRDefault="005D7064">
      <w:pPr>
        <w:spacing w:line="580" w:lineRule="exact"/>
        <w:ind w:firstLine="60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1.项目概述：</w:t>
      </w:r>
      <w:r>
        <w:rPr>
          <w:rFonts w:ascii="仿宋" w:eastAsia="仿宋" w:hAnsi="仿宋" w:cs="仿宋_GB2312" w:hint="eastAsia"/>
          <w:sz w:val="32"/>
          <w:szCs w:val="32"/>
        </w:rPr>
        <w:t>按照</w:t>
      </w:r>
      <w:r>
        <w:rPr>
          <w:rFonts w:ascii="仿宋" w:eastAsia="仿宋" w:hAnsi="仿宋" w:cs="仿宋_GB2312"/>
          <w:sz w:val="32"/>
          <w:szCs w:val="32"/>
        </w:rPr>
        <w:t>2016</w:t>
      </w:r>
      <w:r>
        <w:rPr>
          <w:rFonts w:ascii="仿宋" w:eastAsia="仿宋" w:hAnsi="仿宋" w:cs="仿宋_GB2312" w:hint="eastAsia"/>
          <w:sz w:val="32"/>
          <w:szCs w:val="32"/>
        </w:rPr>
        <w:t>年青岛市市办实事要求，由市政府全额出资按照每人每年</w:t>
      </w:r>
      <w:r>
        <w:rPr>
          <w:rFonts w:ascii="仿宋" w:eastAsia="仿宋" w:hAnsi="仿宋" w:cs="仿宋_GB2312"/>
          <w:sz w:val="32"/>
          <w:szCs w:val="32"/>
        </w:rPr>
        <w:t>20</w:t>
      </w:r>
      <w:r>
        <w:rPr>
          <w:rFonts w:ascii="仿宋" w:eastAsia="仿宋" w:hAnsi="仿宋" w:cs="仿宋_GB2312" w:hint="eastAsia"/>
          <w:sz w:val="32"/>
          <w:szCs w:val="32"/>
        </w:rPr>
        <w:t>元的标准给</w:t>
      </w:r>
      <w:r>
        <w:rPr>
          <w:rFonts w:ascii="仿宋" w:eastAsia="仿宋" w:hAnsi="仿宋" w:cs="仿宋_GB2312"/>
          <w:sz w:val="32"/>
          <w:szCs w:val="32"/>
        </w:rPr>
        <w:t>60</w:t>
      </w:r>
      <w:r>
        <w:rPr>
          <w:rFonts w:ascii="仿宋" w:eastAsia="仿宋" w:hAnsi="仿宋" w:cs="仿宋_GB2312" w:hint="eastAsia"/>
          <w:sz w:val="32"/>
          <w:szCs w:val="32"/>
        </w:rPr>
        <w:t>岁以上老年人购买以伤害保险，</w:t>
      </w:r>
      <w:r>
        <w:rPr>
          <w:rFonts w:ascii="仿宋" w:eastAsia="仿宋" w:hAnsi="仿宋" w:cs="仿宋_GB2312"/>
          <w:sz w:val="32"/>
          <w:szCs w:val="32"/>
        </w:rPr>
        <w:t>2018</w:t>
      </w:r>
      <w:r>
        <w:rPr>
          <w:rFonts w:ascii="仿宋" w:eastAsia="仿宋" w:hAnsi="仿宋" w:cs="仿宋_GB2312" w:hint="eastAsia"/>
          <w:sz w:val="32"/>
          <w:szCs w:val="32"/>
        </w:rPr>
        <w:t>年根据前二年的项目理赔情况，调整为每人每年</w:t>
      </w:r>
      <w:r>
        <w:rPr>
          <w:rFonts w:ascii="仿宋" w:eastAsia="仿宋" w:hAnsi="仿宋" w:cs="仿宋_GB2312"/>
          <w:sz w:val="32"/>
          <w:szCs w:val="32"/>
        </w:rPr>
        <w:t>25</w:t>
      </w:r>
      <w:r>
        <w:rPr>
          <w:rFonts w:ascii="仿宋" w:eastAsia="仿宋" w:hAnsi="仿宋" w:cs="仿宋_GB2312" w:hint="eastAsia"/>
          <w:sz w:val="32"/>
          <w:szCs w:val="32"/>
        </w:rPr>
        <w:t>元。在《青岛市人民政府关于深化养老服务改革全面提升养老服务水平的实施意见》（青政发〔</w:t>
      </w:r>
      <w:r>
        <w:rPr>
          <w:rFonts w:ascii="仿宋" w:eastAsia="仿宋" w:hAnsi="仿宋" w:cs="仿宋_GB2312"/>
          <w:sz w:val="32"/>
          <w:szCs w:val="32"/>
        </w:rPr>
        <w:t>2019</w:t>
      </w:r>
      <w:r>
        <w:rPr>
          <w:rFonts w:ascii="仿宋" w:eastAsia="仿宋" w:hAnsi="仿宋" w:cs="仿宋_GB2312" w:hint="eastAsia"/>
          <w:sz w:val="32"/>
          <w:szCs w:val="32"/>
        </w:rPr>
        <w:t>〕</w:t>
      </w:r>
      <w:r>
        <w:rPr>
          <w:rFonts w:ascii="仿宋" w:eastAsia="仿宋" w:hAnsi="仿宋" w:cs="仿宋_GB2312"/>
          <w:sz w:val="32"/>
          <w:szCs w:val="32"/>
        </w:rPr>
        <w:t>32</w:t>
      </w:r>
      <w:r>
        <w:rPr>
          <w:rFonts w:ascii="仿宋" w:eastAsia="仿宋" w:hAnsi="仿宋" w:cs="仿宋_GB2312" w:hint="eastAsia"/>
          <w:sz w:val="32"/>
          <w:szCs w:val="32"/>
        </w:rPr>
        <w:t>号）中进一步明确了继续统一为全市</w:t>
      </w:r>
      <w:r>
        <w:rPr>
          <w:rFonts w:ascii="仿宋" w:eastAsia="仿宋" w:hAnsi="仿宋" w:cs="仿宋_GB2312"/>
          <w:sz w:val="32"/>
          <w:szCs w:val="32"/>
        </w:rPr>
        <w:t>60</w:t>
      </w:r>
      <w:r>
        <w:rPr>
          <w:rFonts w:ascii="仿宋" w:eastAsia="仿宋" w:hAnsi="仿宋" w:cs="仿宋_GB2312" w:hint="eastAsia"/>
          <w:sz w:val="32"/>
          <w:szCs w:val="32"/>
        </w:rPr>
        <w:t>周岁以上老年人购买意外伤害保险。</w:t>
      </w:r>
    </w:p>
    <w:p w:rsidR="006E6548" w:rsidRDefault="005D7064">
      <w:pPr>
        <w:spacing w:line="580" w:lineRule="exact"/>
        <w:ind w:firstLine="60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2.立项依据：</w:t>
      </w:r>
      <w:r>
        <w:rPr>
          <w:rFonts w:ascii="仿宋_GB2312" w:eastAsia="仿宋_GB2312" w:hAnsi="仿宋" w:cs="仿宋_GB2312" w:hint="eastAsia"/>
          <w:sz w:val="32"/>
          <w:szCs w:val="32"/>
        </w:rPr>
        <w:t>按照</w:t>
      </w:r>
      <w:r>
        <w:rPr>
          <w:rFonts w:ascii="仿宋_GB2312" w:eastAsia="仿宋_GB2312" w:cs="仿宋_GB2312" w:hint="eastAsia"/>
          <w:sz w:val="32"/>
          <w:szCs w:val="32"/>
        </w:rPr>
        <w:t>《青岛市人民政府关于深化养老服务</w:t>
      </w:r>
      <w:r>
        <w:rPr>
          <w:rFonts w:ascii="仿宋_GB2312" w:eastAsia="仿宋_GB2312" w:cs="仿宋_GB2312" w:hint="eastAsia"/>
          <w:sz w:val="32"/>
          <w:szCs w:val="32"/>
        </w:rPr>
        <w:lastRenderedPageBreak/>
        <w:t>改革全面提升养老服务水平的实施意见》（青政发〔</w:t>
      </w:r>
      <w:r>
        <w:rPr>
          <w:rFonts w:ascii="仿宋_GB2312" w:eastAsia="仿宋_GB2312" w:cs="仿宋_GB2312"/>
          <w:sz w:val="32"/>
          <w:szCs w:val="32"/>
        </w:rPr>
        <w:t>2019</w:t>
      </w:r>
      <w:r>
        <w:rPr>
          <w:rFonts w:ascii="仿宋_GB2312" w:eastAsia="仿宋_GB2312" w:cs="仿宋_GB2312" w:hint="eastAsia"/>
          <w:sz w:val="32"/>
          <w:szCs w:val="32"/>
        </w:rPr>
        <w:t>〕</w:t>
      </w:r>
      <w:r>
        <w:rPr>
          <w:rFonts w:ascii="仿宋_GB2312" w:eastAsia="仿宋_GB2312" w:cs="仿宋_GB2312"/>
          <w:sz w:val="32"/>
          <w:szCs w:val="32"/>
        </w:rPr>
        <w:t>32</w:t>
      </w:r>
      <w:r>
        <w:rPr>
          <w:rFonts w:ascii="仿宋_GB2312" w:eastAsia="仿宋_GB2312" w:cs="仿宋_GB2312" w:hint="eastAsia"/>
          <w:sz w:val="32"/>
          <w:szCs w:val="32"/>
        </w:rPr>
        <w:t>号）和《青岛市民政局青岛市财政局关于健全完善各类养老服务补贴的通知》（青民字〔</w:t>
      </w:r>
      <w:r>
        <w:rPr>
          <w:rFonts w:ascii="仿宋_GB2312" w:eastAsia="仿宋_GB2312" w:cs="仿宋_GB2312"/>
          <w:sz w:val="32"/>
          <w:szCs w:val="32"/>
        </w:rPr>
        <w:t>2020</w:t>
      </w:r>
      <w:r>
        <w:rPr>
          <w:rFonts w:ascii="仿宋_GB2312" w:eastAsia="仿宋_GB2312" w:cs="仿宋_GB2312" w:hint="eastAsia"/>
          <w:sz w:val="32"/>
          <w:szCs w:val="32"/>
        </w:rPr>
        <w:t>〕</w:t>
      </w:r>
      <w:r>
        <w:rPr>
          <w:rFonts w:ascii="仿宋_GB2312" w:eastAsia="仿宋_GB2312" w:cs="仿宋_GB2312"/>
          <w:sz w:val="32"/>
          <w:szCs w:val="32"/>
        </w:rPr>
        <w:t>14</w:t>
      </w:r>
      <w:r>
        <w:rPr>
          <w:rFonts w:ascii="仿宋_GB2312" w:eastAsia="仿宋_GB2312" w:cs="仿宋_GB2312" w:hint="eastAsia"/>
          <w:sz w:val="32"/>
          <w:szCs w:val="32"/>
        </w:rPr>
        <w:t>号）规定，继续统一为全市</w:t>
      </w:r>
      <w:r>
        <w:rPr>
          <w:rFonts w:ascii="仿宋_GB2312" w:eastAsia="仿宋_GB2312" w:cs="仿宋_GB2312"/>
          <w:sz w:val="32"/>
          <w:szCs w:val="32"/>
        </w:rPr>
        <w:t>60</w:t>
      </w:r>
      <w:r>
        <w:rPr>
          <w:rFonts w:ascii="仿宋_GB2312" w:eastAsia="仿宋_GB2312" w:cs="仿宋_GB2312" w:hint="eastAsia"/>
          <w:sz w:val="32"/>
          <w:szCs w:val="32"/>
        </w:rPr>
        <w:t>周岁以上老年人购买意外伤害保险。</w:t>
      </w:r>
    </w:p>
    <w:p w:rsidR="006E6548" w:rsidRDefault="005D7064">
      <w:pPr>
        <w:spacing w:line="580" w:lineRule="exact"/>
        <w:ind w:firstLine="601"/>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t>3.实施主体：</w:t>
      </w:r>
      <w:r>
        <w:rPr>
          <w:rFonts w:ascii="仿宋_GB2312" w:eastAsia="仿宋_GB2312" w:hAnsi="仿宋_GB2312" w:cs="仿宋_GB2312" w:hint="eastAsia"/>
          <w:bCs/>
          <w:sz w:val="32"/>
          <w:szCs w:val="32"/>
        </w:rPr>
        <w:t>市南区、市北区、李沧区、崂山区、西海岸新区、城阳区</w:t>
      </w:r>
    </w:p>
    <w:p w:rsidR="006E6548" w:rsidRDefault="005D7064">
      <w:pPr>
        <w:spacing w:line="580" w:lineRule="exact"/>
        <w:ind w:firstLine="60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4.实施方案：</w:t>
      </w:r>
      <w:r>
        <w:rPr>
          <w:rFonts w:ascii="仿宋_GB2312" w:eastAsia="仿宋_GB2312" w:hAnsi="仿宋" w:cs="仿宋_GB2312"/>
          <w:sz w:val="32"/>
          <w:szCs w:val="32"/>
        </w:rPr>
        <w:t>2022</w:t>
      </w:r>
      <w:r>
        <w:rPr>
          <w:rFonts w:ascii="仿宋_GB2312" w:eastAsia="仿宋_GB2312" w:hAnsi="仿宋" w:cs="仿宋_GB2312" w:hint="eastAsia"/>
          <w:sz w:val="32"/>
          <w:szCs w:val="32"/>
        </w:rPr>
        <w:t>年六区约</w:t>
      </w:r>
      <w:r>
        <w:rPr>
          <w:rFonts w:ascii="仿宋" w:eastAsia="仿宋" w:hAnsi="仿宋" w:cs="宋体"/>
          <w:bCs/>
          <w:sz w:val="32"/>
          <w:szCs w:val="32"/>
        </w:rPr>
        <w:t>999625</w:t>
      </w:r>
      <w:r>
        <w:rPr>
          <w:rFonts w:ascii="仿宋_GB2312" w:eastAsia="仿宋_GB2312" w:hAnsi="仿宋" w:cs="仿宋_GB2312" w:hint="eastAsia"/>
          <w:sz w:val="32"/>
          <w:szCs w:val="32"/>
        </w:rPr>
        <w:t>人，保费每人每年</w:t>
      </w:r>
      <w:r>
        <w:rPr>
          <w:rFonts w:ascii="仿宋_GB2312" w:eastAsia="仿宋_GB2312" w:hAnsi="仿宋" w:cs="仿宋_GB2312"/>
          <w:sz w:val="32"/>
          <w:szCs w:val="32"/>
        </w:rPr>
        <w:t>25</w:t>
      </w:r>
      <w:r>
        <w:rPr>
          <w:rFonts w:ascii="仿宋_GB2312" w:eastAsia="仿宋_GB2312" w:hAnsi="仿宋" w:cs="仿宋_GB2312" w:hint="eastAsia"/>
          <w:sz w:val="32"/>
          <w:szCs w:val="32"/>
        </w:rPr>
        <w:t>元。</w:t>
      </w:r>
      <w:r>
        <w:rPr>
          <w:rFonts w:ascii="仿宋_GB2312" w:eastAsia="仿宋_GB2312" w:hAnsi="仿宋" w:cs="仿宋_GB2312"/>
          <w:sz w:val="32"/>
          <w:szCs w:val="32"/>
        </w:rPr>
        <w:t>2022</w:t>
      </w:r>
      <w:r>
        <w:rPr>
          <w:rFonts w:ascii="仿宋_GB2312" w:eastAsia="仿宋_GB2312" w:hAnsi="仿宋" w:cs="仿宋_GB2312" w:hint="eastAsia"/>
          <w:sz w:val="32"/>
          <w:szCs w:val="32"/>
        </w:rPr>
        <w:t>年</w:t>
      </w:r>
      <w:r>
        <w:rPr>
          <w:rFonts w:ascii="仿宋_GB2312" w:eastAsia="仿宋_GB2312" w:hAnsi="仿宋" w:cs="仿宋_GB2312"/>
          <w:sz w:val="32"/>
          <w:szCs w:val="32"/>
        </w:rPr>
        <w:t>60</w:t>
      </w:r>
      <w:r>
        <w:rPr>
          <w:rFonts w:ascii="仿宋_GB2312" w:eastAsia="仿宋_GB2312" w:hAnsi="仿宋" w:cs="仿宋_GB2312" w:hint="eastAsia"/>
          <w:sz w:val="32"/>
          <w:szCs w:val="32"/>
        </w:rPr>
        <w:t>周岁（含）以上老年人意外伤害保险六区市级财政配套资金为</w:t>
      </w:r>
      <w:r>
        <w:rPr>
          <w:rFonts w:ascii="仿宋_GB2312" w:eastAsia="仿宋_GB2312" w:hAnsi="仿宋" w:cs="仿宋_GB2312"/>
          <w:sz w:val="32"/>
          <w:szCs w:val="32"/>
        </w:rPr>
        <w:t>1250</w:t>
      </w:r>
      <w:r>
        <w:rPr>
          <w:rFonts w:ascii="仿宋_GB2312" w:eastAsia="仿宋_GB2312" w:hAnsi="仿宋" w:cs="仿宋_GB2312" w:hint="eastAsia"/>
          <w:sz w:val="32"/>
          <w:szCs w:val="32"/>
        </w:rPr>
        <w:t>万元。</w:t>
      </w:r>
    </w:p>
    <w:p w:rsidR="006E6548" w:rsidRDefault="005D7064">
      <w:pPr>
        <w:spacing w:line="580" w:lineRule="exact"/>
        <w:ind w:firstLine="601"/>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t>5.实施周期：</w:t>
      </w:r>
      <w:r>
        <w:rPr>
          <w:rFonts w:ascii="仿宋_GB2312" w:eastAsia="仿宋_GB2312" w:hAnsi="仿宋_GB2312" w:cs="仿宋_GB2312" w:hint="eastAsia"/>
          <w:bCs/>
          <w:sz w:val="32"/>
          <w:szCs w:val="32"/>
        </w:rPr>
        <w:t>年度</w:t>
      </w:r>
    </w:p>
    <w:p w:rsidR="006E6548" w:rsidRDefault="005D7064">
      <w:pPr>
        <w:spacing w:line="580" w:lineRule="exact"/>
        <w:ind w:firstLine="601"/>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t>6.年度预算安排：</w:t>
      </w:r>
      <w:r>
        <w:rPr>
          <w:rFonts w:ascii="仿宋_GB2312" w:eastAsia="仿宋_GB2312" w:hAnsi="仿宋_GB2312" w:cs="仿宋_GB2312" w:hint="eastAsia"/>
          <w:bCs/>
          <w:sz w:val="32"/>
          <w:szCs w:val="32"/>
        </w:rPr>
        <w:t>1250万元</w:t>
      </w:r>
    </w:p>
    <w:p w:rsidR="006E6548" w:rsidRDefault="005D7064">
      <w:pPr>
        <w:spacing w:line="580" w:lineRule="exact"/>
        <w:ind w:firstLine="60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7.绩效目标和指标</w:t>
      </w:r>
    </w:p>
    <w:p w:rsidR="006E6548" w:rsidRDefault="005D7064">
      <w:pPr>
        <w:autoSpaceDE w:val="0"/>
        <w:spacing w:line="560" w:lineRule="exact"/>
        <w:ind w:firstLineChars="225" w:firstLine="720"/>
        <w:outlineLvl w:val="2"/>
        <w:rPr>
          <w:rFonts w:ascii="仿宋" w:eastAsia="仿宋" w:hAnsi="仿宋"/>
          <w:sz w:val="32"/>
          <w:szCs w:val="32"/>
        </w:rPr>
      </w:pPr>
      <w:r>
        <w:rPr>
          <w:rFonts w:ascii="仿宋" w:eastAsia="仿宋" w:hAnsi="仿宋" w:cs="仿宋_GB2312" w:hint="eastAsia"/>
          <w:sz w:val="32"/>
          <w:szCs w:val="32"/>
        </w:rPr>
        <w:t>年度目标：本项目重点解决老年人生活中极易碰到的摔跌伤、溺水、火灾、煤气中毒、动物伤害等外来的、突发的、非本意的、非疾病的因意外伤害导致的身故、伤残、医疗费用支出补偿，利用规模优势，有效突破了保险的年龄限制，确保了老年人有一份基本的保险保障，有效减轻个人、家庭和政府的经济负担。开展老年人意外伤害保险项目，将商业保险与基本医疗保险赔付相结合，既有利于发挥商业保险的补充作用，又有利于缓解社会保障压力，提高老年人及其家庭抗风险能力，减少因老年人意外伤害引发的矛盾和纠纷，促进社会和谐与稳定。</w:t>
      </w:r>
    </w:p>
    <w:p w:rsidR="006E6548" w:rsidRDefault="005D7064">
      <w:pPr>
        <w:spacing w:line="580" w:lineRule="exact"/>
        <w:ind w:firstLine="601"/>
        <w:rPr>
          <w:rFonts w:ascii="仿宋" w:eastAsia="仿宋" w:hAnsi="仿宋"/>
          <w:sz w:val="32"/>
          <w:szCs w:val="32"/>
        </w:rPr>
      </w:pPr>
      <w:r>
        <w:rPr>
          <w:rFonts w:ascii="仿宋" w:eastAsia="仿宋" w:hAnsi="仿宋" w:hint="eastAsia"/>
          <w:sz w:val="32"/>
          <w:szCs w:val="32"/>
        </w:rPr>
        <w:t>项目指标：</w:t>
      </w:r>
    </w:p>
    <w:p w:rsidR="006E6548" w:rsidRDefault="005D7064">
      <w:pPr>
        <w:spacing w:line="580" w:lineRule="exact"/>
        <w:ind w:firstLine="601"/>
        <w:rPr>
          <w:rFonts w:ascii="仿宋" w:eastAsia="仿宋" w:hAnsi="仿宋"/>
          <w:sz w:val="32"/>
          <w:szCs w:val="32"/>
        </w:rPr>
      </w:pPr>
      <w:r>
        <w:rPr>
          <w:rFonts w:ascii="仿宋" w:eastAsia="仿宋" w:hAnsi="仿宋" w:hint="eastAsia"/>
          <w:sz w:val="32"/>
          <w:szCs w:val="32"/>
        </w:rPr>
        <w:t>数量指标1：享受意外伤害保险的老年人:999625人</w:t>
      </w:r>
    </w:p>
    <w:p w:rsidR="006E6548" w:rsidRDefault="005D7064">
      <w:pPr>
        <w:spacing w:line="580" w:lineRule="exact"/>
        <w:ind w:firstLine="601"/>
        <w:rPr>
          <w:rFonts w:ascii="仿宋" w:eastAsia="仿宋" w:hAnsi="仿宋"/>
          <w:sz w:val="32"/>
          <w:szCs w:val="32"/>
        </w:rPr>
      </w:pPr>
      <w:r>
        <w:rPr>
          <w:rFonts w:ascii="仿宋" w:eastAsia="仿宋" w:hAnsi="仿宋" w:hint="eastAsia"/>
          <w:sz w:val="32"/>
          <w:szCs w:val="32"/>
        </w:rPr>
        <w:lastRenderedPageBreak/>
        <w:t>数量指标2：补贴发放的区市数：6区</w:t>
      </w:r>
    </w:p>
    <w:p w:rsidR="006E6548" w:rsidRDefault="005D7064">
      <w:pPr>
        <w:spacing w:line="580" w:lineRule="exact"/>
        <w:ind w:firstLine="601"/>
        <w:rPr>
          <w:rFonts w:ascii="仿宋" w:eastAsia="仿宋" w:hAnsi="仿宋"/>
          <w:sz w:val="32"/>
          <w:szCs w:val="32"/>
        </w:rPr>
      </w:pPr>
      <w:r>
        <w:rPr>
          <w:rFonts w:ascii="仿宋" w:eastAsia="仿宋" w:hAnsi="仿宋" w:hint="eastAsia"/>
          <w:sz w:val="32"/>
          <w:szCs w:val="32"/>
        </w:rPr>
        <w:t>质量指标1：全市老人参保:100%</w:t>
      </w:r>
    </w:p>
    <w:p w:rsidR="006E6548" w:rsidRDefault="005D7064">
      <w:pPr>
        <w:spacing w:line="580" w:lineRule="exact"/>
        <w:ind w:firstLine="601"/>
        <w:rPr>
          <w:rFonts w:ascii="仿宋" w:eastAsia="仿宋" w:hAnsi="仿宋"/>
          <w:sz w:val="32"/>
          <w:szCs w:val="32"/>
        </w:rPr>
      </w:pPr>
      <w:r>
        <w:rPr>
          <w:rFonts w:ascii="仿宋" w:eastAsia="仿宋" w:hAnsi="仿宋" w:hint="eastAsia"/>
          <w:sz w:val="32"/>
          <w:szCs w:val="32"/>
        </w:rPr>
        <w:t>质量指标2：老年人发生意外伤害理赔:99%</w:t>
      </w:r>
    </w:p>
    <w:p w:rsidR="006E6548" w:rsidRDefault="005D7064">
      <w:pPr>
        <w:spacing w:line="580" w:lineRule="exact"/>
        <w:ind w:firstLine="601"/>
        <w:rPr>
          <w:rFonts w:ascii="仿宋" w:eastAsia="仿宋" w:hAnsi="仿宋"/>
          <w:sz w:val="32"/>
          <w:szCs w:val="32"/>
        </w:rPr>
      </w:pPr>
      <w:r>
        <w:rPr>
          <w:rFonts w:ascii="仿宋" w:eastAsia="仿宋" w:hAnsi="仿宋" w:hint="eastAsia"/>
          <w:sz w:val="32"/>
          <w:szCs w:val="32"/>
        </w:rPr>
        <w:t>时效指标：意外伤害保险项目（六区）预算保费完成时间≤11月</w:t>
      </w:r>
    </w:p>
    <w:p w:rsidR="006E6548" w:rsidRDefault="005D7064">
      <w:pPr>
        <w:spacing w:line="580" w:lineRule="exact"/>
        <w:ind w:firstLine="601"/>
        <w:rPr>
          <w:rFonts w:ascii="仿宋" w:eastAsia="仿宋" w:hAnsi="仿宋"/>
          <w:sz w:val="32"/>
          <w:szCs w:val="32"/>
        </w:rPr>
      </w:pPr>
      <w:r>
        <w:rPr>
          <w:rFonts w:ascii="仿宋" w:eastAsia="仿宋" w:hAnsi="仿宋" w:hint="eastAsia"/>
          <w:sz w:val="32"/>
          <w:szCs w:val="32"/>
        </w:rPr>
        <w:t>成本指标：1250万元</w:t>
      </w:r>
    </w:p>
    <w:p w:rsidR="006E6548" w:rsidRDefault="005D7064">
      <w:pPr>
        <w:spacing w:line="580" w:lineRule="exact"/>
        <w:ind w:firstLine="601"/>
        <w:rPr>
          <w:rFonts w:ascii="仿宋" w:eastAsia="仿宋" w:hAnsi="仿宋"/>
          <w:sz w:val="32"/>
          <w:szCs w:val="32"/>
        </w:rPr>
      </w:pPr>
      <w:r>
        <w:rPr>
          <w:rFonts w:ascii="仿宋" w:eastAsia="仿宋" w:hAnsi="仿宋" w:hint="eastAsia"/>
          <w:sz w:val="32"/>
          <w:szCs w:val="32"/>
        </w:rPr>
        <w:t>社会效益指标：老年人及家属的幸福感、获得感提升</w:t>
      </w:r>
    </w:p>
    <w:p w:rsidR="006E6548" w:rsidRDefault="005D7064">
      <w:pPr>
        <w:spacing w:line="580" w:lineRule="exact"/>
        <w:ind w:firstLine="601"/>
        <w:rPr>
          <w:rFonts w:ascii="仿宋" w:eastAsia="仿宋" w:hAnsi="仿宋"/>
          <w:sz w:val="32"/>
          <w:szCs w:val="32"/>
        </w:rPr>
      </w:pPr>
      <w:r>
        <w:rPr>
          <w:rFonts w:ascii="仿宋" w:eastAsia="仿宋" w:hAnsi="仿宋" w:hint="eastAsia"/>
          <w:sz w:val="32"/>
          <w:szCs w:val="32"/>
        </w:rPr>
        <w:t>满意度指标：老年人及家属对此项制度的认可度≥90%</w:t>
      </w:r>
    </w:p>
    <w:p w:rsidR="006E6548" w:rsidRDefault="005D7064">
      <w:pPr>
        <w:spacing w:line="580" w:lineRule="exact"/>
        <w:ind w:firstLine="601"/>
        <w:rPr>
          <w:rFonts w:ascii="仿宋" w:eastAsia="仿宋" w:hAnsi="仿宋"/>
          <w:b/>
          <w:sz w:val="32"/>
          <w:szCs w:val="32"/>
        </w:rPr>
      </w:pPr>
      <w:r>
        <w:rPr>
          <w:rFonts w:ascii="仿宋" w:eastAsia="仿宋" w:hAnsi="仿宋" w:hint="eastAsia"/>
          <w:b/>
          <w:sz w:val="32"/>
          <w:szCs w:val="32"/>
        </w:rPr>
        <w:t>社会救助第三方评估</w:t>
      </w:r>
    </w:p>
    <w:p w:rsidR="006E6548" w:rsidRDefault="005D7064">
      <w:pPr>
        <w:spacing w:line="580" w:lineRule="exact"/>
        <w:ind w:firstLine="60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1.项目概述：</w:t>
      </w:r>
    </w:p>
    <w:p w:rsidR="006E6548" w:rsidRDefault="005D7064">
      <w:pPr>
        <w:spacing w:line="580" w:lineRule="exact"/>
        <w:ind w:firstLine="601"/>
        <w:rPr>
          <w:rFonts w:ascii="仿宋" w:eastAsia="仿宋" w:hAnsi="仿宋"/>
          <w:sz w:val="32"/>
          <w:szCs w:val="32"/>
        </w:rPr>
      </w:pPr>
      <w:r>
        <w:rPr>
          <w:rFonts w:ascii="仿宋" w:eastAsia="仿宋" w:hAnsi="仿宋" w:hint="eastAsia"/>
          <w:sz w:val="32"/>
          <w:szCs w:val="32"/>
        </w:rPr>
        <w:t>通过开展社会救助综合评估深入推动城乡低保特困供养临时救助等社会救助政策落到实处。提高社会救助规范管理和服务水平，确保社会救助政策落实到位、管理服务到位、困难群众权益保障到位。</w:t>
      </w:r>
    </w:p>
    <w:p w:rsidR="006E6548" w:rsidRDefault="005D7064">
      <w:pPr>
        <w:spacing w:line="580" w:lineRule="exact"/>
        <w:ind w:firstLine="60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2.立项依据：</w:t>
      </w:r>
    </w:p>
    <w:p w:rsidR="006E6548" w:rsidRDefault="005D7064">
      <w:pPr>
        <w:spacing w:line="560" w:lineRule="exact"/>
        <w:ind w:firstLineChars="200" w:firstLine="640"/>
        <w:outlineLvl w:val="0"/>
        <w:rPr>
          <w:rFonts w:ascii="仿宋_GB2312" w:eastAsia="仿宋_GB2312" w:hAnsi="仿宋"/>
          <w:color w:val="000000"/>
          <w:sz w:val="32"/>
          <w:szCs w:val="32"/>
        </w:rPr>
      </w:pPr>
      <w:r>
        <w:rPr>
          <w:rFonts w:ascii="仿宋_GB2312" w:eastAsia="仿宋_GB2312" w:hAnsi="仿宋" w:hint="eastAsia"/>
          <w:color w:val="000000"/>
          <w:sz w:val="32"/>
          <w:szCs w:val="32"/>
        </w:rPr>
        <w:t>《社会救助暂行办法》（国务院令第649号）第54条“县级以上地方人民政府可以将社会救助中的具体服务事项通过委托、承包、采购等方式，向社会力量购买服务”。</w:t>
      </w:r>
    </w:p>
    <w:p w:rsidR="006E6548" w:rsidRDefault="005D7064">
      <w:pPr>
        <w:spacing w:line="560" w:lineRule="exact"/>
        <w:ind w:firstLineChars="200" w:firstLine="640"/>
        <w:outlineLvl w:val="0"/>
        <w:rPr>
          <w:rFonts w:ascii="仿宋_GB2312" w:eastAsia="仿宋_GB2312" w:hAnsi="仿宋"/>
          <w:color w:val="000000"/>
          <w:sz w:val="32"/>
          <w:szCs w:val="32"/>
        </w:rPr>
      </w:pPr>
      <w:r>
        <w:rPr>
          <w:rFonts w:ascii="仿宋_GB2312" w:eastAsia="仿宋_GB2312" w:hAnsi="仿宋" w:hint="eastAsia"/>
          <w:color w:val="000000"/>
          <w:sz w:val="32"/>
          <w:szCs w:val="32"/>
        </w:rPr>
        <w:t>《山东省社会救助办法》（省政府令第279号）第68条：“各级人民政府可以将社会救助中的具体服务事项通过委托、承包、采购等方式，向社会力量购买服务。各级人民政府财政部门应当为购买社会救助服务提供支持”。</w:t>
      </w:r>
    </w:p>
    <w:p w:rsidR="006E6548" w:rsidRDefault="005D7064">
      <w:pPr>
        <w:spacing w:line="560" w:lineRule="exact"/>
        <w:ind w:firstLineChars="200" w:firstLine="640"/>
        <w:outlineLvl w:val="0"/>
        <w:rPr>
          <w:rFonts w:ascii="仿宋_GB2312" w:eastAsia="仿宋_GB2312" w:hAnsi="仿宋"/>
          <w:color w:val="000000"/>
          <w:sz w:val="32"/>
          <w:szCs w:val="32"/>
        </w:rPr>
      </w:pPr>
      <w:r>
        <w:rPr>
          <w:rFonts w:ascii="仿宋_GB2312" w:eastAsia="仿宋_GB2312" w:hAnsi="仿宋" w:hint="eastAsia"/>
          <w:color w:val="000000"/>
          <w:sz w:val="32"/>
          <w:szCs w:val="32"/>
        </w:rPr>
        <w:t>青岛市人民政府办公厅《关于加快推进社会救助体系建设的意见》（青政办发〔2016〕34号）“探索将社会救助具</w:t>
      </w:r>
      <w:r>
        <w:rPr>
          <w:rFonts w:ascii="仿宋_GB2312" w:eastAsia="仿宋_GB2312" w:hAnsi="仿宋" w:hint="eastAsia"/>
          <w:color w:val="000000"/>
          <w:sz w:val="32"/>
          <w:szCs w:val="32"/>
        </w:rPr>
        <w:lastRenderedPageBreak/>
        <w:t>体服务事项通过委托、承包、采购等方式，向社会力量购买服务”。</w:t>
      </w:r>
    </w:p>
    <w:p w:rsidR="006E6548" w:rsidRDefault="005D7064">
      <w:pPr>
        <w:spacing w:line="580" w:lineRule="exact"/>
        <w:ind w:firstLine="601"/>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t>3.实施主体：</w:t>
      </w:r>
      <w:r>
        <w:rPr>
          <w:rFonts w:ascii="仿宋_GB2312" w:eastAsia="仿宋_GB2312" w:hAnsi="仿宋_GB2312" w:cs="仿宋_GB2312" w:hint="eastAsia"/>
          <w:bCs/>
          <w:sz w:val="32"/>
          <w:szCs w:val="32"/>
        </w:rPr>
        <w:t>局本级</w:t>
      </w:r>
    </w:p>
    <w:p w:rsidR="006E6548" w:rsidRDefault="005D7064">
      <w:pPr>
        <w:spacing w:line="580" w:lineRule="exact"/>
        <w:ind w:firstLine="601"/>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t>4.实施方案：</w:t>
      </w:r>
      <w:r>
        <w:rPr>
          <w:rFonts w:ascii="仿宋_GB2312" w:eastAsia="仿宋_GB2312" w:hAnsi="仿宋" w:hint="eastAsia"/>
          <w:color w:val="000000"/>
          <w:sz w:val="32"/>
          <w:szCs w:val="32"/>
        </w:rPr>
        <w:t>通过购买第三方服务，对社会救助政策落实情况进行调查和评估，按照区市、镇街、村居、保障人数一定比例，对社会救助政策掌握和落实情况进行抽查评估。</w:t>
      </w:r>
    </w:p>
    <w:p w:rsidR="006E6548" w:rsidRDefault="005D7064">
      <w:pPr>
        <w:spacing w:line="580" w:lineRule="exact"/>
        <w:ind w:firstLine="601"/>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t>5.实施周期：</w:t>
      </w:r>
      <w:r>
        <w:rPr>
          <w:rFonts w:ascii="仿宋_GB2312" w:eastAsia="仿宋_GB2312" w:hAnsi="仿宋_GB2312" w:cs="仿宋_GB2312" w:hint="eastAsia"/>
          <w:bCs/>
          <w:sz w:val="32"/>
          <w:szCs w:val="32"/>
        </w:rPr>
        <w:t>年度</w:t>
      </w:r>
    </w:p>
    <w:p w:rsidR="006E6548" w:rsidRDefault="005D7064">
      <w:pPr>
        <w:spacing w:line="580" w:lineRule="exact"/>
        <w:ind w:firstLine="601"/>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t>6.年度预算安排：</w:t>
      </w:r>
      <w:r>
        <w:rPr>
          <w:rFonts w:ascii="仿宋_GB2312" w:eastAsia="仿宋_GB2312" w:hAnsi="仿宋_GB2312" w:cs="仿宋_GB2312" w:hint="eastAsia"/>
          <w:bCs/>
          <w:sz w:val="32"/>
          <w:szCs w:val="32"/>
        </w:rPr>
        <w:t>15万元</w:t>
      </w:r>
    </w:p>
    <w:p w:rsidR="006E6548" w:rsidRDefault="005D7064">
      <w:pPr>
        <w:spacing w:line="580" w:lineRule="exact"/>
        <w:ind w:firstLine="60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7.绩效目标和指标：</w:t>
      </w:r>
    </w:p>
    <w:p w:rsidR="006E6548" w:rsidRDefault="005D7064">
      <w:pPr>
        <w:spacing w:line="560" w:lineRule="exact"/>
        <w:ind w:firstLineChars="200" w:firstLine="640"/>
        <w:outlineLvl w:val="0"/>
        <w:rPr>
          <w:rFonts w:ascii="仿宋" w:eastAsia="仿宋" w:hAnsi="仿宋"/>
          <w:sz w:val="32"/>
          <w:szCs w:val="32"/>
        </w:rPr>
      </w:pPr>
      <w:r>
        <w:rPr>
          <w:rFonts w:ascii="仿宋_GB2312" w:eastAsia="仿宋_GB2312" w:hAnsi="仿宋_GB2312" w:cs="仿宋_GB2312" w:hint="eastAsia"/>
          <w:bCs/>
          <w:sz w:val="32"/>
          <w:szCs w:val="32"/>
        </w:rPr>
        <w:t>年度目标：</w:t>
      </w:r>
      <w:r>
        <w:rPr>
          <w:rFonts w:ascii="仿宋" w:eastAsia="仿宋" w:hAnsi="仿宋" w:hint="eastAsia"/>
          <w:sz w:val="32"/>
          <w:szCs w:val="32"/>
        </w:rPr>
        <w:t>通过开展社会救助综合评估深入推动城乡低保特困供养临时救助等社会救助政策落到实处。提高社会救助规范管理和服务水平，确保社会救助政策落实到位、管理服务到位、困难群众权益保障到位。</w:t>
      </w:r>
    </w:p>
    <w:p w:rsidR="006E6548" w:rsidRDefault="005D7064">
      <w:pPr>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项目指标：</w:t>
      </w:r>
    </w:p>
    <w:p w:rsidR="006E6548" w:rsidRDefault="005D7064">
      <w:pPr>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数量指标1：</w:t>
      </w:r>
      <w:r>
        <w:rPr>
          <w:rFonts w:ascii="仿宋" w:eastAsia="仿宋" w:hAnsi="仿宋"/>
          <w:sz w:val="32"/>
          <w:szCs w:val="32"/>
        </w:rPr>
        <w:t>对全市10个区市进行综合评估</w:t>
      </w:r>
    </w:p>
    <w:p w:rsidR="006E6548" w:rsidRDefault="005D7064" w:rsidP="005D7064">
      <w:pPr>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数量指标2：出具评估报告数量≥10个</w:t>
      </w:r>
    </w:p>
    <w:p w:rsidR="006E6548" w:rsidRDefault="005D7064">
      <w:pPr>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质量指标1：</w:t>
      </w:r>
      <w:r>
        <w:rPr>
          <w:rFonts w:ascii="仿宋" w:eastAsia="仿宋" w:hAnsi="仿宋"/>
          <w:sz w:val="32"/>
          <w:szCs w:val="32"/>
        </w:rPr>
        <w:t>对10个区市评估情况进行验收</w:t>
      </w:r>
      <w:r>
        <w:rPr>
          <w:rFonts w:ascii="仿宋" w:eastAsia="仿宋" w:hAnsi="仿宋" w:hint="eastAsia"/>
          <w:sz w:val="32"/>
          <w:szCs w:val="32"/>
        </w:rPr>
        <w:t>率≥95%</w:t>
      </w:r>
    </w:p>
    <w:p w:rsidR="006E6548" w:rsidRDefault="005D7064">
      <w:pPr>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质量指标2：</w:t>
      </w:r>
      <w:r>
        <w:rPr>
          <w:rFonts w:ascii="仿宋" w:eastAsia="仿宋" w:hAnsi="仿宋"/>
          <w:sz w:val="32"/>
          <w:szCs w:val="32"/>
        </w:rPr>
        <w:t>调查质量达标情况</w:t>
      </w:r>
      <w:r>
        <w:rPr>
          <w:rFonts w:ascii="仿宋" w:eastAsia="仿宋" w:hAnsi="仿宋" w:hint="eastAsia"/>
          <w:sz w:val="32"/>
          <w:szCs w:val="32"/>
        </w:rPr>
        <w:t>≥95%</w:t>
      </w:r>
    </w:p>
    <w:p w:rsidR="006E6548" w:rsidRDefault="005D7064">
      <w:pPr>
        <w:spacing w:line="560" w:lineRule="exact"/>
        <w:ind w:firstLineChars="200" w:firstLine="640"/>
        <w:outlineLvl w:val="0"/>
        <w:rPr>
          <w:rFonts w:ascii="仿宋" w:eastAsia="仿宋" w:hAnsi="仿宋"/>
          <w:color w:val="000000"/>
          <w:sz w:val="32"/>
          <w:szCs w:val="32"/>
        </w:rPr>
      </w:pPr>
      <w:r>
        <w:rPr>
          <w:rFonts w:ascii="仿宋" w:eastAsia="仿宋" w:hAnsi="仿宋" w:hint="eastAsia"/>
          <w:color w:val="000000"/>
          <w:sz w:val="32"/>
          <w:szCs w:val="32"/>
        </w:rPr>
        <w:t>时效指标：项目完成时间≤12月</w:t>
      </w:r>
    </w:p>
    <w:p w:rsidR="006E6548" w:rsidRDefault="005D7064">
      <w:pPr>
        <w:spacing w:line="580" w:lineRule="exact"/>
        <w:ind w:firstLine="601"/>
        <w:rPr>
          <w:rFonts w:ascii="仿宋" w:eastAsia="仿宋" w:hAnsi="仿宋" w:cs="仿宋_GB2312"/>
          <w:bCs/>
          <w:sz w:val="32"/>
          <w:szCs w:val="32"/>
        </w:rPr>
      </w:pPr>
      <w:r>
        <w:rPr>
          <w:rFonts w:ascii="仿宋" w:eastAsia="仿宋" w:hAnsi="仿宋" w:cs="仿宋_GB2312" w:hint="eastAsia"/>
          <w:bCs/>
          <w:sz w:val="32"/>
          <w:szCs w:val="32"/>
        </w:rPr>
        <w:t>成本指标：15万元</w:t>
      </w:r>
    </w:p>
    <w:p w:rsidR="006E6548" w:rsidRDefault="005D7064">
      <w:pPr>
        <w:spacing w:line="560" w:lineRule="exact"/>
        <w:ind w:firstLineChars="200" w:firstLine="640"/>
        <w:outlineLvl w:val="0"/>
        <w:rPr>
          <w:rFonts w:ascii="仿宋" w:eastAsia="仿宋" w:hAnsi="仿宋"/>
          <w:sz w:val="32"/>
          <w:szCs w:val="32"/>
        </w:rPr>
      </w:pPr>
      <w:r>
        <w:rPr>
          <w:rFonts w:ascii="仿宋" w:eastAsia="仿宋" w:hAnsi="仿宋" w:cs="仿宋_GB2312" w:hint="eastAsia"/>
          <w:bCs/>
          <w:sz w:val="32"/>
          <w:szCs w:val="32"/>
        </w:rPr>
        <w:t>社会效益指标：</w:t>
      </w:r>
      <w:r>
        <w:rPr>
          <w:rFonts w:ascii="仿宋" w:eastAsia="仿宋" w:hAnsi="仿宋"/>
          <w:sz w:val="32"/>
          <w:szCs w:val="32"/>
        </w:rPr>
        <w:t>社会救助政策落实有效性</w:t>
      </w:r>
      <w:r>
        <w:rPr>
          <w:rFonts w:ascii="仿宋" w:eastAsia="仿宋" w:hAnsi="仿宋" w:hint="eastAsia"/>
          <w:sz w:val="32"/>
          <w:szCs w:val="32"/>
        </w:rPr>
        <w:t>≥95%</w:t>
      </w:r>
    </w:p>
    <w:p w:rsidR="006E6548" w:rsidRDefault="005D7064">
      <w:pPr>
        <w:spacing w:line="560" w:lineRule="exact"/>
        <w:ind w:firstLineChars="200" w:firstLine="640"/>
        <w:outlineLvl w:val="0"/>
        <w:rPr>
          <w:rFonts w:ascii="仿宋" w:eastAsia="仿宋" w:hAnsi="仿宋"/>
          <w:sz w:val="32"/>
          <w:szCs w:val="32"/>
        </w:rPr>
      </w:pPr>
      <w:r>
        <w:rPr>
          <w:rFonts w:ascii="仿宋" w:eastAsia="仿宋" w:hAnsi="仿宋" w:cs="仿宋_GB2312" w:hint="eastAsia"/>
          <w:bCs/>
          <w:sz w:val="32"/>
          <w:szCs w:val="32"/>
        </w:rPr>
        <w:t>满意度指标：服务对象对救助工作满意度</w:t>
      </w:r>
      <w:r>
        <w:rPr>
          <w:rFonts w:ascii="仿宋" w:eastAsia="仿宋" w:hAnsi="仿宋" w:hint="eastAsia"/>
          <w:sz w:val="32"/>
          <w:szCs w:val="32"/>
        </w:rPr>
        <w:t>≥90%</w:t>
      </w:r>
    </w:p>
    <w:p w:rsidR="006E6548" w:rsidRDefault="005D7064">
      <w:pPr>
        <w:spacing w:line="580" w:lineRule="exact"/>
        <w:ind w:firstLine="601"/>
        <w:rPr>
          <w:rFonts w:ascii="楷体_GB2312" w:eastAsia="楷体_GB2312"/>
          <w:sz w:val="32"/>
          <w:szCs w:val="32"/>
        </w:rPr>
      </w:pPr>
      <w:r>
        <w:rPr>
          <w:rFonts w:ascii="楷体_GB2312" w:eastAsia="楷体_GB2312" w:hint="eastAsia"/>
          <w:sz w:val="32"/>
          <w:szCs w:val="32"/>
        </w:rPr>
        <w:t>（二）机关运行经费情况</w:t>
      </w:r>
    </w:p>
    <w:p w:rsidR="006E6548" w:rsidRDefault="005D7064">
      <w:pPr>
        <w:spacing w:line="580" w:lineRule="exact"/>
        <w:ind w:firstLine="601"/>
        <w:rPr>
          <w:rFonts w:ascii="仿宋_GB2312" w:eastAsia="仿宋_GB2312"/>
          <w:sz w:val="32"/>
          <w:szCs w:val="32"/>
        </w:rPr>
      </w:pPr>
      <w:r>
        <w:rPr>
          <w:rFonts w:ascii="仿宋_GB2312" w:eastAsia="仿宋_GB2312" w:hint="eastAsia"/>
          <w:sz w:val="32"/>
          <w:szCs w:val="32"/>
        </w:rPr>
        <w:t>2022年青岛市民政局部门机关运行经费财政拨款预算</w:t>
      </w:r>
      <w:r>
        <w:rPr>
          <w:rFonts w:ascii="仿宋_GB2312" w:eastAsia="仿宋_GB2312" w:hint="eastAsia"/>
          <w:sz w:val="32"/>
          <w:szCs w:val="32"/>
        </w:rPr>
        <w:lastRenderedPageBreak/>
        <w:t>为310.58万元。较2021年预算减少600.55万元，下降65.91%。主要原因规范清理工资津贴补贴所致。</w:t>
      </w:r>
    </w:p>
    <w:p w:rsidR="006E6548" w:rsidRDefault="005D7064">
      <w:pPr>
        <w:spacing w:line="580" w:lineRule="exact"/>
        <w:ind w:firstLine="601"/>
        <w:rPr>
          <w:rFonts w:ascii="楷体_GB2312" w:eastAsia="楷体_GB2312"/>
          <w:sz w:val="32"/>
          <w:szCs w:val="32"/>
        </w:rPr>
      </w:pPr>
      <w:r>
        <w:rPr>
          <w:rFonts w:ascii="楷体_GB2312" w:eastAsia="楷体_GB2312" w:hint="eastAsia"/>
          <w:sz w:val="32"/>
          <w:szCs w:val="32"/>
        </w:rPr>
        <w:t>（三）政府采购情况</w:t>
      </w:r>
    </w:p>
    <w:p w:rsidR="006E6548" w:rsidRDefault="005D7064">
      <w:pPr>
        <w:spacing w:line="580" w:lineRule="exact"/>
        <w:ind w:firstLine="600"/>
        <w:rPr>
          <w:rFonts w:ascii="仿宋_GB2312" w:eastAsia="仿宋_GB2312" w:hAnsi="宋体" w:cs="Courier New"/>
          <w:sz w:val="32"/>
          <w:szCs w:val="32"/>
        </w:rPr>
      </w:pPr>
      <w:r>
        <w:rPr>
          <w:rFonts w:ascii="仿宋_GB2312" w:eastAsia="仿宋_GB2312" w:hAnsi="宋体" w:cs="Courier New" w:hint="eastAsia"/>
          <w:sz w:val="32"/>
          <w:szCs w:val="32"/>
        </w:rPr>
        <w:t>2022年本部门政府采购预算总额 2102.26 万元，其中：财政拨款安排 2102.26万元。政府采购货物预算</w:t>
      </w:r>
      <w:r w:rsidR="00EE58E5">
        <w:rPr>
          <w:rFonts w:ascii="仿宋_GB2312" w:eastAsia="仿宋_GB2312" w:hAnsi="宋体" w:cs="Courier New" w:hint="eastAsia"/>
          <w:sz w:val="32"/>
          <w:szCs w:val="32"/>
        </w:rPr>
        <w:t>238.19</w:t>
      </w:r>
      <w:r>
        <w:rPr>
          <w:rFonts w:ascii="仿宋_GB2312" w:eastAsia="仿宋_GB2312" w:hAnsi="宋体" w:cs="Courier New" w:hint="eastAsia"/>
          <w:sz w:val="32"/>
          <w:szCs w:val="32"/>
        </w:rPr>
        <w:t xml:space="preserve">万元、政府采购工程预算 0 万元、政府采购服务预算  </w:t>
      </w:r>
      <w:r w:rsidR="00EE58E5">
        <w:rPr>
          <w:rFonts w:ascii="仿宋_GB2312" w:eastAsia="仿宋_GB2312" w:hAnsi="宋体" w:cs="Courier New" w:hint="eastAsia"/>
          <w:sz w:val="32"/>
          <w:szCs w:val="32"/>
        </w:rPr>
        <w:t>1864.07</w:t>
      </w:r>
      <w:bookmarkStart w:id="0" w:name="_GoBack"/>
      <w:bookmarkEnd w:id="0"/>
      <w:r>
        <w:rPr>
          <w:rFonts w:ascii="仿宋_GB2312" w:eastAsia="仿宋_GB2312" w:hAnsi="宋体" w:cs="Courier New" w:hint="eastAsia"/>
          <w:sz w:val="32"/>
          <w:szCs w:val="32"/>
        </w:rPr>
        <w:t>万元。</w:t>
      </w:r>
    </w:p>
    <w:p w:rsidR="006E6548" w:rsidRDefault="005D7064">
      <w:pPr>
        <w:spacing w:line="580" w:lineRule="exact"/>
        <w:ind w:firstLine="600"/>
        <w:rPr>
          <w:rFonts w:ascii="仿宋_GB2312" w:eastAsia="仿宋_GB2312"/>
          <w:sz w:val="32"/>
          <w:szCs w:val="32"/>
        </w:rPr>
      </w:pPr>
      <w:r>
        <w:rPr>
          <w:rFonts w:ascii="楷体_GB2312" w:eastAsia="楷体_GB2312" w:hint="eastAsia"/>
          <w:sz w:val="32"/>
          <w:szCs w:val="32"/>
        </w:rPr>
        <w:t>（四）国有资产占用情况说明</w:t>
      </w:r>
    </w:p>
    <w:p w:rsidR="006E6548" w:rsidRDefault="005D7064">
      <w:pPr>
        <w:spacing w:line="580" w:lineRule="exact"/>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截至2021年12月31日，本部门共有车辆 38 辆，其中，实物保障用车0辆、机要通信用车1辆、应急保障用车1辆、行政执法用车0辆，执法执勤用车0辆，特种专业技术用车24辆，离退休干部用车3辆，事业单位业务用车0辆，其他用车9辆。其中，其他用车主要是社会福利院、儿童福利院、救助服务中心用于开展相关业务用车；单位价值50万元以上通用设备 5 台（套），单位价值100万元以上专用设备 13 台（套）。</w:t>
      </w:r>
    </w:p>
    <w:p w:rsidR="006E6548" w:rsidRDefault="005D7064">
      <w:pPr>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2022年部门预算安排购置单位价值50万元以上通用设备0台（件、套），单位价值100万元以上专用设备0台（件、套）。</w:t>
      </w:r>
    </w:p>
    <w:p w:rsidR="006E6548" w:rsidRDefault="005D7064">
      <w:pPr>
        <w:spacing w:line="580" w:lineRule="exact"/>
        <w:ind w:firstLineChars="200" w:firstLine="640"/>
        <w:rPr>
          <w:rFonts w:ascii="楷体_GB2312" w:eastAsia="楷体_GB2312" w:hAnsi="黑体"/>
          <w:bCs/>
          <w:sz w:val="32"/>
          <w:szCs w:val="32"/>
        </w:rPr>
      </w:pPr>
      <w:r>
        <w:rPr>
          <w:rFonts w:ascii="楷体_GB2312" w:eastAsia="楷体_GB2312" w:hAnsi="黑体" w:hint="eastAsia"/>
          <w:bCs/>
          <w:sz w:val="32"/>
          <w:szCs w:val="32"/>
        </w:rPr>
        <w:t>（五）预算绩效情况说明</w:t>
      </w:r>
    </w:p>
    <w:p w:rsidR="006E6548" w:rsidRDefault="005D7064">
      <w:pPr>
        <w:spacing w:line="58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青岛市民政局部门2022年项目支出全面实施绩效目标管理，涉及预算项目支出</w:t>
      </w:r>
      <w:r w:rsidR="00481B98">
        <w:rPr>
          <w:rFonts w:ascii="仿宋_GB2312" w:eastAsia="仿宋_GB2312" w:hAnsi="黑体" w:hint="eastAsia"/>
          <w:bCs/>
          <w:sz w:val="32"/>
          <w:szCs w:val="32"/>
        </w:rPr>
        <w:t>37</w:t>
      </w:r>
      <w:r>
        <w:rPr>
          <w:rFonts w:ascii="仿宋_GB2312" w:eastAsia="仿宋_GB2312" w:hAnsi="黑体" w:hint="eastAsia"/>
          <w:bCs/>
          <w:sz w:val="32"/>
          <w:szCs w:val="32"/>
        </w:rPr>
        <w:t>个，预算资金</w:t>
      </w:r>
      <w:r w:rsidR="00481B98">
        <w:rPr>
          <w:rFonts w:ascii="仿宋_GB2312" w:eastAsia="仿宋_GB2312" w:hAnsi="黑体" w:hint="eastAsia"/>
          <w:bCs/>
          <w:sz w:val="32"/>
          <w:szCs w:val="32"/>
        </w:rPr>
        <w:t>36075</w:t>
      </w:r>
      <w:r>
        <w:rPr>
          <w:rFonts w:ascii="仿宋_GB2312" w:eastAsia="仿宋_GB2312" w:hAnsi="黑体" w:hint="eastAsia"/>
          <w:bCs/>
          <w:sz w:val="32"/>
          <w:szCs w:val="32"/>
        </w:rPr>
        <w:t>万元，其中财政拨款</w:t>
      </w:r>
      <w:r w:rsidR="00481B98">
        <w:rPr>
          <w:rFonts w:ascii="仿宋_GB2312" w:eastAsia="仿宋_GB2312" w:hAnsi="黑体" w:hint="eastAsia"/>
          <w:bCs/>
          <w:sz w:val="32"/>
          <w:szCs w:val="32"/>
        </w:rPr>
        <w:t>36075</w:t>
      </w:r>
      <w:r>
        <w:rPr>
          <w:rFonts w:ascii="仿宋_GB2312" w:eastAsia="仿宋_GB2312" w:hAnsi="黑体" w:hint="eastAsia"/>
          <w:bCs/>
          <w:sz w:val="32"/>
          <w:szCs w:val="32"/>
        </w:rPr>
        <w:t>万元。拟对民政部门社会福利及救助等35个项目开展部门重点绩效评价，涉及预算资金37414万元，</w:t>
      </w:r>
      <w:r>
        <w:rPr>
          <w:rFonts w:ascii="仿宋_GB2312" w:eastAsia="仿宋_GB2312" w:hAnsi="黑体" w:hint="eastAsia"/>
          <w:bCs/>
          <w:sz w:val="32"/>
          <w:szCs w:val="32"/>
        </w:rPr>
        <w:lastRenderedPageBreak/>
        <w:t>其中财政拨款37414万元。根据以前年度绩效评价结果，优化福利彩票公益金预算安排的培训、信息化等项目支出2022年预算安排，进一步改进管理、完善政策。</w:t>
      </w:r>
    </w:p>
    <w:p w:rsidR="006E6548" w:rsidRDefault="005D7064">
      <w:pPr>
        <w:spacing w:line="580" w:lineRule="exact"/>
        <w:rPr>
          <w:rFonts w:ascii="黑体" w:eastAsia="黑体"/>
          <w:sz w:val="48"/>
          <w:szCs w:val="48"/>
        </w:rPr>
      </w:pPr>
      <w:r>
        <w:rPr>
          <w:rFonts w:ascii="仿宋_GB2312" w:eastAsia="仿宋_GB2312" w:hAnsi="宋体" w:cs="Courier New" w:hint="eastAsia"/>
          <w:sz w:val="32"/>
          <w:szCs w:val="32"/>
        </w:rPr>
        <w:br w:type="page"/>
      </w:r>
    </w:p>
    <w:p w:rsidR="006E6548" w:rsidRDefault="006E6548">
      <w:pPr>
        <w:rPr>
          <w:rFonts w:ascii="黑体" w:eastAsia="黑体"/>
          <w:sz w:val="48"/>
          <w:szCs w:val="48"/>
        </w:rPr>
      </w:pPr>
    </w:p>
    <w:p w:rsidR="006E6548" w:rsidRDefault="006E6548">
      <w:pPr>
        <w:rPr>
          <w:rFonts w:ascii="黑体" w:eastAsia="黑体"/>
          <w:sz w:val="48"/>
          <w:szCs w:val="48"/>
        </w:rPr>
      </w:pPr>
    </w:p>
    <w:p w:rsidR="006E6548" w:rsidRDefault="005D7064">
      <w:pPr>
        <w:rPr>
          <w:rFonts w:ascii="黑体" w:eastAsia="黑体"/>
          <w:sz w:val="52"/>
          <w:szCs w:val="52"/>
        </w:rPr>
      </w:pPr>
      <w:r>
        <w:rPr>
          <w:rFonts w:ascii="黑体" w:eastAsia="黑体" w:hint="eastAsia"/>
          <w:sz w:val="52"/>
          <w:szCs w:val="52"/>
        </w:rPr>
        <w:t>第四部分</w:t>
      </w:r>
    </w:p>
    <w:p w:rsidR="006E6548" w:rsidRDefault="006E6548">
      <w:pPr>
        <w:rPr>
          <w:rFonts w:ascii="黑体" w:eastAsia="黑体"/>
          <w:sz w:val="52"/>
          <w:szCs w:val="52"/>
        </w:rPr>
      </w:pPr>
    </w:p>
    <w:p w:rsidR="006E6548" w:rsidRDefault="006E6548">
      <w:pPr>
        <w:rPr>
          <w:rFonts w:ascii="黑体" w:eastAsia="黑体"/>
          <w:sz w:val="48"/>
          <w:szCs w:val="48"/>
        </w:rPr>
      </w:pPr>
    </w:p>
    <w:p w:rsidR="006E6548" w:rsidRDefault="006E6548">
      <w:pPr>
        <w:rPr>
          <w:rFonts w:ascii="黑体" w:eastAsia="黑体"/>
          <w:sz w:val="52"/>
          <w:szCs w:val="52"/>
        </w:rPr>
      </w:pPr>
    </w:p>
    <w:p w:rsidR="006E6548" w:rsidRDefault="005D7064">
      <w:pPr>
        <w:jc w:val="center"/>
        <w:rPr>
          <w:rFonts w:ascii="黑体" w:eastAsia="黑体"/>
          <w:sz w:val="52"/>
          <w:szCs w:val="52"/>
        </w:rPr>
      </w:pPr>
      <w:r>
        <w:rPr>
          <w:rFonts w:ascii="黑体" w:eastAsia="黑体" w:hint="eastAsia"/>
          <w:sz w:val="52"/>
          <w:szCs w:val="52"/>
        </w:rPr>
        <w:t>名词解释</w:t>
      </w:r>
    </w:p>
    <w:p w:rsidR="006E6548" w:rsidRDefault="006E6548">
      <w:pPr>
        <w:rPr>
          <w:rFonts w:ascii="黑体" w:eastAsia="黑体"/>
          <w:b/>
          <w:sz w:val="30"/>
          <w:szCs w:val="30"/>
        </w:rPr>
      </w:pPr>
    </w:p>
    <w:p w:rsidR="006E6548" w:rsidRDefault="006E6548">
      <w:pPr>
        <w:rPr>
          <w:rFonts w:ascii="黑体" w:eastAsia="黑体"/>
          <w:b/>
          <w:sz w:val="30"/>
          <w:szCs w:val="30"/>
        </w:rPr>
      </w:pPr>
    </w:p>
    <w:p w:rsidR="006E6548" w:rsidRDefault="006E6548">
      <w:pPr>
        <w:rPr>
          <w:rFonts w:ascii="黑体" w:eastAsia="黑体"/>
          <w:b/>
          <w:sz w:val="30"/>
          <w:szCs w:val="30"/>
        </w:rPr>
      </w:pPr>
    </w:p>
    <w:p w:rsidR="006E6548" w:rsidRDefault="006E6548">
      <w:pPr>
        <w:rPr>
          <w:rFonts w:ascii="黑体" w:eastAsia="黑体"/>
          <w:b/>
          <w:sz w:val="30"/>
          <w:szCs w:val="30"/>
        </w:rPr>
      </w:pPr>
    </w:p>
    <w:p w:rsidR="006E6548" w:rsidRDefault="006E6548">
      <w:pPr>
        <w:rPr>
          <w:rFonts w:ascii="黑体" w:eastAsia="黑体"/>
          <w:b/>
          <w:sz w:val="30"/>
          <w:szCs w:val="30"/>
        </w:rPr>
      </w:pPr>
    </w:p>
    <w:p w:rsidR="006E6548" w:rsidRDefault="006E6548">
      <w:pPr>
        <w:rPr>
          <w:rFonts w:ascii="黑体" w:eastAsia="黑体"/>
          <w:b/>
          <w:sz w:val="30"/>
          <w:szCs w:val="30"/>
        </w:rPr>
      </w:pPr>
    </w:p>
    <w:p w:rsidR="006E6548" w:rsidRDefault="006E6548">
      <w:pPr>
        <w:rPr>
          <w:rFonts w:ascii="黑体" w:eastAsia="黑体"/>
          <w:b/>
          <w:sz w:val="30"/>
          <w:szCs w:val="30"/>
        </w:rPr>
      </w:pPr>
    </w:p>
    <w:p w:rsidR="006E6548" w:rsidRDefault="006E6548">
      <w:pPr>
        <w:rPr>
          <w:rFonts w:ascii="黑体" w:eastAsia="黑体"/>
          <w:b/>
          <w:sz w:val="30"/>
          <w:szCs w:val="30"/>
        </w:rPr>
      </w:pPr>
    </w:p>
    <w:p w:rsidR="006E6548" w:rsidRDefault="006E6548">
      <w:pPr>
        <w:rPr>
          <w:rFonts w:ascii="黑体" w:eastAsia="黑体"/>
          <w:b/>
          <w:sz w:val="30"/>
          <w:szCs w:val="30"/>
        </w:rPr>
      </w:pPr>
    </w:p>
    <w:p w:rsidR="006E6548" w:rsidRDefault="006E6548">
      <w:pPr>
        <w:rPr>
          <w:rFonts w:ascii="黑体" w:eastAsia="黑体"/>
          <w:b/>
          <w:sz w:val="30"/>
          <w:szCs w:val="30"/>
        </w:rPr>
      </w:pPr>
    </w:p>
    <w:p w:rsidR="006E6548" w:rsidRDefault="006E6548">
      <w:pPr>
        <w:rPr>
          <w:rFonts w:ascii="黑体" w:eastAsia="黑体"/>
          <w:b/>
          <w:sz w:val="30"/>
          <w:szCs w:val="30"/>
        </w:rPr>
      </w:pPr>
    </w:p>
    <w:p w:rsidR="006E6548" w:rsidRDefault="006E6548">
      <w:pPr>
        <w:rPr>
          <w:rFonts w:ascii="黑体" w:eastAsia="黑体"/>
          <w:b/>
          <w:sz w:val="30"/>
          <w:szCs w:val="30"/>
        </w:rPr>
      </w:pPr>
    </w:p>
    <w:p w:rsidR="006E6548" w:rsidRDefault="006E6548">
      <w:pPr>
        <w:rPr>
          <w:rFonts w:ascii="黑体" w:eastAsia="黑体"/>
          <w:b/>
          <w:sz w:val="30"/>
          <w:szCs w:val="30"/>
        </w:rPr>
      </w:pPr>
    </w:p>
    <w:p w:rsidR="006E6548" w:rsidRDefault="006E6548">
      <w:pPr>
        <w:rPr>
          <w:rFonts w:ascii="黑体" w:eastAsia="黑体"/>
          <w:b/>
          <w:sz w:val="30"/>
          <w:szCs w:val="30"/>
        </w:rPr>
      </w:pPr>
    </w:p>
    <w:p w:rsidR="006E6548" w:rsidRDefault="006E6548">
      <w:pPr>
        <w:rPr>
          <w:rFonts w:ascii="黑体" w:eastAsia="黑体"/>
          <w:b/>
          <w:sz w:val="30"/>
          <w:szCs w:val="30"/>
        </w:rPr>
      </w:pPr>
    </w:p>
    <w:p w:rsidR="006E6548" w:rsidRDefault="006E6548">
      <w:pPr>
        <w:rPr>
          <w:rFonts w:ascii="黑体" w:eastAsia="黑体"/>
          <w:b/>
          <w:sz w:val="30"/>
          <w:szCs w:val="30"/>
        </w:rPr>
      </w:pPr>
    </w:p>
    <w:p w:rsidR="006E6548" w:rsidRDefault="006E6548">
      <w:pPr>
        <w:rPr>
          <w:rFonts w:ascii="黑体" w:eastAsia="黑体"/>
          <w:b/>
          <w:sz w:val="30"/>
          <w:szCs w:val="30"/>
        </w:rPr>
      </w:pPr>
    </w:p>
    <w:p w:rsidR="006E6548" w:rsidRDefault="006E6548">
      <w:pPr>
        <w:rPr>
          <w:rFonts w:ascii="黑体" w:eastAsia="黑体"/>
          <w:b/>
          <w:sz w:val="30"/>
          <w:szCs w:val="30"/>
        </w:rPr>
      </w:pPr>
    </w:p>
    <w:p w:rsidR="006E6548" w:rsidRDefault="006E6548">
      <w:pPr>
        <w:rPr>
          <w:rFonts w:ascii="黑体" w:eastAsia="黑体"/>
          <w:b/>
          <w:sz w:val="30"/>
          <w:szCs w:val="30"/>
        </w:rPr>
      </w:pPr>
    </w:p>
    <w:p w:rsidR="006E6548" w:rsidRDefault="006E6548">
      <w:pPr>
        <w:rPr>
          <w:rFonts w:ascii="黑体" w:eastAsia="黑体"/>
          <w:b/>
          <w:sz w:val="30"/>
          <w:szCs w:val="30"/>
        </w:rPr>
      </w:pPr>
    </w:p>
    <w:p w:rsidR="006E6548" w:rsidRDefault="006E6548">
      <w:pPr>
        <w:rPr>
          <w:rFonts w:ascii="黑体" w:eastAsia="黑体"/>
          <w:b/>
          <w:sz w:val="30"/>
          <w:szCs w:val="30"/>
        </w:rPr>
      </w:pPr>
    </w:p>
    <w:p w:rsidR="006E6548" w:rsidRDefault="006E6548">
      <w:pPr>
        <w:rPr>
          <w:rFonts w:ascii="黑体" w:eastAsia="黑体"/>
          <w:b/>
          <w:sz w:val="30"/>
          <w:szCs w:val="30"/>
        </w:rPr>
      </w:pPr>
    </w:p>
    <w:p w:rsidR="006E6548" w:rsidRDefault="005D7064">
      <w:pPr>
        <w:spacing w:line="580" w:lineRule="exact"/>
        <w:ind w:firstLineChars="200" w:firstLine="640"/>
        <w:rPr>
          <w:rFonts w:ascii="仿宋_GB2312" w:eastAsia="仿宋_GB2312"/>
          <w:sz w:val="32"/>
          <w:szCs w:val="32"/>
        </w:rPr>
      </w:pPr>
      <w:r>
        <w:rPr>
          <w:rFonts w:ascii="黑体" w:eastAsia="黑体" w:hAnsi="黑体" w:hint="eastAsia"/>
          <w:color w:val="000000"/>
          <w:sz w:val="32"/>
          <w:szCs w:val="32"/>
        </w:rPr>
        <w:lastRenderedPageBreak/>
        <w:t>一、财政拨款收入：</w:t>
      </w:r>
      <w:r>
        <w:rPr>
          <w:rFonts w:ascii="仿宋_GB2312" w:eastAsia="仿宋_GB2312" w:hint="eastAsia"/>
          <w:sz w:val="32"/>
          <w:szCs w:val="32"/>
        </w:rPr>
        <w:t>指由市级财政拨款形成的部门（单位）收入。按现行管理制度，市级部门（单位）预算中反映的财政拨款包括一般公共预算拨款、政府性基金预算拨款和国有资本经营预算拨款。</w:t>
      </w:r>
    </w:p>
    <w:p w:rsidR="006E6548" w:rsidRDefault="005D7064">
      <w:pPr>
        <w:spacing w:line="580" w:lineRule="exact"/>
        <w:ind w:firstLineChars="200" w:firstLine="640"/>
        <w:rPr>
          <w:rFonts w:ascii="仿宋_GB2312" w:eastAsia="仿宋_GB2312"/>
          <w:sz w:val="32"/>
          <w:szCs w:val="32"/>
        </w:rPr>
      </w:pPr>
      <w:r>
        <w:rPr>
          <w:rFonts w:ascii="黑体" w:eastAsia="黑体" w:hAnsi="黑体" w:cs="黑体" w:hint="eastAsia"/>
          <w:sz w:val="32"/>
          <w:szCs w:val="32"/>
        </w:rPr>
        <w:t>二、财政专户管理资金：</w:t>
      </w:r>
      <w:r>
        <w:rPr>
          <w:rFonts w:ascii="仿宋_GB2312" w:eastAsia="仿宋_GB2312" w:hAnsi="仿宋_GB2312" w:cs="仿宋_GB2312" w:hint="eastAsia"/>
          <w:sz w:val="32"/>
          <w:szCs w:val="32"/>
        </w:rPr>
        <w:t>指缴入财政专户、实行专项管理的高中以上学费、住宿费、高校委托培养费、函大、电大、夜大及短训班培训费等教育收费。</w:t>
      </w:r>
    </w:p>
    <w:p w:rsidR="006E6548" w:rsidRDefault="005D706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三、事业收入：</w:t>
      </w:r>
      <w:r>
        <w:rPr>
          <w:rFonts w:ascii="仿宋_GB2312" w:eastAsia="仿宋_GB2312" w:hAnsi="仿宋_GB2312" w:cs="仿宋_GB2312" w:hint="eastAsia"/>
          <w:sz w:val="32"/>
          <w:szCs w:val="32"/>
        </w:rPr>
        <w:t>指事业单位开展专业业务活动及辅助活动所取得的收入，不含纳入财政专户管理的教育收费。</w:t>
      </w:r>
    </w:p>
    <w:p w:rsidR="006E6548" w:rsidRDefault="005D7064">
      <w:pPr>
        <w:spacing w:line="580" w:lineRule="exact"/>
        <w:ind w:firstLineChars="200" w:firstLine="640"/>
        <w:rPr>
          <w:rFonts w:ascii="仿宋_GB2312" w:eastAsia="仿宋_GB2312" w:hAnsi="仿宋"/>
          <w:sz w:val="32"/>
          <w:szCs w:val="32"/>
        </w:rPr>
      </w:pPr>
      <w:r>
        <w:rPr>
          <w:rFonts w:ascii="黑体" w:eastAsia="黑体" w:hAnsi="黑体" w:hint="eastAsia"/>
          <w:sz w:val="32"/>
          <w:szCs w:val="32"/>
        </w:rPr>
        <w:t>四、事业单位经营收入：</w:t>
      </w:r>
      <w:r>
        <w:rPr>
          <w:rFonts w:ascii="仿宋_GB2312" w:eastAsia="仿宋_GB2312" w:hAnsi="仿宋" w:hint="eastAsia"/>
          <w:sz w:val="32"/>
          <w:szCs w:val="32"/>
        </w:rPr>
        <w:t>指事业单位在专业业务活动及其辅助活动之外开展非独立核算经营活动取得的收入。</w:t>
      </w:r>
    </w:p>
    <w:p w:rsidR="006E6548" w:rsidRDefault="005D7064">
      <w:pPr>
        <w:spacing w:line="580" w:lineRule="exact"/>
        <w:ind w:firstLineChars="200" w:firstLine="640"/>
        <w:rPr>
          <w:rFonts w:ascii="仿宋_GB2312" w:eastAsia="仿宋_GB2312" w:hAnsi="仿宋"/>
          <w:sz w:val="32"/>
          <w:szCs w:val="32"/>
        </w:rPr>
      </w:pPr>
      <w:r>
        <w:rPr>
          <w:rFonts w:ascii="黑体" w:eastAsia="黑体" w:hAnsi="黑体" w:hint="eastAsia"/>
          <w:sz w:val="32"/>
          <w:szCs w:val="32"/>
        </w:rPr>
        <w:t>五、上级补助收入：</w:t>
      </w:r>
      <w:r>
        <w:rPr>
          <w:rFonts w:ascii="仿宋_GB2312" w:eastAsia="仿宋_GB2312" w:hAnsi="仿宋" w:hint="eastAsia"/>
          <w:sz w:val="32"/>
          <w:szCs w:val="32"/>
        </w:rPr>
        <w:t>指单位从主管部门和上级单位取得的非财政补助收入。</w:t>
      </w:r>
    </w:p>
    <w:p w:rsidR="006E6548" w:rsidRDefault="005D7064">
      <w:pPr>
        <w:spacing w:line="580" w:lineRule="exact"/>
        <w:ind w:firstLine="600"/>
        <w:rPr>
          <w:rFonts w:ascii="仿宋_GB2312" w:eastAsia="仿宋_GB2312"/>
          <w:sz w:val="32"/>
          <w:szCs w:val="32"/>
        </w:rPr>
      </w:pPr>
      <w:r>
        <w:rPr>
          <w:rFonts w:ascii="黑体" w:eastAsia="黑体" w:hAnsi="黑体" w:hint="eastAsia"/>
          <w:sz w:val="32"/>
          <w:szCs w:val="32"/>
        </w:rPr>
        <w:t>六、附属单位上缴收入：</w:t>
      </w:r>
      <w:r>
        <w:rPr>
          <w:rFonts w:ascii="仿宋_GB2312" w:eastAsia="仿宋_GB2312" w:hint="eastAsia"/>
          <w:sz w:val="32"/>
          <w:szCs w:val="32"/>
        </w:rPr>
        <w:t>指本部门所属纳入部门预算编报范围的单位按有关规定上缴的收入。</w:t>
      </w:r>
    </w:p>
    <w:p w:rsidR="006E6548" w:rsidRDefault="005D7064">
      <w:pPr>
        <w:spacing w:line="580" w:lineRule="exact"/>
        <w:ind w:firstLine="600"/>
        <w:rPr>
          <w:rFonts w:ascii="仿宋_GB2312" w:eastAsia="仿宋_GB2312"/>
          <w:sz w:val="32"/>
          <w:szCs w:val="32"/>
        </w:rPr>
      </w:pPr>
      <w:r>
        <w:rPr>
          <w:rFonts w:ascii="黑体" w:eastAsia="黑体" w:hAnsi="黑体" w:hint="eastAsia"/>
          <w:sz w:val="32"/>
          <w:szCs w:val="32"/>
        </w:rPr>
        <w:t>七、使用非财政拨款结余：</w:t>
      </w:r>
      <w:r>
        <w:rPr>
          <w:rFonts w:ascii="仿宋_GB2312" w:eastAsia="仿宋_GB2312" w:hint="eastAsia"/>
          <w:sz w:val="32"/>
          <w:szCs w:val="32"/>
        </w:rPr>
        <w:t>指本部门所属单位在预计用当年的“财政拨款收入”、“财政专户管理资金收入”、“事业收入”、“事业单位经营收入”、“其他收入”等不足以安排当年支出的情况下，使用以前年度积累结余弥补本年度收支缺口的资金。</w:t>
      </w:r>
    </w:p>
    <w:p w:rsidR="006E6548" w:rsidRDefault="005D7064">
      <w:pPr>
        <w:spacing w:line="580" w:lineRule="exact"/>
        <w:ind w:firstLine="600"/>
        <w:rPr>
          <w:rFonts w:ascii="仿宋_GB2312" w:eastAsia="仿宋_GB2312"/>
          <w:sz w:val="32"/>
          <w:szCs w:val="32"/>
        </w:rPr>
      </w:pPr>
      <w:r>
        <w:rPr>
          <w:rFonts w:ascii="黑体" w:eastAsia="黑体" w:hAnsi="黑体" w:hint="eastAsia"/>
          <w:sz w:val="32"/>
          <w:szCs w:val="32"/>
        </w:rPr>
        <w:t>八、上年结转：</w:t>
      </w:r>
      <w:r>
        <w:rPr>
          <w:rFonts w:ascii="仿宋_GB2312" w:eastAsia="仿宋_GB2312" w:hint="eastAsia"/>
          <w:sz w:val="32"/>
          <w:szCs w:val="32"/>
        </w:rPr>
        <w:t>指以前年度尚未完成、结转到本年仍按原规定用途继续使用的资金。</w:t>
      </w:r>
    </w:p>
    <w:p w:rsidR="006E6548" w:rsidRDefault="005D7064">
      <w:pPr>
        <w:spacing w:line="580" w:lineRule="exact"/>
        <w:ind w:firstLine="600"/>
        <w:rPr>
          <w:rFonts w:ascii="仿宋_GB2312" w:eastAsia="仿宋_GB2312"/>
          <w:sz w:val="32"/>
          <w:szCs w:val="32"/>
        </w:rPr>
      </w:pPr>
      <w:r>
        <w:rPr>
          <w:rFonts w:ascii="黑体" w:eastAsia="黑体" w:hAnsi="黑体" w:hint="eastAsia"/>
          <w:sz w:val="32"/>
          <w:szCs w:val="32"/>
        </w:rPr>
        <w:t>九、基本支出：</w:t>
      </w:r>
      <w:r>
        <w:rPr>
          <w:rFonts w:ascii="仿宋_GB2312" w:eastAsia="仿宋_GB2312" w:hint="eastAsia"/>
          <w:sz w:val="32"/>
          <w:szCs w:val="32"/>
        </w:rPr>
        <w:t>指为保障机构正常运转、完成日常工作任务而发生的人员支出和日常公用支出。</w:t>
      </w:r>
    </w:p>
    <w:p w:rsidR="006E6548" w:rsidRDefault="005D7064">
      <w:pPr>
        <w:spacing w:line="580" w:lineRule="exact"/>
        <w:ind w:firstLine="600"/>
        <w:rPr>
          <w:rFonts w:ascii="仿宋_GB2312" w:eastAsia="仿宋_GB2312"/>
          <w:sz w:val="32"/>
          <w:szCs w:val="32"/>
        </w:rPr>
      </w:pPr>
      <w:r>
        <w:rPr>
          <w:rFonts w:ascii="黑体" w:eastAsia="黑体" w:hAnsi="黑体" w:hint="eastAsia"/>
          <w:sz w:val="32"/>
          <w:szCs w:val="32"/>
        </w:rPr>
        <w:lastRenderedPageBreak/>
        <w:t>十、项目支出：</w:t>
      </w:r>
      <w:r>
        <w:rPr>
          <w:rFonts w:ascii="仿宋_GB2312" w:eastAsia="仿宋_GB2312" w:hint="eastAsia"/>
          <w:sz w:val="32"/>
          <w:szCs w:val="32"/>
        </w:rPr>
        <w:t>指在基本支出之外为完成特定任务和事业发展目标所发生的支出。</w:t>
      </w:r>
    </w:p>
    <w:p w:rsidR="006E6548" w:rsidRDefault="005D7064">
      <w:pPr>
        <w:spacing w:line="580" w:lineRule="exact"/>
        <w:ind w:firstLine="600"/>
        <w:rPr>
          <w:rFonts w:ascii="仿宋_GB2312" w:eastAsia="仿宋_GB2312"/>
          <w:sz w:val="32"/>
          <w:szCs w:val="32"/>
        </w:rPr>
      </w:pPr>
      <w:r>
        <w:rPr>
          <w:rFonts w:ascii="黑体" w:eastAsia="黑体" w:hAnsi="黑体" w:hint="eastAsia"/>
          <w:sz w:val="32"/>
          <w:szCs w:val="32"/>
        </w:rPr>
        <w:t>十一、“三公”经费：</w:t>
      </w:r>
      <w:r>
        <w:rPr>
          <w:rFonts w:ascii="仿宋_GB2312" w:eastAsia="仿宋_GB2312" w:hint="eastAsia"/>
          <w:sz w:val="32"/>
          <w:szCs w:val="32"/>
        </w:rPr>
        <w:t>指市级部门（单位）用财政拨款安排的因公出国（境）费、公务用车购置及运行费和公务接待费。其中，因公出国（境）费反映单位公务出国（境）的国际差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接待（含外宾接待）支出。</w:t>
      </w:r>
    </w:p>
    <w:p w:rsidR="006E6548" w:rsidRDefault="005D7064">
      <w:pPr>
        <w:spacing w:line="580" w:lineRule="exact"/>
        <w:ind w:firstLineChars="200" w:firstLine="640"/>
        <w:rPr>
          <w:rFonts w:ascii="仿宋_GB2312" w:eastAsia="仿宋_GB2312"/>
          <w:sz w:val="32"/>
          <w:szCs w:val="32"/>
        </w:rPr>
      </w:pPr>
      <w:r>
        <w:rPr>
          <w:rFonts w:ascii="黑体" w:eastAsia="黑体" w:hAnsi="黑体" w:hint="eastAsia"/>
          <w:sz w:val="32"/>
          <w:szCs w:val="32"/>
        </w:rPr>
        <w:t>十二、机关运行经费：</w:t>
      </w:r>
      <w:r>
        <w:rPr>
          <w:rFonts w:ascii="仿宋_GB2312" w:eastAsia="仿宋_GB2312" w:hAnsi="仿宋_GB2312" w:cs="仿宋_GB2312" w:hint="eastAsia"/>
          <w:sz w:val="32"/>
          <w:szCs w:val="32"/>
        </w:rPr>
        <w:t>指为保障行政单位（含参照公务员法管理的事业单位）运行用于购买</w:t>
      </w:r>
      <w:r>
        <w:rPr>
          <w:rFonts w:ascii="仿宋_GB2312" w:eastAsia="仿宋_GB2312" w:hint="eastAsia"/>
          <w:sz w:val="32"/>
          <w:szCs w:val="32"/>
        </w:rPr>
        <w:t>货物和服务的各项资金，</w:t>
      </w:r>
      <w:r>
        <w:rPr>
          <w:rFonts w:ascii="仿宋_GB2312" w:eastAsia="仿宋_GB2312" w:hAnsi="仿宋_GB2312" w:cs="仿宋_GB2312" w:hint="eastAsia"/>
          <w:sz w:val="32"/>
          <w:szCs w:val="32"/>
        </w:rPr>
        <w:t>市级行政单位(</w:t>
      </w:r>
      <w:r>
        <w:rPr>
          <w:rFonts w:ascii="仿宋_GB2312" w:eastAsia="仿宋_GB2312" w:hint="eastAsia"/>
          <w:sz w:val="32"/>
          <w:szCs w:val="32"/>
        </w:rPr>
        <w:t>含参照公务员法管理的事业单位)的财政拨款公用经费，包括办公及印刷费、邮电费、差旅费、会议费、福利费、日常维修费、专用材料及一般设备购置费、办公用房水电费、办公用房取暖费、办公用房物业管理费、公务用车运行维护费以及其他费用。</w:t>
      </w:r>
    </w:p>
    <w:p w:rsidR="006E6548" w:rsidRDefault="005D7064">
      <w:pPr>
        <w:spacing w:line="580" w:lineRule="exact"/>
        <w:ind w:firstLine="600"/>
        <w:rPr>
          <w:rFonts w:ascii="黑体" w:eastAsia="黑体" w:hAnsi="黑体"/>
          <w:sz w:val="32"/>
          <w:szCs w:val="32"/>
        </w:rPr>
      </w:pPr>
      <w:r>
        <w:rPr>
          <w:rFonts w:ascii="黑体" w:eastAsia="黑体" w:hAnsi="黑体" w:hint="eastAsia"/>
          <w:sz w:val="32"/>
          <w:szCs w:val="32"/>
        </w:rPr>
        <w:t>十三、上缴上级支出：</w:t>
      </w:r>
      <w:r>
        <w:rPr>
          <w:rFonts w:ascii="仿宋_GB2312" w:eastAsia="仿宋_GB2312" w:hint="eastAsia"/>
          <w:sz w:val="32"/>
          <w:szCs w:val="32"/>
        </w:rPr>
        <w:t>指下级单位上缴上级的支出。</w:t>
      </w:r>
    </w:p>
    <w:p w:rsidR="006E6548" w:rsidRDefault="005D7064">
      <w:pPr>
        <w:spacing w:line="580" w:lineRule="exact"/>
        <w:ind w:firstLine="600"/>
        <w:rPr>
          <w:rFonts w:ascii="仿宋_GB2312" w:eastAsia="仿宋_GB2312"/>
          <w:sz w:val="32"/>
          <w:szCs w:val="32"/>
        </w:rPr>
      </w:pPr>
      <w:r>
        <w:rPr>
          <w:rFonts w:ascii="黑体" w:eastAsia="黑体" w:hAnsi="黑体" w:hint="eastAsia"/>
          <w:sz w:val="32"/>
          <w:szCs w:val="32"/>
        </w:rPr>
        <w:t>十四、事业单位经营支出：</w:t>
      </w:r>
      <w:r>
        <w:rPr>
          <w:rFonts w:ascii="仿宋_GB2312" w:eastAsia="仿宋_GB2312" w:hint="eastAsia"/>
          <w:sz w:val="32"/>
          <w:szCs w:val="32"/>
        </w:rPr>
        <w:t>指事业单位在专业业务活动及其辅助活动之外开展非独立核算经营活动发生的支出。</w:t>
      </w:r>
    </w:p>
    <w:p w:rsidR="006E6548" w:rsidRDefault="005D7064">
      <w:pPr>
        <w:spacing w:line="580" w:lineRule="exact"/>
        <w:ind w:firstLine="600"/>
        <w:rPr>
          <w:rFonts w:ascii="仿宋_GB2312" w:eastAsia="仿宋_GB2312"/>
          <w:sz w:val="32"/>
          <w:szCs w:val="32"/>
        </w:rPr>
      </w:pPr>
      <w:r>
        <w:rPr>
          <w:rFonts w:ascii="黑体" w:eastAsia="黑体" w:hAnsi="黑体" w:hint="eastAsia"/>
          <w:sz w:val="32"/>
          <w:szCs w:val="32"/>
        </w:rPr>
        <w:t>十五、对下级单位补助支出：</w:t>
      </w:r>
      <w:r>
        <w:rPr>
          <w:rFonts w:ascii="仿宋_GB2312" w:eastAsia="仿宋_GB2312" w:hint="eastAsia"/>
          <w:sz w:val="32"/>
          <w:szCs w:val="32"/>
        </w:rPr>
        <w:t>指对下级单位补助发生的支出。</w:t>
      </w:r>
    </w:p>
    <w:p w:rsidR="006E6548" w:rsidRDefault="005D7064">
      <w:pPr>
        <w:spacing w:line="580" w:lineRule="exact"/>
        <w:ind w:firstLineChars="200" w:firstLine="640"/>
        <w:rPr>
          <w:rFonts w:ascii="仿宋_GB2312" w:eastAsia="仿宋_GB2312"/>
          <w:sz w:val="32"/>
          <w:szCs w:val="32"/>
        </w:rPr>
      </w:pPr>
      <w:r>
        <w:rPr>
          <w:rFonts w:ascii="黑体" w:eastAsia="黑体" w:hAnsi="黑体" w:hint="eastAsia"/>
          <w:sz w:val="32"/>
          <w:szCs w:val="32"/>
        </w:rPr>
        <w:t>十六、结转下年</w:t>
      </w:r>
      <w:r>
        <w:rPr>
          <w:rFonts w:ascii="仿宋_GB2312" w:eastAsia="仿宋_GB2312" w:hint="eastAsia"/>
          <w:sz w:val="32"/>
          <w:szCs w:val="32"/>
        </w:rPr>
        <w:t>：指以前年度预算安排、因客观条件发生变化无法按原计划实施，需延迟到以后年度按原规定用途</w:t>
      </w:r>
      <w:r>
        <w:rPr>
          <w:rFonts w:ascii="仿宋_GB2312" w:eastAsia="仿宋_GB2312" w:hint="eastAsia"/>
          <w:sz w:val="32"/>
          <w:szCs w:val="32"/>
        </w:rPr>
        <w:lastRenderedPageBreak/>
        <w:t>继续使用的资金。</w:t>
      </w:r>
    </w:p>
    <w:p w:rsidR="006E6548" w:rsidRDefault="005D7064">
      <w:pPr>
        <w:spacing w:line="580" w:lineRule="exact"/>
        <w:ind w:firstLineChars="200" w:firstLine="640"/>
        <w:rPr>
          <w:rFonts w:ascii="黑体" w:eastAsia="黑体" w:hAnsi="黑体"/>
          <w:sz w:val="32"/>
          <w:szCs w:val="32"/>
        </w:rPr>
      </w:pPr>
      <w:r>
        <w:rPr>
          <w:rFonts w:ascii="黑体" w:eastAsia="黑体" w:hAnsi="黑体" w:hint="eastAsia"/>
          <w:sz w:val="32"/>
          <w:szCs w:val="32"/>
        </w:rPr>
        <w:t>十七、各部门所使用的支出功能分类科目解释说明（明细到支出功能分类“项”级科目）。</w:t>
      </w:r>
    </w:p>
    <w:p w:rsidR="006E6548" w:rsidRDefault="005D7064">
      <w:pPr>
        <w:spacing w:line="580" w:lineRule="exact"/>
        <w:ind w:firstLineChars="200" w:firstLine="640"/>
        <w:rPr>
          <w:rFonts w:ascii="仿宋" w:eastAsia="仿宋" w:hAnsi="仿宋"/>
          <w:sz w:val="32"/>
          <w:szCs w:val="32"/>
        </w:rPr>
      </w:pPr>
      <w:r>
        <w:rPr>
          <w:rFonts w:ascii="仿宋" w:eastAsia="仿宋" w:hAnsi="仿宋" w:hint="eastAsia"/>
          <w:sz w:val="32"/>
          <w:szCs w:val="32"/>
        </w:rPr>
        <w:t>（一）行政运行：反映行政单位（包括实行公务员管理的事业单位）的基本支出。</w:t>
      </w:r>
    </w:p>
    <w:p w:rsidR="006E6548" w:rsidRDefault="005D7064">
      <w:pPr>
        <w:spacing w:line="580" w:lineRule="exact"/>
        <w:ind w:firstLineChars="200" w:firstLine="640"/>
        <w:rPr>
          <w:rFonts w:ascii="仿宋" w:eastAsia="仿宋" w:hAnsi="仿宋"/>
          <w:sz w:val="32"/>
          <w:szCs w:val="32"/>
        </w:rPr>
      </w:pPr>
      <w:r>
        <w:rPr>
          <w:rFonts w:ascii="仿宋" w:eastAsia="仿宋" w:hAnsi="仿宋" w:hint="eastAsia"/>
          <w:sz w:val="32"/>
          <w:szCs w:val="32"/>
        </w:rPr>
        <w:t>（二）行政区划和地名管理：反映行政区域界线勘定、管理、以及行政区划和地名管理支出。</w:t>
      </w:r>
    </w:p>
    <w:p w:rsidR="006E6548" w:rsidRDefault="005D7064">
      <w:pPr>
        <w:spacing w:line="580" w:lineRule="exact"/>
        <w:ind w:firstLineChars="200" w:firstLine="640"/>
        <w:rPr>
          <w:rFonts w:ascii="仿宋" w:eastAsia="仿宋" w:hAnsi="仿宋"/>
          <w:sz w:val="32"/>
          <w:szCs w:val="32"/>
        </w:rPr>
      </w:pPr>
      <w:r>
        <w:rPr>
          <w:rFonts w:ascii="仿宋" w:eastAsia="仿宋" w:hAnsi="仿宋" w:hint="eastAsia"/>
          <w:sz w:val="32"/>
          <w:szCs w:val="32"/>
        </w:rPr>
        <w:t>（三）基层政权建设和社区治理：反映开展城乡社区治理、城乡社区服务（乡村便民服务）、村（居）民自治、村（居）务公开、乡镇（街道）服务能力建设等基层政权建设和社区治理工作的支出。</w:t>
      </w:r>
    </w:p>
    <w:p w:rsidR="006E6548" w:rsidRDefault="005D7064">
      <w:pPr>
        <w:spacing w:line="580" w:lineRule="exact"/>
        <w:ind w:firstLineChars="200" w:firstLine="640"/>
        <w:rPr>
          <w:rFonts w:ascii="仿宋" w:eastAsia="仿宋" w:hAnsi="仿宋"/>
          <w:sz w:val="32"/>
          <w:szCs w:val="32"/>
        </w:rPr>
      </w:pPr>
      <w:r>
        <w:rPr>
          <w:rFonts w:ascii="仿宋" w:eastAsia="仿宋" w:hAnsi="仿宋" w:hint="eastAsia"/>
          <w:sz w:val="32"/>
          <w:szCs w:val="32"/>
        </w:rPr>
        <w:t>（四）其他民政管理事务支出：反映除上述项目以外其他用于民政管理事务的支出。</w:t>
      </w:r>
    </w:p>
    <w:p w:rsidR="006E6548" w:rsidRDefault="005D7064">
      <w:pPr>
        <w:spacing w:line="580" w:lineRule="exact"/>
        <w:ind w:firstLineChars="200" w:firstLine="640"/>
        <w:rPr>
          <w:rFonts w:ascii="仿宋" w:eastAsia="仿宋" w:hAnsi="仿宋"/>
          <w:sz w:val="32"/>
          <w:szCs w:val="32"/>
        </w:rPr>
      </w:pPr>
      <w:r>
        <w:rPr>
          <w:rFonts w:ascii="仿宋" w:eastAsia="仿宋" w:hAnsi="仿宋" w:hint="eastAsia"/>
          <w:sz w:val="32"/>
          <w:szCs w:val="32"/>
        </w:rPr>
        <w:t>（五）儿童福利：反映对儿童提供福利服务方面的支出。</w:t>
      </w:r>
    </w:p>
    <w:p w:rsidR="006E6548" w:rsidRDefault="005D7064">
      <w:pPr>
        <w:spacing w:line="580" w:lineRule="exact"/>
        <w:ind w:firstLineChars="200" w:firstLine="640"/>
        <w:rPr>
          <w:rFonts w:ascii="仿宋" w:eastAsia="仿宋" w:hAnsi="仿宋"/>
          <w:sz w:val="32"/>
          <w:szCs w:val="32"/>
        </w:rPr>
      </w:pPr>
      <w:r>
        <w:rPr>
          <w:rFonts w:ascii="仿宋" w:eastAsia="仿宋" w:hAnsi="仿宋" w:hint="eastAsia"/>
          <w:sz w:val="32"/>
          <w:szCs w:val="32"/>
        </w:rPr>
        <w:t>（六）老年福利：反映对老年人提供福利服务方面的支出，包括经济困难的高龄、失能等老年人提供基本养老服务保障的资金补助等支出。</w:t>
      </w:r>
    </w:p>
    <w:p w:rsidR="006E6548" w:rsidRDefault="005D7064">
      <w:pPr>
        <w:spacing w:line="580" w:lineRule="exact"/>
        <w:ind w:firstLineChars="200" w:firstLine="640"/>
        <w:rPr>
          <w:rFonts w:ascii="仿宋" w:eastAsia="仿宋" w:hAnsi="仿宋"/>
          <w:sz w:val="32"/>
          <w:szCs w:val="32"/>
        </w:rPr>
      </w:pPr>
      <w:r>
        <w:rPr>
          <w:rFonts w:ascii="仿宋" w:eastAsia="仿宋" w:hAnsi="仿宋" w:hint="eastAsia"/>
          <w:sz w:val="32"/>
          <w:szCs w:val="32"/>
        </w:rPr>
        <w:t>（七）殡葬：反映殡葬管理和殡葬服务方面的支出，包括民政部门直属的殡仪馆、公墓、殡葬管理服务机构的支出。</w:t>
      </w:r>
    </w:p>
    <w:p w:rsidR="006E6548" w:rsidRDefault="005D7064">
      <w:pPr>
        <w:spacing w:line="580" w:lineRule="exact"/>
        <w:ind w:firstLineChars="200" w:firstLine="640"/>
        <w:rPr>
          <w:rFonts w:ascii="仿宋" w:eastAsia="仿宋" w:hAnsi="仿宋"/>
          <w:sz w:val="32"/>
          <w:szCs w:val="32"/>
        </w:rPr>
      </w:pPr>
      <w:r>
        <w:rPr>
          <w:rFonts w:ascii="仿宋" w:eastAsia="仿宋" w:hAnsi="仿宋" w:hint="eastAsia"/>
          <w:sz w:val="32"/>
          <w:szCs w:val="32"/>
        </w:rPr>
        <w:t>（八）社会福利事业单位：反映民政部门举报的社会福利事业单位的支出，以及对集体社会福利事业单位的补助费。</w:t>
      </w:r>
    </w:p>
    <w:p w:rsidR="006E6548" w:rsidRDefault="005D7064">
      <w:pPr>
        <w:spacing w:line="580" w:lineRule="exact"/>
        <w:ind w:firstLineChars="200" w:firstLine="640"/>
        <w:rPr>
          <w:rFonts w:ascii="仿宋" w:eastAsia="仿宋" w:hAnsi="仿宋"/>
          <w:sz w:val="32"/>
          <w:szCs w:val="32"/>
        </w:rPr>
      </w:pPr>
      <w:r>
        <w:rPr>
          <w:rFonts w:ascii="仿宋" w:eastAsia="仿宋" w:hAnsi="仿宋" w:hint="eastAsia"/>
          <w:sz w:val="32"/>
          <w:szCs w:val="32"/>
        </w:rPr>
        <w:t>（九）养老服务：反映财政在养老服务方面的补助支出，包括支持居家养老服务、社区养老服务和机构养老服务的支</w:t>
      </w:r>
      <w:r>
        <w:rPr>
          <w:rFonts w:ascii="仿宋" w:eastAsia="仿宋" w:hAnsi="仿宋" w:hint="eastAsia"/>
          <w:sz w:val="32"/>
          <w:szCs w:val="32"/>
        </w:rPr>
        <w:lastRenderedPageBreak/>
        <w:t>出，对养老服务机构的运营、建设补助支出等，不包括对社会福利事业单位的补助支出。</w:t>
      </w:r>
    </w:p>
    <w:p w:rsidR="006E6548" w:rsidRDefault="005D7064">
      <w:pPr>
        <w:spacing w:line="580" w:lineRule="exact"/>
        <w:ind w:firstLineChars="200" w:firstLine="640"/>
        <w:rPr>
          <w:rFonts w:ascii="仿宋" w:eastAsia="仿宋" w:hAnsi="仿宋"/>
          <w:sz w:val="32"/>
          <w:szCs w:val="32"/>
        </w:rPr>
      </w:pPr>
      <w:r>
        <w:rPr>
          <w:rFonts w:ascii="仿宋" w:eastAsia="仿宋" w:hAnsi="仿宋" w:hint="eastAsia"/>
          <w:sz w:val="32"/>
          <w:szCs w:val="32"/>
        </w:rPr>
        <w:t>（十）流浪乞讨人员救助支出：反映用于生活无着的流浪乞讨人员的救助支出和救助管理机构的运转支出。</w:t>
      </w:r>
    </w:p>
    <w:p w:rsidR="006E6548" w:rsidRDefault="005D7064">
      <w:pPr>
        <w:spacing w:line="580" w:lineRule="exact"/>
        <w:ind w:firstLineChars="200" w:firstLine="640"/>
        <w:rPr>
          <w:rFonts w:ascii="仿宋" w:eastAsia="仿宋" w:hAnsi="仿宋"/>
          <w:sz w:val="32"/>
          <w:szCs w:val="32"/>
        </w:rPr>
      </w:pPr>
      <w:r>
        <w:rPr>
          <w:rFonts w:ascii="仿宋" w:eastAsia="仿宋" w:hAnsi="仿宋" w:hint="eastAsia"/>
          <w:sz w:val="32"/>
          <w:szCs w:val="32"/>
        </w:rPr>
        <w:t>（十一）其他商业服务业等支出：反映其他商业服务业等方面其他支出。</w:t>
      </w:r>
    </w:p>
    <w:p w:rsidR="006E6548" w:rsidRDefault="005D7064">
      <w:pPr>
        <w:spacing w:line="580" w:lineRule="exact"/>
        <w:ind w:firstLineChars="200" w:firstLine="640"/>
        <w:rPr>
          <w:rFonts w:ascii="仿宋" w:eastAsia="仿宋" w:hAnsi="仿宋"/>
          <w:sz w:val="32"/>
          <w:szCs w:val="32"/>
        </w:rPr>
      </w:pPr>
      <w:r>
        <w:rPr>
          <w:rFonts w:ascii="仿宋" w:eastAsia="仿宋" w:hAnsi="仿宋" w:hint="eastAsia"/>
          <w:sz w:val="32"/>
          <w:szCs w:val="32"/>
        </w:rPr>
        <w:t>（十二）机关事业单位基本养老保险缴费支出：反映机关事业单位实施养老保险制度由单位缴纳的基本养老保险费支出。</w:t>
      </w:r>
    </w:p>
    <w:p w:rsidR="006E6548" w:rsidRDefault="005D7064">
      <w:pPr>
        <w:spacing w:line="580" w:lineRule="exact"/>
        <w:ind w:firstLineChars="200" w:firstLine="640"/>
        <w:rPr>
          <w:rFonts w:ascii="仿宋" w:eastAsia="仿宋" w:hAnsi="仿宋"/>
          <w:sz w:val="32"/>
          <w:szCs w:val="32"/>
        </w:rPr>
      </w:pPr>
      <w:r>
        <w:rPr>
          <w:rFonts w:ascii="仿宋" w:eastAsia="仿宋" w:hAnsi="仿宋" w:hint="eastAsia"/>
          <w:sz w:val="32"/>
          <w:szCs w:val="32"/>
        </w:rPr>
        <w:t xml:space="preserve">（十三）机关事业单位职业年金缴费支出：反映机关事业单位实施养老保险制度由单位实际缴纳的职业年金支出。 </w:t>
      </w:r>
    </w:p>
    <w:p w:rsidR="006E6548" w:rsidRDefault="005D7064">
      <w:pPr>
        <w:spacing w:line="580" w:lineRule="exact"/>
        <w:ind w:firstLineChars="250" w:firstLine="800"/>
        <w:rPr>
          <w:rFonts w:ascii="仿宋" w:eastAsia="仿宋" w:hAnsi="仿宋"/>
          <w:sz w:val="32"/>
          <w:szCs w:val="32"/>
        </w:rPr>
      </w:pPr>
      <w:r>
        <w:rPr>
          <w:rFonts w:ascii="仿宋" w:eastAsia="仿宋" w:hAnsi="仿宋" w:hint="eastAsia"/>
          <w:sz w:val="32"/>
          <w:szCs w:val="32"/>
        </w:rPr>
        <w:t>(十四)住房公积金：反映行政事业单位按人力资源和社会保障部、财政部规定的基本工资和津贴补贴以及规定比例为职工缴纳的住房公积金。</w:t>
      </w:r>
    </w:p>
    <w:p w:rsidR="006E6548" w:rsidRDefault="005D7064">
      <w:pPr>
        <w:spacing w:line="580" w:lineRule="exact"/>
        <w:ind w:firstLineChars="250" w:firstLine="800"/>
        <w:rPr>
          <w:rFonts w:ascii="仿宋" w:eastAsia="仿宋" w:hAnsi="仿宋"/>
          <w:sz w:val="32"/>
          <w:szCs w:val="32"/>
        </w:rPr>
      </w:pPr>
      <w:r>
        <w:rPr>
          <w:rFonts w:ascii="仿宋" w:eastAsia="仿宋" w:hAnsi="仿宋" w:hint="eastAsia"/>
          <w:sz w:val="32"/>
          <w:szCs w:val="32"/>
        </w:rPr>
        <w:t>（十五）特殊学校教育：反映各部门举办盲童学校、聋哑学校、智力落后儿童学校、其他生理缺陷儿童学校的支出。</w:t>
      </w:r>
    </w:p>
    <w:p w:rsidR="006E6548" w:rsidRDefault="005D7064">
      <w:pPr>
        <w:spacing w:line="580" w:lineRule="exact"/>
        <w:ind w:firstLineChars="200" w:firstLine="640"/>
        <w:rPr>
          <w:rFonts w:ascii="黑体" w:eastAsia="黑体" w:hAnsi="黑体"/>
          <w:sz w:val="32"/>
          <w:szCs w:val="32"/>
        </w:rPr>
      </w:pPr>
      <w:r>
        <w:rPr>
          <w:rFonts w:ascii="黑体" w:eastAsia="黑体" w:hAnsi="黑体" w:hint="eastAsia"/>
          <w:sz w:val="32"/>
          <w:szCs w:val="32"/>
        </w:rPr>
        <w:t>十八、各部门特有的其他需进行解释说明的名词。（无）</w:t>
      </w:r>
    </w:p>
    <w:p w:rsidR="006E6548" w:rsidRDefault="006E6548">
      <w:pPr>
        <w:spacing w:line="580" w:lineRule="exact"/>
        <w:ind w:firstLine="600"/>
        <w:rPr>
          <w:rFonts w:ascii="黑体" w:eastAsia="黑体" w:hAnsi="黑体"/>
          <w:sz w:val="32"/>
          <w:szCs w:val="32"/>
        </w:rPr>
      </w:pPr>
    </w:p>
    <w:p w:rsidR="006E6548" w:rsidRDefault="006E6548">
      <w:pPr>
        <w:spacing w:line="580" w:lineRule="exact"/>
        <w:ind w:firstLineChars="200" w:firstLine="640"/>
        <w:rPr>
          <w:rFonts w:ascii="仿宋_GB2312" w:eastAsia="仿宋_GB2312"/>
          <w:sz w:val="32"/>
          <w:szCs w:val="32"/>
        </w:rPr>
      </w:pPr>
    </w:p>
    <w:sectPr w:rsidR="006E6548" w:rsidSect="006E6548">
      <w:pgSz w:w="11906" w:h="16838"/>
      <w:pgMar w:top="1440" w:right="1797" w:bottom="1440" w:left="1797" w:header="851"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4A9" w:rsidRDefault="003E34A9" w:rsidP="006E6548">
      <w:r>
        <w:separator/>
      </w:r>
    </w:p>
  </w:endnote>
  <w:endnote w:type="continuationSeparator" w:id="0">
    <w:p w:rsidR="003E34A9" w:rsidRDefault="003E34A9" w:rsidP="006E6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星简大标宋">
    <w:altName w:val="微软雅黑"/>
    <w:charset w:val="86"/>
    <w:family w:val="modern"/>
    <w:pitch w:val="default"/>
    <w:sig w:usb0="00000001" w:usb1="080E0000" w:usb2="00000000" w:usb3="00000000" w:csb0="0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064" w:rsidRDefault="0069102E">
    <w:pPr>
      <w:pStyle w:val="a5"/>
      <w:framePr w:wrap="around" w:vAnchor="text" w:hAnchor="margin" w:xAlign="center" w:y="1"/>
      <w:rPr>
        <w:rStyle w:val="a8"/>
      </w:rPr>
    </w:pPr>
    <w:r>
      <w:fldChar w:fldCharType="begin"/>
    </w:r>
    <w:r w:rsidR="005D7064">
      <w:rPr>
        <w:rStyle w:val="a8"/>
      </w:rPr>
      <w:instrText xml:space="preserve">PAGE  </w:instrText>
    </w:r>
    <w:r>
      <w:fldChar w:fldCharType="end"/>
    </w:r>
  </w:p>
  <w:p w:rsidR="005D7064" w:rsidRDefault="005D706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064" w:rsidRDefault="0069102E">
    <w:pPr>
      <w:pStyle w:val="a5"/>
      <w:framePr w:wrap="around" w:vAnchor="text" w:hAnchor="margin" w:xAlign="center" w:y="1"/>
      <w:rPr>
        <w:rStyle w:val="a8"/>
      </w:rPr>
    </w:pPr>
    <w:r>
      <w:fldChar w:fldCharType="begin"/>
    </w:r>
    <w:r w:rsidR="005D7064">
      <w:rPr>
        <w:rStyle w:val="a8"/>
      </w:rPr>
      <w:instrText xml:space="preserve">PAGE  </w:instrText>
    </w:r>
    <w:r>
      <w:fldChar w:fldCharType="separate"/>
    </w:r>
    <w:r w:rsidR="00EE58E5">
      <w:rPr>
        <w:rStyle w:val="a8"/>
        <w:noProof/>
      </w:rPr>
      <w:t>- 19 -</w:t>
    </w:r>
    <w:r>
      <w:fldChar w:fldCharType="end"/>
    </w:r>
  </w:p>
  <w:p w:rsidR="005D7064" w:rsidRDefault="005D70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4A9" w:rsidRDefault="003E34A9" w:rsidP="006E6548">
      <w:r>
        <w:separator/>
      </w:r>
    </w:p>
  </w:footnote>
  <w:footnote w:type="continuationSeparator" w:id="0">
    <w:p w:rsidR="003E34A9" w:rsidRDefault="003E34A9" w:rsidP="006E6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064" w:rsidRDefault="005D7064">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064" w:rsidRDefault="005D7064">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213"/>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7193"/>
    <w:rsid w:val="00002E7D"/>
    <w:rsid w:val="00003283"/>
    <w:rsid w:val="000037A0"/>
    <w:rsid w:val="00005BFB"/>
    <w:rsid w:val="00010FE6"/>
    <w:rsid w:val="000139AB"/>
    <w:rsid w:val="00016478"/>
    <w:rsid w:val="00017BE6"/>
    <w:rsid w:val="00023ACF"/>
    <w:rsid w:val="000262D1"/>
    <w:rsid w:val="00031E72"/>
    <w:rsid w:val="00031FDC"/>
    <w:rsid w:val="0003283C"/>
    <w:rsid w:val="000348C2"/>
    <w:rsid w:val="000368B1"/>
    <w:rsid w:val="00037B20"/>
    <w:rsid w:val="0004156A"/>
    <w:rsid w:val="00044DCC"/>
    <w:rsid w:val="00045A58"/>
    <w:rsid w:val="00046A75"/>
    <w:rsid w:val="00047D02"/>
    <w:rsid w:val="00057D1D"/>
    <w:rsid w:val="00060F8F"/>
    <w:rsid w:val="00061913"/>
    <w:rsid w:val="00074D65"/>
    <w:rsid w:val="00076E25"/>
    <w:rsid w:val="00077098"/>
    <w:rsid w:val="0008135F"/>
    <w:rsid w:val="000814DD"/>
    <w:rsid w:val="00082097"/>
    <w:rsid w:val="00090C14"/>
    <w:rsid w:val="0009153D"/>
    <w:rsid w:val="000A111D"/>
    <w:rsid w:val="000A2755"/>
    <w:rsid w:val="000A32E5"/>
    <w:rsid w:val="000A6BC6"/>
    <w:rsid w:val="000A7E71"/>
    <w:rsid w:val="000B0216"/>
    <w:rsid w:val="000B02E0"/>
    <w:rsid w:val="000C74E1"/>
    <w:rsid w:val="000D0803"/>
    <w:rsid w:val="000D1878"/>
    <w:rsid w:val="000D31C7"/>
    <w:rsid w:val="000D5383"/>
    <w:rsid w:val="000E2130"/>
    <w:rsid w:val="000E37E6"/>
    <w:rsid w:val="000E642D"/>
    <w:rsid w:val="000E76A2"/>
    <w:rsid w:val="000F2160"/>
    <w:rsid w:val="000F271F"/>
    <w:rsid w:val="000F406F"/>
    <w:rsid w:val="000F6B1F"/>
    <w:rsid w:val="000F6DA2"/>
    <w:rsid w:val="000F75A5"/>
    <w:rsid w:val="00102DF0"/>
    <w:rsid w:val="0010483F"/>
    <w:rsid w:val="0010651E"/>
    <w:rsid w:val="00107432"/>
    <w:rsid w:val="00111472"/>
    <w:rsid w:val="001149AF"/>
    <w:rsid w:val="00114AFE"/>
    <w:rsid w:val="00115355"/>
    <w:rsid w:val="00115F31"/>
    <w:rsid w:val="00117FD5"/>
    <w:rsid w:val="00121C23"/>
    <w:rsid w:val="0012430D"/>
    <w:rsid w:val="001247D3"/>
    <w:rsid w:val="0012556E"/>
    <w:rsid w:val="00125BFB"/>
    <w:rsid w:val="0013247D"/>
    <w:rsid w:val="00133784"/>
    <w:rsid w:val="0013507E"/>
    <w:rsid w:val="0013508F"/>
    <w:rsid w:val="0014481D"/>
    <w:rsid w:val="00144F0E"/>
    <w:rsid w:val="0015319D"/>
    <w:rsid w:val="00155BA2"/>
    <w:rsid w:val="0016381D"/>
    <w:rsid w:val="00164175"/>
    <w:rsid w:val="00167985"/>
    <w:rsid w:val="00167F6E"/>
    <w:rsid w:val="00170426"/>
    <w:rsid w:val="0017132B"/>
    <w:rsid w:val="001772B4"/>
    <w:rsid w:val="001776CE"/>
    <w:rsid w:val="001823F0"/>
    <w:rsid w:val="00184019"/>
    <w:rsid w:val="00185152"/>
    <w:rsid w:val="00186D80"/>
    <w:rsid w:val="00191962"/>
    <w:rsid w:val="0019244E"/>
    <w:rsid w:val="00194D39"/>
    <w:rsid w:val="00195E4A"/>
    <w:rsid w:val="001961AE"/>
    <w:rsid w:val="001A0EBF"/>
    <w:rsid w:val="001A201E"/>
    <w:rsid w:val="001A2543"/>
    <w:rsid w:val="001B062F"/>
    <w:rsid w:val="001B293E"/>
    <w:rsid w:val="001B2B4D"/>
    <w:rsid w:val="001B3D98"/>
    <w:rsid w:val="001B54F4"/>
    <w:rsid w:val="001B60EA"/>
    <w:rsid w:val="001B7658"/>
    <w:rsid w:val="001C37EC"/>
    <w:rsid w:val="001C3C5A"/>
    <w:rsid w:val="001C3FCB"/>
    <w:rsid w:val="001C444B"/>
    <w:rsid w:val="001C4F25"/>
    <w:rsid w:val="001C5454"/>
    <w:rsid w:val="001C5FD0"/>
    <w:rsid w:val="001C6FF9"/>
    <w:rsid w:val="001C7171"/>
    <w:rsid w:val="001D09B8"/>
    <w:rsid w:val="001D0C62"/>
    <w:rsid w:val="001D1089"/>
    <w:rsid w:val="001D197E"/>
    <w:rsid w:val="001E15E6"/>
    <w:rsid w:val="001E24EC"/>
    <w:rsid w:val="001E4025"/>
    <w:rsid w:val="001E457C"/>
    <w:rsid w:val="001F024F"/>
    <w:rsid w:val="001F0816"/>
    <w:rsid w:val="001F65C5"/>
    <w:rsid w:val="001F789E"/>
    <w:rsid w:val="002022B9"/>
    <w:rsid w:val="0020598C"/>
    <w:rsid w:val="00210B61"/>
    <w:rsid w:val="0021146E"/>
    <w:rsid w:val="00211F82"/>
    <w:rsid w:val="002122D4"/>
    <w:rsid w:val="002139C7"/>
    <w:rsid w:val="00213DC0"/>
    <w:rsid w:val="00215C2A"/>
    <w:rsid w:val="00216951"/>
    <w:rsid w:val="00221AB2"/>
    <w:rsid w:val="00221DFE"/>
    <w:rsid w:val="00225133"/>
    <w:rsid w:val="00226C5A"/>
    <w:rsid w:val="00231B86"/>
    <w:rsid w:val="00231EBE"/>
    <w:rsid w:val="00232600"/>
    <w:rsid w:val="00232FE3"/>
    <w:rsid w:val="002332D4"/>
    <w:rsid w:val="0024268A"/>
    <w:rsid w:val="0024711E"/>
    <w:rsid w:val="00253115"/>
    <w:rsid w:val="00253C14"/>
    <w:rsid w:val="00262B91"/>
    <w:rsid w:val="0026303E"/>
    <w:rsid w:val="00265A3A"/>
    <w:rsid w:val="002661EC"/>
    <w:rsid w:val="002669B6"/>
    <w:rsid w:val="00267585"/>
    <w:rsid w:val="002713E0"/>
    <w:rsid w:val="00272A85"/>
    <w:rsid w:val="00274233"/>
    <w:rsid w:val="00280B56"/>
    <w:rsid w:val="00282C2B"/>
    <w:rsid w:val="00291309"/>
    <w:rsid w:val="00292468"/>
    <w:rsid w:val="00294D2F"/>
    <w:rsid w:val="002A412F"/>
    <w:rsid w:val="002B09AE"/>
    <w:rsid w:val="002B44B3"/>
    <w:rsid w:val="002B72BF"/>
    <w:rsid w:val="002B7DA7"/>
    <w:rsid w:val="002C47BC"/>
    <w:rsid w:val="002D0011"/>
    <w:rsid w:val="002D35C0"/>
    <w:rsid w:val="002D38E5"/>
    <w:rsid w:val="002D3EFE"/>
    <w:rsid w:val="002D504E"/>
    <w:rsid w:val="002D748B"/>
    <w:rsid w:val="002E5BA7"/>
    <w:rsid w:val="002F0219"/>
    <w:rsid w:val="002F6E69"/>
    <w:rsid w:val="00301111"/>
    <w:rsid w:val="00301268"/>
    <w:rsid w:val="00301BBA"/>
    <w:rsid w:val="0030390E"/>
    <w:rsid w:val="00310430"/>
    <w:rsid w:val="00311393"/>
    <w:rsid w:val="00311702"/>
    <w:rsid w:val="0031481E"/>
    <w:rsid w:val="00316B3F"/>
    <w:rsid w:val="003207A7"/>
    <w:rsid w:val="00321062"/>
    <w:rsid w:val="00322604"/>
    <w:rsid w:val="00323FD0"/>
    <w:rsid w:val="00324F4C"/>
    <w:rsid w:val="00326A28"/>
    <w:rsid w:val="00326D33"/>
    <w:rsid w:val="00331F0D"/>
    <w:rsid w:val="00334FE3"/>
    <w:rsid w:val="00335733"/>
    <w:rsid w:val="003439FD"/>
    <w:rsid w:val="00344C60"/>
    <w:rsid w:val="00345092"/>
    <w:rsid w:val="00345DCF"/>
    <w:rsid w:val="003466B0"/>
    <w:rsid w:val="00346C30"/>
    <w:rsid w:val="0034701E"/>
    <w:rsid w:val="00350E02"/>
    <w:rsid w:val="00354A29"/>
    <w:rsid w:val="0036187C"/>
    <w:rsid w:val="003622FC"/>
    <w:rsid w:val="00362A69"/>
    <w:rsid w:val="00363B33"/>
    <w:rsid w:val="00364D86"/>
    <w:rsid w:val="00366644"/>
    <w:rsid w:val="00366A03"/>
    <w:rsid w:val="0036790A"/>
    <w:rsid w:val="00367C74"/>
    <w:rsid w:val="003733C9"/>
    <w:rsid w:val="00374547"/>
    <w:rsid w:val="00375207"/>
    <w:rsid w:val="00376739"/>
    <w:rsid w:val="003772AC"/>
    <w:rsid w:val="00386AB9"/>
    <w:rsid w:val="00387C92"/>
    <w:rsid w:val="00390ABE"/>
    <w:rsid w:val="00392032"/>
    <w:rsid w:val="003A0A2C"/>
    <w:rsid w:val="003A1478"/>
    <w:rsid w:val="003A149E"/>
    <w:rsid w:val="003B32A7"/>
    <w:rsid w:val="003B4301"/>
    <w:rsid w:val="003B71FC"/>
    <w:rsid w:val="003B7DC8"/>
    <w:rsid w:val="003C0B34"/>
    <w:rsid w:val="003C1DD1"/>
    <w:rsid w:val="003C2091"/>
    <w:rsid w:val="003C34E7"/>
    <w:rsid w:val="003C35F1"/>
    <w:rsid w:val="003C6496"/>
    <w:rsid w:val="003D61D5"/>
    <w:rsid w:val="003D7461"/>
    <w:rsid w:val="003E34A9"/>
    <w:rsid w:val="003E4711"/>
    <w:rsid w:val="003E5556"/>
    <w:rsid w:val="003E5D24"/>
    <w:rsid w:val="003E7375"/>
    <w:rsid w:val="003F598A"/>
    <w:rsid w:val="00400329"/>
    <w:rsid w:val="00400E2C"/>
    <w:rsid w:val="004031BC"/>
    <w:rsid w:val="00405D47"/>
    <w:rsid w:val="00412B6A"/>
    <w:rsid w:val="00413BC6"/>
    <w:rsid w:val="00416379"/>
    <w:rsid w:val="00435C0A"/>
    <w:rsid w:val="00440A47"/>
    <w:rsid w:val="00441DD1"/>
    <w:rsid w:val="00443328"/>
    <w:rsid w:val="00445E78"/>
    <w:rsid w:val="0044702C"/>
    <w:rsid w:val="0045481F"/>
    <w:rsid w:val="00454FBB"/>
    <w:rsid w:val="00455FF4"/>
    <w:rsid w:val="004607FD"/>
    <w:rsid w:val="00462348"/>
    <w:rsid w:val="00465436"/>
    <w:rsid w:val="00467431"/>
    <w:rsid w:val="00470089"/>
    <w:rsid w:val="00472085"/>
    <w:rsid w:val="00475CEF"/>
    <w:rsid w:val="00475EDF"/>
    <w:rsid w:val="0047767A"/>
    <w:rsid w:val="00481B98"/>
    <w:rsid w:val="004830CB"/>
    <w:rsid w:val="0048482E"/>
    <w:rsid w:val="00484C45"/>
    <w:rsid w:val="00484CC0"/>
    <w:rsid w:val="00484D66"/>
    <w:rsid w:val="00485FDE"/>
    <w:rsid w:val="00490C6B"/>
    <w:rsid w:val="00492973"/>
    <w:rsid w:val="00493A46"/>
    <w:rsid w:val="004A6E98"/>
    <w:rsid w:val="004B0533"/>
    <w:rsid w:val="004B1F44"/>
    <w:rsid w:val="004B7583"/>
    <w:rsid w:val="004C1C7B"/>
    <w:rsid w:val="004C3F2F"/>
    <w:rsid w:val="004C43C7"/>
    <w:rsid w:val="004C6442"/>
    <w:rsid w:val="004C6B98"/>
    <w:rsid w:val="004C7193"/>
    <w:rsid w:val="004D043F"/>
    <w:rsid w:val="004D225B"/>
    <w:rsid w:val="004D34A2"/>
    <w:rsid w:val="004D443F"/>
    <w:rsid w:val="004D56E2"/>
    <w:rsid w:val="004F01C6"/>
    <w:rsid w:val="004F2701"/>
    <w:rsid w:val="004F2B79"/>
    <w:rsid w:val="004F4587"/>
    <w:rsid w:val="004F6772"/>
    <w:rsid w:val="0050040E"/>
    <w:rsid w:val="00500863"/>
    <w:rsid w:val="005011D4"/>
    <w:rsid w:val="0050383A"/>
    <w:rsid w:val="005039A7"/>
    <w:rsid w:val="00505B64"/>
    <w:rsid w:val="00506738"/>
    <w:rsid w:val="005109A3"/>
    <w:rsid w:val="0051207E"/>
    <w:rsid w:val="00512FF3"/>
    <w:rsid w:val="00521CC9"/>
    <w:rsid w:val="00522F0F"/>
    <w:rsid w:val="005233EC"/>
    <w:rsid w:val="0053096A"/>
    <w:rsid w:val="0053153E"/>
    <w:rsid w:val="005344D3"/>
    <w:rsid w:val="00536282"/>
    <w:rsid w:val="005373CB"/>
    <w:rsid w:val="0053776B"/>
    <w:rsid w:val="00540F27"/>
    <w:rsid w:val="00543249"/>
    <w:rsid w:val="0054677A"/>
    <w:rsid w:val="00547154"/>
    <w:rsid w:val="00551ED0"/>
    <w:rsid w:val="00563408"/>
    <w:rsid w:val="005646A8"/>
    <w:rsid w:val="005720DB"/>
    <w:rsid w:val="00574539"/>
    <w:rsid w:val="005755A8"/>
    <w:rsid w:val="00577341"/>
    <w:rsid w:val="00577962"/>
    <w:rsid w:val="005831C6"/>
    <w:rsid w:val="00585BC9"/>
    <w:rsid w:val="005864D2"/>
    <w:rsid w:val="005907E2"/>
    <w:rsid w:val="0059306C"/>
    <w:rsid w:val="00593642"/>
    <w:rsid w:val="00593AE5"/>
    <w:rsid w:val="00594782"/>
    <w:rsid w:val="00594ACF"/>
    <w:rsid w:val="005967A0"/>
    <w:rsid w:val="005A21B3"/>
    <w:rsid w:val="005A4553"/>
    <w:rsid w:val="005A4DA4"/>
    <w:rsid w:val="005B024D"/>
    <w:rsid w:val="005B0B14"/>
    <w:rsid w:val="005B2496"/>
    <w:rsid w:val="005B297E"/>
    <w:rsid w:val="005C18B7"/>
    <w:rsid w:val="005C1C2D"/>
    <w:rsid w:val="005C1FA3"/>
    <w:rsid w:val="005C3252"/>
    <w:rsid w:val="005C44D9"/>
    <w:rsid w:val="005D2245"/>
    <w:rsid w:val="005D4E72"/>
    <w:rsid w:val="005D599A"/>
    <w:rsid w:val="005D6B39"/>
    <w:rsid w:val="005D7064"/>
    <w:rsid w:val="005E134E"/>
    <w:rsid w:val="005E6413"/>
    <w:rsid w:val="005F0341"/>
    <w:rsid w:val="005F2D23"/>
    <w:rsid w:val="005F3F69"/>
    <w:rsid w:val="005F3F70"/>
    <w:rsid w:val="005F4BA3"/>
    <w:rsid w:val="005F7113"/>
    <w:rsid w:val="006007ED"/>
    <w:rsid w:val="0061379D"/>
    <w:rsid w:val="00613A94"/>
    <w:rsid w:val="00617765"/>
    <w:rsid w:val="00620166"/>
    <w:rsid w:val="006221DE"/>
    <w:rsid w:val="006238B2"/>
    <w:rsid w:val="0062674A"/>
    <w:rsid w:val="00626BC6"/>
    <w:rsid w:val="00630A0B"/>
    <w:rsid w:val="006330B8"/>
    <w:rsid w:val="00636296"/>
    <w:rsid w:val="00642947"/>
    <w:rsid w:val="00645818"/>
    <w:rsid w:val="00653A44"/>
    <w:rsid w:val="0066582F"/>
    <w:rsid w:val="00667CBE"/>
    <w:rsid w:val="00671D18"/>
    <w:rsid w:val="00675CA1"/>
    <w:rsid w:val="00676472"/>
    <w:rsid w:val="006846DB"/>
    <w:rsid w:val="0069102E"/>
    <w:rsid w:val="00694C54"/>
    <w:rsid w:val="0069671E"/>
    <w:rsid w:val="006A50AB"/>
    <w:rsid w:val="006A54D4"/>
    <w:rsid w:val="006A5E5E"/>
    <w:rsid w:val="006A728B"/>
    <w:rsid w:val="006B2173"/>
    <w:rsid w:val="006B3F4B"/>
    <w:rsid w:val="006B5892"/>
    <w:rsid w:val="006C16AE"/>
    <w:rsid w:val="006C2EC5"/>
    <w:rsid w:val="006C3613"/>
    <w:rsid w:val="006C3932"/>
    <w:rsid w:val="006C48DF"/>
    <w:rsid w:val="006D2734"/>
    <w:rsid w:val="006D6890"/>
    <w:rsid w:val="006E0014"/>
    <w:rsid w:val="006E0A8D"/>
    <w:rsid w:val="006E5339"/>
    <w:rsid w:val="006E6548"/>
    <w:rsid w:val="006F1AE1"/>
    <w:rsid w:val="006F28B3"/>
    <w:rsid w:val="006F4106"/>
    <w:rsid w:val="007023BD"/>
    <w:rsid w:val="00703E1B"/>
    <w:rsid w:val="00706CC7"/>
    <w:rsid w:val="00707699"/>
    <w:rsid w:val="00711C00"/>
    <w:rsid w:val="00713691"/>
    <w:rsid w:val="007155F8"/>
    <w:rsid w:val="00715A52"/>
    <w:rsid w:val="00717308"/>
    <w:rsid w:val="00720023"/>
    <w:rsid w:val="00720089"/>
    <w:rsid w:val="00725298"/>
    <w:rsid w:val="00731F18"/>
    <w:rsid w:val="007348EB"/>
    <w:rsid w:val="00735892"/>
    <w:rsid w:val="007363D5"/>
    <w:rsid w:val="00740894"/>
    <w:rsid w:val="0074314A"/>
    <w:rsid w:val="007453CD"/>
    <w:rsid w:val="00746456"/>
    <w:rsid w:val="00747FD9"/>
    <w:rsid w:val="0075075B"/>
    <w:rsid w:val="007538FE"/>
    <w:rsid w:val="00754F5F"/>
    <w:rsid w:val="00755A8E"/>
    <w:rsid w:val="00756A4F"/>
    <w:rsid w:val="00756EBC"/>
    <w:rsid w:val="0076005C"/>
    <w:rsid w:val="00760C8A"/>
    <w:rsid w:val="0077070A"/>
    <w:rsid w:val="00774489"/>
    <w:rsid w:val="00774E1E"/>
    <w:rsid w:val="00784D97"/>
    <w:rsid w:val="00785894"/>
    <w:rsid w:val="00785D7C"/>
    <w:rsid w:val="0078718E"/>
    <w:rsid w:val="00787970"/>
    <w:rsid w:val="00791675"/>
    <w:rsid w:val="00792E30"/>
    <w:rsid w:val="00795950"/>
    <w:rsid w:val="0079788A"/>
    <w:rsid w:val="007A0649"/>
    <w:rsid w:val="007A1AFB"/>
    <w:rsid w:val="007A48A4"/>
    <w:rsid w:val="007B1B89"/>
    <w:rsid w:val="007B2ABD"/>
    <w:rsid w:val="007B2AFC"/>
    <w:rsid w:val="007B5587"/>
    <w:rsid w:val="007C2DA9"/>
    <w:rsid w:val="007C7EAE"/>
    <w:rsid w:val="007D0905"/>
    <w:rsid w:val="007D1F6A"/>
    <w:rsid w:val="007D2D78"/>
    <w:rsid w:val="007D2EFF"/>
    <w:rsid w:val="007E250F"/>
    <w:rsid w:val="007E5583"/>
    <w:rsid w:val="007F197F"/>
    <w:rsid w:val="007F4E22"/>
    <w:rsid w:val="008060D9"/>
    <w:rsid w:val="00810EA6"/>
    <w:rsid w:val="00812E17"/>
    <w:rsid w:val="00814B7C"/>
    <w:rsid w:val="00814DA0"/>
    <w:rsid w:val="008165E2"/>
    <w:rsid w:val="00820FFC"/>
    <w:rsid w:val="008218B8"/>
    <w:rsid w:val="00823109"/>
    <w:rsid w:val="008257E6"/>
    <w:rsid w:val="00831F19"/>
    <w:rsid w:val="00833967"/>
    <w:rsid w:val="008377F0"/>
    <w:rsid w:val="00843D50"/>
    <w:rsid w:val="00843FF0"/>
    <w:rsid w:val="008470E2"/>
    <w:rsid w:val="00853EFF"/>
    <w:rsid w:val="008628A9"/>
    <w:rsid w:val="00874270"/>
    <w:rsid w:val="00875837"/>
    <w:rsid w:val="00876ED2"/>
    <w:rsid w:val="00881A1C"/>
    <w:rsid w:val="0088746A"/>
    <w:rsid w:val="0089022B"/>
    <w:rsid w:val="008A3A8A"/>
    <w:rsid w:val="008A5379"/>
    <w:rsid w:val="008A6293"/>
    <w:rsid w:val="008B2D73"/>
    <w:rsid w:val="008B4D3E"/>
    <w:rsid w:val="008C04AD"/>
    <w:rsid w:val="008C36CB"/>
    <w:rsid w:val="008C697A"/>
    <w:rsid w:val="008D1568"/>
    <w:rsid w:val="008D1A06"/>
    <w:rsid w:val="008D1BEE"/>
    <w:rsid w:val="008D3896"/>
    <w:rsid w:val="008D53B0"/>
    <w:rsid w:val="008D7064"/>
    <w:rsid w:val="008D7A9D"/>
    <w:rsid w:val="008E2141"/>
    <w:rsid w:val="008E5BA4"/>
    <w:rsid w:val="00903FC0"/>
    <w:rsid w:val="009104D6"/>
    <w:rsid w:val="009205D2"/>
    <w:rsid w:val="00921B10"/>
    <w:rsid w:val="009220D0"/>
    <w:rsid w:val="00923A45"/>
    <w:rsid w:val="00934D21"/>
    <w:rsid w:val="00935267"/>
    <w:rsid w:val="00940D9B"/>
    <w:rsid w:val="009435B7"/>
    <w:rsid w:val="00951092"/>
    <w:rsid w:val="009560E0"/>
    <w:rsid w:val="009566CC"/>
    <w:rsid w:val="009626F2"/>
    <w:rsid w:val="00963ED2"/>
    <w:rsid w:val="00965BEF"/>
    <w:rsid w:val="00965E5C"/>
    <w:rsid w:val="00971697"/>
    <w:rsid w:val="0097318D"/>
    <w:rsid w:val="009741DF"/>
    <w:rsid w:val="009774BB"/>
    <w:rsid w:val="00980122"/>
    <w:rsid w:val="00987810"/>
    <w:rsid w:val="0099140F"/>
    <w:rsid w:val="00995673"/>
    <w:rsid w:val="0099689B"/>
    <w:rsid w:val="009971C2"/>
    <w:rsid w:val="009A39FE"/>
    <w:rsid w:val="009A3A32"/>
    <w:rsid w:val="009A3A68"/>
    <w:rsid w:val="009A47BE"/>
    <w:rsid w:val="009A4C19"/>
    <w:rsid w:val="009B0E03"/>
    <w:rsid w:val="009B30F2"/>
    <w:rsid w:val="009B4A37"/>
    <w:rsid w:val="009B60EE"/>
    <w:rsid w:val="009B6761"/>
    <w:rsid w:val="009B72AD"/>
    <w:rsid w:val="009B7616"/>
    <w:rsid w:val="009B7CE1"/>
    <w:rsid w:val="009C21CA"/>
    <w:rsid w:val="009C2E7D"/>
    <w:rsid w:val="009C4325"/>
    <w:rsid w:val="009C7D4F"/>
    <w:rsid w:val="009D0A75"/>
    <w:rsid w:val="009D19A6"/>
    <w:rsid w:val="009D3668"/>
    <w:rsid w:val="009D7733"/>
    <w:rsid w:val="009E0A44"/>
    <w:rsid w:val="009E1EC7"/>
    <w:rsid w:val="009E60A7"/>
    <w:rsid w:val="009F0B1D"/>
    <w:rsid w:val="009F5CC6"/>
    <w:rsid w:val="00A0055B"/>
    <w:rsid w:val="00A06638"/>
    <w:rsid w:val="00A07866"/>
    <w:rsid w:val="00A121E0"/>
    <w:rsid w:val="00A16B29"/>
    <w:rsid w:val="00A17354"/>
    <w:rsid w:val="00A23431"/>
    <w:rsid w:val="00A30456"/>
    <w:rsid w:val="00A33173"/>
    <w:rsid w:val="00A44FD1"/>
    <w:rsid w:val="00A63459"/>
    <w:rsid w:val="00A63BB9"/>
    <w:rsid w:val="00A655D7"/>
    <w:rsid w:val="00A66FB6"/>
    <w:rsid w:val="00A674AA"/>
    <w:rsid w:val="00A679B2"/>
    <w:rsid w:val="00A71E40"/>
    <w:rsid w:val="00A72282"/>
    <w:rsid w:val="00A72C5C"/>
    <w:rsid w:val="00A8145E"/>
    <w:rsid w:val="00A839C1"/>
    <w:rsid w:val="00A843B6"/>
    <w:rsid w:val="00A86088"/>
    <w:rsid w:val="00A86E51"/>
    <w:rsid w:val="00A871D1"/>
    <w:rsid w:val="00A9011B"/>
    <w:rsid w:val="00A903A0"/>
    <w:rsid w:val="00A91F76"/>
    <w:rsid w:val="00A92890"/>
    <w:rsid w:val="00A92D71"/>
    <w:rsid w:val="00A950F1"/>
    <w:rsid w:val="00A970C8"/>
    <w:rsid w:val="00AA271B"/>
    <w:rsid w:val="00AA3273"/>
    <w:rsid w:val="00AA7CCE"/>
    <w:rsid w:val="00AB28FC"/>
    <w:rsid w:val="00AB2B45"/>
    <w:rsid w:val="00AC1BEC"/>
    <w:rsid w:val="00AC24E3"/>
    <w:rsid w:val="00AE2F92"/>
    <w:rsid w:val="00AE4050"/>
    <w:rsid w:val="00AE6E95"/>
    <w:rsid w:val="00AF55FE"/>
    <w:rsid w:val="00B00335"/>
    <w:rsid w:val="00B0120F"/>
    <w:rsid w:val="00B062C2"/>
    <w:rsid w:val="00B06810"/>
    <w:rsid w:val="00B11AEE"/>
    <w:rsid w:val="00B15167"/>
    <w:rsid w:val="00B165E0"/>
    <w:rsid w:val="00B17819"/>
    <w:rsid w:val="00B17A76"/>
    <w:rsid w:val="00B25757"/>
    <w:rsid w:val="00B271A4"/>
    <w:rsid w:val="00B271E9"/>
    <w:rsid w:val="00B3021D"/>
    <w:rsid w:val="00B414AC"/>
    <w:rsid w:val="00B41D30"/>
    <w:rsid w:val="00B44470"/>
    <w:rsid w:val="00B46081"/>
    <w:rsid w:val="00B51DA0"/>
    <w:rsid w:val="00B51E38"/>
    <w:rsid w:val="00B52084"/>
    <w:rsid w:val="00B527F7"/>
    <w:rsid w:val="00B52E49"/>
    <w:rsid w:val="00B53C30"/>
    <w:rsid w:val="00B56144"/>
    <w:rsid w:val="00B61CF6"/>
    <w:rsid w:val="00B6782E"/>
    <w:rsid w:val="00B709E2"/>
    <w:rsid w:val="00B709FC"/>
    <w:rsid w:val="00B70F34"/>
    <w:rsid w:val="00B77C81"/>
    <w:rsid w:val="00B8067A"/>
    <w:rsid w:val="00B81B7C"/>
    <w:rsid w:val="00B8210E"/>
    <w:rsid w:val="00B9092C"/>
    <w:rsid w:val="00B917BB"/>
    <w:rsid w:val="00B94728"/>
    <w:rsid w:val="00B96A90"/>
    <w:rsid w:val="00BA0302"/>
    <w:rsid w:val="00BA0A1D"/>
    <w:rsid w:val="00BA7713"/>
    <w:rsid w:val="00BB44A5"/>
    <w:rsid w:val="00BB62C8"/>
    <w:rsid w:val="00BC40F0"/>
    <w:rsid w:val="00BC5D51"/>
    <w:rsid w:val="00BE1BE1"/>
    <w:rsid w:val="00BE3135"/>
    <w:rsid w:val="00BE4A0B"/>
    <w:rsid w:val="00BF0368"/>
    <w:rsid w:val="00C05A9B"/>
    <w:rsid w:val="00C06766"/>
    <w:rsid w:val="00C07719"/>
    <w:rsid w:val="00C101A2"/>
    <w:rsid w:val="00C10A76"/>
    <w:rsid w:val="00C306DB"/>
    <w:rsid w:val="00C35D5D"/>
    <w:rsid w:val="00C364D6"/>
    <w:rsid w:val="00C41FA9"/>
    <w:rsid w:val="00C434B0"/>
    <w:rsid w:val="00C515BF"/>
    <w:rsid w:val="00C52A1F"/>
    <w:rsid w:val="00C567A3"/>
    <w:rsid w:val="00C57211"/>
    <w:rsid w:val="00C5747E"/>
    <w:rsid w:val="00C61290"/>
    <w:rsid w:val="00C63755"/>
    <w:rsid w:val="00C745ED"/>
    <w:rsid w:val="00C753C2"/>
    <w:rsid w:val="00C7560F"/>
    <w:rsid w:val="00C76465"/>
    <w:rsid w:val="00C80E6E"/>
    <w:rsid w:val="00C82757"/>
    <w:rsid w:val="00C83C40"/>
    <w:rsid w:val="00C83FDD"/>
    <w:rsid w:val="00C85D8A"/>
    <w:rsid w:val="00C863D4"/>
    <w:rsid w:val="00C869AC"/>
    <w:rsid w:val="00C93994"/>
    <w:rsid w:val="00CA0A54"/>
    <w:rsid w:val="00CB09CA"/>
    <w:rsid w:val="00CB0C69"/>
    <w:rsid w:val="00CB1D6E"/>
    <w:rsid w:val="00CB3256"/>
    <w:rsid w:val="00CC0573"/>
    <w:rsid w:val="00CC2894"/>
    <w:rsid w:val="00CC4038"/>
    <w:rsid w:val="00CC5805"/>
    <w:rsid w:val="00CD0F4A"/>
    <w:rsid w:val="00CF15F8"/>
    <w:rsid w:val="00CF564F"/>
    <w:rsid w:val="00CF63D4"/>
    <w:rsid w:val="00D01550"/>
    <w:rsid w:val="00D0436E"/>
    <w:rsid w:val="00D06B98"/>
    <w:rsid w:val="00D129C5"/>
    <w:rsid w:val="00D20AC2"/>
    <w:rsid w:val="00D2442B"/>
    <w:rsid w:val="00D27621"/>
    <w:rsid w:val="00D30E34"/>
    <w:rsid w:val="00D318F4"/>
    <w:rsid w:val="00D36154"/>
    <w:rsid w:val="00D366B3"/>
    <w:rsid w:val="00D46B74"/>
    <w:rsid w:val="00D52159"/>
    <w:rsid w:val="00D548A9"/>
    <w:rsid w:val="00D55C24"/>
    <w:rsid w:val="00D63781"/>
    <w:rsid w:val="00D672A9"/>
    <w:rsid w:val="00D67539"/>
    <w:rsid w:val="00D746B3"/>
    <w:rsid w:val="00D746FC"/>
    <w:rsid w:val="00D76590"/>
    <w:rsid w:val="00D76A90"/>
    <w:rsid w:val="00D81063"/>
    <w:rsid w:val="00D8759A"/>
    <w:rsid w:val="00D87648"/>
    <w:rsid w:val="00D9080F"/>
    <w:rsid w:val="00D9327A"/>
    <w:rsid w:val="00D93A23"/>
    <w:rsid w:val="00D97195"/>
    <w:rsid w:val="00D971B4"/>
    <w:rsid w:val="00DA0B8E"/>
    <w:rsid w:val="00DA4FA5"/>
    <w:rsid w:val="00DA5044"/>
    <w:rsid w:val="00DB2152"/>
    <w:rsid w:val="00DB2C7A"/>
    <w:rsid w:val="00DB4759"/>
    <w:rsid w:val="00DB6188"/>
    <w:rsid w:val="00DB6874"/>
    <w:rsid w:val="00DB72F2"/>
    <w:rsid w:val="00DC088F"/>
    <w:rsid w:val="00DC2CC1"/>
    <w:rsid w:val="00DC7D38"/>
    <w:rsid w:val="00DD075B"/>
    <w:rsid w:val="00DD2032"/>
    <w:rsid w:val="00DD35BC"/>
    <w:rsid w:val="00DD56FE"/>
    <w:rsid w:val="00DD667B"/>
    <w:rsid w:val="00DD6CC2"/>
    <w:rsid w:val="00DE24CB"/>
    <w:rsid w:val="00DE332A"/>
    <w:rsid w:val="00DE3B14"/>
    <w:rsid w:val="00DE3C7F"/>
    <w:rsid w:val="00DF1691"/>
    <w:rsid w:val="00DF3395"/>
    <w:rsid w:val="00DF461D"/>
    <w:rsid w:val="00DF74F0"/>
    <w:rsid w:val="00E00E61"/>
    <w:rsid w:val="00E0315F"/>
    <w:rsid w:val="00E03A96"/>
    <w:rsid w:val="00E13F48"/>
    <w:rsid w:val="00E1422B"/>
    <w:rsid w:val="00E20308"/>
    <w:rsid w:val="00E20818"/>
    <w:rsid w:val="00E212C3"/>
    <w:rsid w:val="00E23138"/>
    <w:rsid w:val="00E25247"/>
    <w:rsid w:val="00E2757E"/>
    <w:rsid w:val="00E36242"/>
    <w:rsid w:val="00E41EB6"/>
    <w:rsid w:val="00E42EFD"/>
    <w:rsid w:val="00E43BF9"/>
    <w:rsid w:val="00E45A62"/>
    <w:rsid w:val="00E46181"/>
    <w:rsid w:val="00E50120"/>
    <w:rsid w:val="00E558F4"/>
    <w:rsid w:val="00E634E2"/>
    <w:rsid w:val="00E652AA"/>
    <w:rsid w:val="00E65E82"/>
    <w:rsid w:val="00E661C3"/>
    <w:rsid w:val="00E67951"/>
    <w:rsid w:val="00E708A1"/>
    <w:rsid w:val="00E71BA9"/>
    <w:rsid w:val="00E80BAB"/>
    <w:rsid w:val="00E80D85"/>
    <w:rsid w:val="00E86A5F"/>
    <w:rsid w:val="00E870C1"/>
    <w:rsid w:val="00E873C2"/>
    <w:rsid w:val="00E91B7F"/>
    <w:rsid w:val="00E9328B"/>
    <w:rsid w:val="00EA03C9"/>
    <w:rsid w:val="00EA1878"/>
    <w:rsid w:val="00EA3766"/>
    <w:rsid w:val="00EA3C4D"/>
    <w:rsid w:val="00EA448D"/>
    <w:rsid w:val="00EA4E40"/>
    <w:rsid w:val="00EB25B2"/>
    <w:rsid w:val="00EB2665"/>
    <w:rsid w:val="00EB79FB"/>
    <w:rsid w:val="00EC1554"/>
    <w:rsid w:val="00EC7B9C"/>
    <w:rsid w:val="00ED3294"/>
    <w:rsid w:val="00ED56EF"/>
    <w:rsid w:val="00ED6A00"/>
    <w:rsid w:val="00EE413D"/>
    <w:rsid w:val="00EE5778"/>
    <w:rsid w:val="00EE58E5"/>
    <w:rsid w:val="00EE6CC3"/>
    <w:rsid w:val="00EF11F9"/>
    <w:rsid w:val="00EF2030"/>
    <w:rsid w:val="00EF3DB4"/>
    <w:rsid w:val="00EF4828"/>
    <w:rsid w:val="00F00C18"/>
    <w:rsid w:val="00F012AE"/>
    <w:rsid w:val="00F03A19"/>
    <w:rsid w:val="00F04DC6"/>
    <w:rsid w:val="00F06DD0"/>
    <w:rsid w:val="00F079BE"/>
    <w:rsid w:val="00F104D7"/>
    <w:rsid w:val="00F13F34"/>
    <w:rsid w:val="00F16CCE"/>
    <w:rsid w:val="00F25922"/>
    <w:rsid w:val="00F2686A"/>
    <w:rsid w:val="00F37E69"/>
    <w:rsid w:val="00F408D6"/>
    <w:rsid w:val="00F50C7B"/>
    <w:rsid w:val="00F51B87"/>
    <w:rsid w:val="00F523E5"/>
    <w:rsid w:val="00F525D7"/>
    <w:rsid w:val="00F54182"/>
    <w:rsid w:val="00F5504D"/>
    <w:rsid w:val="00F5539C"/>
    <w:rsid w:val="00F55939"/>
    <w:rsid w:val="00F702EB"/>
    <w:rsid w:val="00F71C18"/>
    <w:rsid w:val="00F72127"/>
    <w:rsid w:val="00F74217"/>
    <w:rsid w:val="00F74C73"/>
    <w:rsid w:val="00F74D3C"/>
    <w:rsid w:val="00F75283"/>
    <w:rsid w:val="00F753CF"/>
    <w:rsid w:val="00F76F11"/>
    <w:rsid w:val="00F82E0A"/>
    <w:rsid w:val="00F859D5"/>
    <w:rsid w:val="00F90260"/>
    <w:rsid w:val="00F91188"/>
    <w:rsid w:val="00F9140E"/>
    <w:rsid w:val="00F96274"/>
    <w:rsid w:val="00FB012D"/>
    <w:rsid w:val="00FB1075"/>
    <w:rsid w:val="00FB326A"/>
    <w:rsid w:val="00FB41D8"/>
    <w:rsid w:val="00FB6CB9"/>
    <w:rsid w:val="00FC03D4"/>
    <w:rsid w:val="00FC08C3"/>
    <w:rsid w:val="00FC2612"/>
    <w:rsid w:val="00FD1922"/>
    <w:rsid w:val="00FF6A3B"/>
    <w:rsid w:val="01620CCB"/>
    <w:rsid w:val="03EA5E31"/>
    <w:rsid w:val="094A3214"/>
    <w:rsid w:val="0CF74D52"/>
    <w:rsid w:val="0D2C77AB"/>
    <w:rsid w:val="0DCB527A"/>
    <w:rsid w:val="0F221997"/>
    <w:rsid w:val="12C053F6"/>
    <w:rsid w:val="15084FB1"/>
    <w:rsid w:val="17282A4B"/>
    <w:rsid w:val="18615BA5"/>
    <w:rsid w:val="18B24734"/>
    <w:rsid w:val="1A18588D"/>
    <w:rsid w:val="1D3764EC"/>
    <w:rsid w:val="1D6B3E74"/>
    <w:rsid w:val="1EAF5E80"/>
    <w:rsid w:val="1EC9725C"/>
    <w:rsid w:val="1F4F2893"/>
    <w:rsid w:val="207F7D53"/>
    <w:rsid w:val="22D01D28"/>
    <w:rsid w:val="230279FC"/>
    <w:rsid w:val="239E1C5C"/>
    <w:rsid w:val="24EA04F1"/>
    <w:rsid w:val="24EB531E"/>
    <w:rsid w:val="27E43805"/>
    <w:rsid w:val="298E504E"/>
    <w:rsid w:val="2C164A61"/>
    <w:rsid w:val="2CA93F28"/>
    <w:rsid w:val="2D11683F"/>
    <w:rsid w:val="2E8669ED"/>
    <w:rsid w:val="2EEE5D6C"/>
    <w:rsid w:val="2EF91B96"/>
    <w:rsid w:val="319F21CD"/>
    <w:rsid w:val="31F8168C"/>
    <w:rsid w:val="3204001F"/>
    <w:rsid w:val="36C53ABF"/>
    <w:rsid w:val="375201D1"/>
    <w:rsid w:val="39991C65"/>
    <w:rsid w:val="3B582897"/>
    <w:rsid w:val="3D382353"/>
    <w:rsid w:val="3D535F9D"/>
    <w:rsid w:val="3FD006AE"/>
    <w:rsid w:val="42C42797"/>
    <w:rsid w:val="452B5D7F"/>
    <w:rsid w:val="45A63B54"/>
    <w:rsid w:val="49512353"/>
    <w:rsid w:val="4C7D1D40"/>
    <w:rsid w:val="4E0A1CCE"/>
    <w:rsid w:val="4E3E09D7"/>
    <w:rsid w:val="4EBA011B"/>
    <w:rsid w:val="4F66711C"/>
    <w:rsid w:val="550F2A2A"/>
    <w:rsid w:val="56AA5F1D"/>
    <w:rsid w:val="575A27F2"/>
    <w:rsid w:val="58A85EDA"/>
    <w:rsid w:val="5CE032A3"/>
    <w:rsid w:val="5CF35FD0"/>
    <w:rsid w:val="5D8F4085"/>
    <w:rsid w:val="5DBD65E1"/>
    <w:rsid w:val="5E875156"/>
    <w:rsid w:val="61AC5E56"/>
    <w:rsid w:val="64CF7769"/>
    <w:rsid w:val="670A62A9"/>
    <w:rsid w:val="67F07D06"/>
    <w:rsid w:val="67FA4E17"/>
    <w:rsid w:val="698620E4"/>
    <w:rsid w:val="6CBB5683"/>
    <w:rsid w:val="6EA036EA"/>
    <w:rsid w:val="6F3E5C10"/>
    <w:rsid w:val="6FA03D02"/>
    <w:rsid w:val="700774FB"/>
    <w:rsid w:val="706973C4"/>
    <w:rsid w:val="712C13B5"/>
    <w:rsid w:val="71A776FC"/>
    <w:rsid w:val="739C1580"/>
    <w:rsid w:val="73D53C4C"/>
    <w:rsid w:val="750C315D"/>
    <w:rsid w:val="755574B4"/>
    <w:rsid w:val="75826788"/>
    <w:rsid w:val="76D03031"/>
    <w:rsid w:val="76F90919"/>
    <w:rsid w:val="7762556B"/>
    <w:rsid w:val="78752C48"/>
    <w:rsid w:val="795311EB"/>
    <w:rsid w:val="7A376627"/>
    <w:rsid w:val="7AB06FCE"/>
    <w:rsid w:val="7AD0650C"/>
    <w:rsid w:val="7BCE722D"/>
    <w:rsid w:val="7F5B0B7E"/>
    <w:rsid w:val="7F60051F"/>
    <w:rsid w:val="7FAE70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65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E6548"/>
    <w:pPr>
      <w:ind w:leftChars="2500" w:left="100"/>
    </w:pPr>
  </w:style>
  <w:style w:type="paragraph" w:styleId="a4">
    <w:name w:val="Balloon Text"/>
    <w:basedOn w:val="a"/>
    <w:semiHidden/>
    <w:rsid w:val="006E6548"/>
    <w:rPr>
      <w:sz w:val="18"/>
      <w:szCs w:val="18"/>
    </w:rPr>
  </w:style>
  <w:style w:type="paragraph" w:styleId="a5">
    <w:name w:val="footer"/>
    <w:basedOn w:val="a"/>
    <w:rsid w:val="006E6548"/>
    <w:pPr>
      <w:tabs>
        <w:tab w:val="center" w:pos="4153"/>
        <w:tab w:val="right" w:pos="8306"/>
      </w:tabs>
      <w:snapToGrid w:val="0"/>
      <w:jc w:val="left"/>
    </w:pPr>
    <w:rPr>
      <w:sz w:val="18"/>
      <w:szCs w:val="18"/>
    </w:rPr>
  </w:style>
  <w:style w:type="paragraph" w:styleId="a6">
    <w:name w:val="header"/>
    <w:basedOn w:val="a"/>
    <w:rsid w:val="006E6548"/>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6E6548"/>
    <w:pPr>
      <w:widowControl/>
      <w:spacing w:before="100" w:beforeAutospacing="1" w:after="100" w:afterAutospacing="1"/>
      <w:jc w:val="left"/>
    </w:pPr>
    <w:rPr>
      <w:rFonts w:ascii="宋体" w:hAnsi="宋体" w:cs="宋体"/>
      <w:kern w:val="0"/>
      <w:sz w:val="24"/>
    </w:rPr>
  </w:style>
  <w:style w:type="character" w:styleId="a8">
    <w:name w:val="page number"/>
    <w:basedOn w:val="a0"/>
    <w:rsid w:val="006E6548"/>
  </w:style>
  <w:style w:type="paragraph" w:customStyle="1" w:styleId="Char">
    <w:name w:val="Char"/>
    <w:basedOn w:val="a"/>
    <w:rsid w:val="006E6548"/>
    <w:rPr>
      <w:rFonts w:ascii="Tahoma" w:hAnsi="Tahoma"/>
      <w:sz w:val="24"/>
      <w:szCs w:val="20"/>
    </w:rPr>
  </w:style>
  <w:style w:type="paragraph" w:customStyle="1" w:styleId="CharCharCharChar1CharCharCharCharCharCharCharCharCharCharCharCharCharCharCharCharChar">
    <w:name w:val="Char Char Char Char1 Char Char Char Char Char Char Char Char Char Char Char Char Char Char Char Char Char"/>
    <w:basedOn w:val="a"/>
    <w:rsid w:val="006E6548"/>
    <w:pPr>
      <w:widowControl/>
      <w:spacing w:after="160" w:line="240" w:lineRule="exact"/>
      <w:ind w:firstLineChars="350" w:firstLine="980"/>
      <w:jc w:val="left"/>
    </w:pPr>
    <w:rPr>
      <w:rFonts w:ascii="Verdana" w:eastAsia="仿宋_GB2312" w:hAnsi="Verdana"/>
      <w:kern w:val="0"/>
      <w:sz w:val="28"/>
      <w:szCs w:val="28"/>
      <w:lang w:eastAsia="en-US"/>
    </w:rPr>
  </w:style>
  <w:style w:type="paragraph" w:customStyle="1" w:styleId="CharCharCharCharCharCharCharCharCharCharCharCharCharCharCharChar">
    <w:name w:val="Char Char Char Char Char Char Char Char Char Char Char Char Char Char Char Char"/>
    <w:basedOn w:val="a"/>
    <w:rsid w:val="006E6548"/>
    <w:pPr>
      <w:tabs>
        <w:tab w:val="left" w:pos="360"/>
      </w:tabs>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7.bin"/><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5.emf"/><Relationship Id="rId10" Type="http://schemas.openxmlformats.org/officeDocument/2006/relationships/header" Target="header2.xm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oleObject" Target="embeddings/oleObject6.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4EEA3C-6713-4900-8A61-4A07AB44F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26</Pages>
  <Words>1468</Words>
  <Characters>8371</Characters>
  <Application>Microsoft Office Word</Application>
  <DocSecurity>0</DocSecurity>
  <Lines>69</Lines>
  <Paragraphs>19</Paragraphs>
  <ScaleCrop>false</ScaleCrop>
  <Company/>
  <LinksUpToDate>false</LinksUpToDate>
  <CharactersWithSpaces>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2015年***部门决算</dc:title>
  <dc:creator>Administrator</dc:creator>
  <cp:lastModifiedBy>pc-007</cp:lastModifiedBy>
  <cp:revision>61</cp:revision>
  <cp:lastPrinted>2011-02-01T08:29:00Z</cp:lastPrinted>
  <dcterms:created xsi:type="dcterms:W3CDTF">2020-05-26T11:07:00Z</dcterms:created>
  <dcterms:modified xsi:type="dcterms:W3CDTF">2022-05-17T05:25:00Z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ies>
</file>