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jc w:val="center"/>
        <w:rPr>
          <w:rFonts w:ascii="方正小标宋_GBK" w:hAnsi="方正小标宋_GBK" w:eastAsia="方正小标宋_GBK" w:cs="方正小标宋_GBK"/>
          <w:color w:val="000000"/>
          <w:sz w:val="72"/>
        </w:rPr>
      </w:pPr>
    </w:p>
    <w:p>
      <w:pPr>
        <w:jc w:val="center"/>
        <w:rPr>
          <w:rFonts w:ascii="方正小标宋_GBK" w:hAnsi="方正小标宋_GBK" w:eastAsia="方正小标宋_GBK" w:cs="方正小标宋_GBK"/>
          <w:color w:val="000000"/>
          <w:sz w:val="72"/>
        </w:rPr>
      </w:pPr>
    </w:p>
    <w:p>
      <w:pPr>
        <w:jc w:val="center"/>
        <w:rPr>
          <w:rFonts w:ascii="方正小标宋_GBK" w:hAnsi="方正小标宋_GBK" w:eastAsia="方正小标宋_GBK" w:cs="方正小标宋_GBK"/>
          <w:color w:val="000000"/>
          <w:sz w:val="72"/>
        </w:rPr>
      </w:pP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72"/>
        </w:rPr>
        <w:t>青岛市福利彩票发行中心</w:t>
      </w:r>
    </w:p>
    <w:p>
      <w:pPr>
        <w:jc w:val="center"/>
        <w:rPr>
          <w:rFonts w:ascii="方正小标宋_GBK" w:hAnsi="方正小标宋_GBK" w:eastAsia="方正小标宋_GBK" w:cs="方正小标宋_GBK"/>
          <w:color w:val="000000"/>
          <w:sz w:val="72"/>
          <w:lang w:eastAsia="zh-CN"/>
        </w:rPr>
      </w:pPr>
      <w:r>
        <w:rPr>
          <w:rFonts w:ascii="方正小标宋_GBK" w:hAnsi="方正小标宋_GBK" w:eastAsia="方正小标宋_GBK" w:cs="方正小标宋_GBK"/>
          <w:color w:val="000000"/>
          <w:sz w:val="72"/>
        </w:rPr>
        <w:t>2022年</w:t>
      </w:r>
      <w:r>
        <w:rPr>
          <w:rFonts w:hint="eastAsia" w:ascii="方正小标宋_GBK" w:hAnsi="方正小标宋_GBK" w:eastAsia="方正小标宋_GBK" w:cs="方正小标宋_GBK"/>
          <w:color w:val="000000"/>
          <w:sz w:val="72"/>
          <w:lang w:eastAsia="zh-CN"/>
        </w:rPr>
        <w:t>项目支出</w:t>
      </w:r>
    </w:p>
    <w:p>
      <w:pPr>
        <w:jc w:val="center"/>
        <w:rPr>
          <w:lang w:eastAsia="zh-CN"/>
        </w:rPr>
      </w:pPr>
      <w:r>
        <w:rPr>
          <w:rFonts w:ascii="方正小标宋_GBK" w:hAnsi="方正小标宋_GBK" w:eastAsia="方正小标宋_GBK" w:cs="方正小标宋_GBK"/>
          <w:color w:val="000000"/>
          <w:sz w:val="72"/>
        </w:rPr>
        <w:t>绩效</w:t>
      </w:r>
      <w:r>
        <w:rPr>
          <w:rFonts w:hint="eastAsia" w:ascii="方正小标宋_GBK" w:hAnsi="方正小标宋_GBK" w:eastAsia="方正小标宋_GBK" w:cs="方正小标宋_GBK"/>
          <w:color w:val="000000"/>
          <w:sz w:val="72"/>
          <w:lang w:eastAsia="zh-CN"/>
        </w:rPr>
        <w:t>目标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  <w:sectPr>
          <w:pgSz w:w="11900" w:h="16840"/>
          <w:pgMar w:top="1984" w:right="1304" w:bottom="1134" w:left="1304" w:header="720" w:footer="720" w:gutter="0"/>
          <w:cols w:space="720" w:num="1"/>
          <w:titlePg/>
        </w:sectPr>
      </w:pP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TOC \o "4-4" \h \z \u</w:instrText>
      </w:r>
      <w:r>
        <w:fldChar w:fldCharType="separate"/>
      </w:r>
      <w:r>
        <w:fldChar w:fldCharType="begin"/>
      </w:r>
      <w:r>
        <w:instrText xml:space="preserve"> HYPERLINK \l "_Toc_4_4_0000000004" </w:instrText>
      </w:r>
      <w:r>
        <w:fldChar w:fldCharType="separate"/>
      </w:r>
      <w:r>
        <w:t>1.彩票销售机构业务费绩效目标表</w:t>
      </w:r>
      <w:r>
        <w:tab/>
      </w:r>
      <w:r>
        <w:fldChar w:fldCharType="begin"/>
      </w:r>
      <w:r>
        <w:instrText xml:space="preserve">PAGEREF _Toc_4_4_0000000004 \h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r>
        <w:fldChar w:fldCharType="end"/>
      </w:r>
    </w:p>
    <w:p>
      <w:pPr>
        <w:rPr>
          <w:rFonts w:hint="eastAsia" w:eastAsiaTheme="minorEastAsia"/>
          <w:lang w:eastAsia="zh-CN"/>
        </w:rPr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pgNumType w:start="1"/>
          <w:cols w:space="720" w:num="1"/>
        </w:sectPr>
      </w:pPr>
    </w:p>
    <w:p>
      <w:pPr>
        <w:rPr>
          <w:rFonts w:hint="eastAsia"/>
          <w:lang w:eastAsia="zh-CN"/>
        </w:rPr>
      </w:pPr>
    </w:p>
    <w:p>
      <w:pPr>
        <w:ind w:firstLine="560"/>
        <w:outlineLvl w:val="3"/>
      </w:pPr>
      <w:bookmarkStart w:id="0" w:name="_Toc_4_4_0000000004"/>
      <w:r>
        <w:rPr>
          <w:rFonts w:ascii="方正仿宋_GBK" w:hAnsi="方正仿宋_GBK" w:eastAsia="方正仿宋_GBK" w:cs="方正仿宋_GBK"/>
          <w:color w:val="000000"/>
          <w:sz w:val="28"/>
        </w:rPr>
        <w:t>1.彩票销售机构业务费绩效目标表</w:t>
      </w:r>
      <w:bookmarkEnd w:id="0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304"/>
        <w:gridCol w:w="1276"/>
        <w:gridCol w:w="1323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1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410001青岛市福利彩票发行中心本级</w:t>
            </w:r>
          </w:p>
        </w:tc>
        <w:tc>
          <w:tcPr>
            <w:tcW w:w="132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项目编码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3"/>
            </w:pPr>
            <w:r>
              <w:t>37020022P12003510001L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3903" w:type="dxa"/>
            <w:gridSpan w:val="3"/>
            <w:vAlign w:val="center"/>
          </w:tcPr>
          <w:p>
            <w:pPr>
              <w:pStyle w:val="13"/>
            </w:pPr>
            <w:r>
              <w:t>彩票销售机构业务费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2387.00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04" w:type="dxa"/>
            <w:vAlign w:val="center"/>
          </w:tcPr>
          <w:p>
            <w:pPr>
              <w:pStyle w:val="13"/>
            </w:pPr>
            <w:r>
              <w:t>2387.00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323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098" w:type="dxa"/>
            <w:gridSpan w:val="6"/>
            <w:vAlign w:val="center"/>
          </w:tcPr>
          <w:p>
            <w:pPr>
              <w:pStyle w:val="13"/>
            </w:pPr>
            <w:r>
              <w:t>2022年度福利彩票业务费支出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资金支出计划（%）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pStyle w:val="14"/>
            </w:pPr>
            <w:r>
              <w:t>3月底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6月底</w:t>
            </w:r>
          </w:p>
        </w:tc>
        <w:tc>
          <w:tcPr>
            <w:tcW w:w="1304" w:type="dxa"/>
            <w:vAlign w:val="center"/>
          </w:tcPr>
          <w:p>
            <w:pPr>
              <w:pStyle w:val="14"/>
            </w:pPr>
            <w:r>
              <w:t>10月底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pStyle w:val="14"/>
            </w:pPr>
            <w:r>
              <w:t>12月底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2608" w:type="dxa"/>
            <w:gridSpan w:val="2"/>
            <w:vAlign w:val="center"/>
          </w:tcPr>
          <w:p>
            <w:pPr>
              <w:pStyle w:val="15"/>
            </w:pPr>
            <w:r>
              <w:t>400.00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900.00</w:t>
            </w:r>
          </w:p>
        </w:tc>
        <w:tc>
          <w:tcPr>
            <w:tcW w:w="1304" w:type="dxa"/>
            <w:vAlign w:val="center"/>
          </w:tcPr>
          <w:p>
            <w:pPr>
              <w:pStyle w:val="15"/>
            </w:pPr>
            <w:r>
              <w:t>1400.00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pStyle w:val="15"/>
            </w:pPr>
            <w:r>
              <w:t>2387.00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098" w:type="dxa"/>
            <w:gridSpan w:val="6"/>
            <w:vAlign w:val="center"/>
          </w:tcPr>
          <w:p>
            <w:pPr>
              <w:pStyle w:val="13"/>
            </w:pPr>
            <w:r>
              <w:t>1.逐步提高我市福利彩票销售的环境及服务质量，加强基层福利彩票销售站点的基础建设，为全市彩民提供更好的购彩氛围及环境；组织全方位立体化的市场营销宣传，使彩民更直观的获取彩票相关信息；以形式多样的公益活动，让更多的人认识到福利彩票的公益性，提升了福彩公益形象；通过促销活动回馈彩民，充分调动彩民的购彩积极性。从而顺利完成我市福利彩票销售工作，为全市人民筹集更多的公益金，为我市社会福利公益事业的发展提供坚实的基础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936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2891"/>
        <w:gridCol w:w="1276"/>
        <w:gridCol w:w="13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891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  <w:tc>
          <w:tcPr>
            <w:tcW w:w="1311" w:type="dxa"/>
            <w:vAlign w:val="center"/>
          </w:tcPr>
          <w:p>
            <w:pPr>
              <w:pStyle w:val="14"/>
            </w:pPr>
            <w: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福利彩票销售网点管理维护数量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做好1300个福利彩票销售网点管理维护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≥1300个</w:t>
            </w:r>
          </w:p>
        </w:tc>
        <w:tc>
          <w:tcPr>
            <w:tcW w:w="1311" w:type="dxa"/>
            <w:vAlign w:val="center"/>
          </w:tcPr>
          <w:p>
            <w:pPr>
              <w:pStyle w:val="13"/>
            </w:pPr>
            <w:r>
              <w:t>计划标准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广告宣传活动媒体、栏目次数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通过媒体、栏目或宣传推广活动对福利彩票开奖情况、营销活动、公益性等信息进行宣传不少于18个（次）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≥18个</w:t>
            </w:r>
          </w:p>
        </w:tc>
        <w:tc>
          <w:tcPr>
            <w:tcW w:w="1311" w:type="dxa"/>
            <w:vAlign w:val="center"/>
          </w:tcPr>
          <w:p>
            <w:pPr>
              <w:pStyle w:val="13"/>
            </w:pPr>
            <w:r>
              <w:t>计划标准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营销活动次数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组织不少于5次营销活动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≥5次</w:t>
            </w:r>
          </w:p>
        </w:tc>
        <w:tc>
          <w:tcPr>
            <w:tcW w:w="1311" w:type="dxa"/>
            <w:vAlign w:val="center"/>
          </w:tcPr>
          <w:p>
            <w:pPr>
              <w:pStyle w:val="13"/>
            </w:pPr>
            <w:r>
              <w:t>计划标准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福利彩票销售站管理维护率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考察对福利彩票销售站的管理维护是否全覆盖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311" w:type="dxa"/>
            <w:vAlign w:val="center"/>
          </w:tcPr>
          <w:p>
            <w:pPr>
              <w:pStyle w:val="13"/>
            </w:pPr>
            <w:r>
              <w:t>计划标准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系统故障排除率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考察系统故障的排除情况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100%</w:t>
            </w:r>
          </w:p>
        </w:tc>
        <w:tc>
          <w:tcPr>
            <w:tcW w:w="1311" w:type="dxa"/>
            <w:vAlign w:val="center"/>
          </w:tcPr>
          <w:p>
            <w:pPr>
              <w:pStyle w:val="13"/>
            </w:pPr>
            <w:r>
              <w:t>计划标准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福利彩票信息公布及时率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及时、全面的发布彩票开奖信息及福彩相关动态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及时</w:t>
            </w:r>
          </w:p>
        </w:tc>
        <w:tc>
          <w:tcPr>
            <w:tcW w:w="1311" w:type="dxa"/>
            <w:vAlign w:val="center"/>
          </w:tcPr>
          <w:p>
            <w:pPr>
              <w:pStyle w:val="13"/>
            </w:pPr>
            <w:r>
              <w:t>计划标准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彩票运行维护业务用车成本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每辆彩票运行维护业务车辆平均年运营和维护成本不超过1.4万元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≤1.4万元</w:t>
            </w:r>
          </w:p>
        </w:tc>
        <w:tc>
          <w:tcPr>
            <w:tcW w:w="1311" w:type="dxa"/>
            <w:vAlign w:val="center"/>
          </w:tcPr>
          <w:p>
            <w:pPr>
              <w:pStyle w:val="13"/>
            </w:pPr>
            <w:r>
              <w:t>计划标准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福利彩票年销售额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考察福利彩票销售额目标完成情况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≥15.6亿元</w:t>
            </w:r>
          </w:p>
        </w:tc>
        <w:tc>
          <w:tcPr>
            <w:tcW w:w="1311" w:type="dxa"/>
            <w:vAlign w:val="center"/>
          </w:tcPr>
          <w:p>
            <w:pPr>
              <w:pStyle w:val="13"/>
            </w:pPr>
            <w:r>
              <w:t>计划标准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福彩公益金筹集额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考察福彩公益金筹集量目标完成情况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≥4.8亿元</w:t>
            </w:r>
          </w:p>
        </w:tc>
        <w:tc>
          <w:tcPr>
            <w:tcW w:w="1311" w:type="dxa"/>
            <w:vAlign w:val="center"/>
          </w:tcPr>
          <w:p>
            <w:pPr>
              <w:pStyle w:val="13"/>
            </w:pPr>
            <w:r>
              <w:t>计划标准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增加地方税收额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考察福利彩票增加地方税收目标完成情况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≥2500万元</w:t>
            </w:r>
          </w:p>
        </w:tc>
        <w:tc>
          <w:tcPr>
            <w:tcW w:w="1311" w:type="dxa"/>
            <w:vAlign w:val="center"/>
          </w:tcPr>
          <w:p>
            <w:pPr>
              <w:pStyle w:val="13"/>
            </w:pPr>
            <w:r>
              <w:t>计划标准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彩票销售安全事故发生率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考察彩票销售安全事故的发生情况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未发生</w:t>
            </w:r>
          </w:p>
        </w:tc>
        <w:tc>
          <w:tcPr>
            <w:tcW w:w="1311" w:type="dxa"/>
            <w:vAlign w:val="center"/>
          </w:tcPr>
          <w:p>
            <w:pPr>
              <w:pStyle w:val="13"/>
            </w:pPr>
            <w:r>
              <w:t>计划标准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推动青岛市福利彩票事业健康、持续发展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推动青岛市福利彩票事业健康、持续发展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持续发展</w:t>
            </w:r>
          </w:p>
        </w:tc>
        <w:tc>
          <w:tcPr>
            <w:tcW w:w="1311" w:type="dxa"/>
            <w:vAlign w:val="center"/>
          </w:tcPr>
          <w:p>
            <w:pPr>
              <w:pStyle w:val="13"/>
            </w:pPr>
            <w:r>
              <w:t>计划标准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彩票销售网点满意度</w:t>
            </w:r>
          </w:p>
        </w:tc>
        <w:tc>
          <w:tcPr>
            <w:tcW w:w="2891" w:type="dxa"/>
            <w:vAlign w:val="center"/>
          </w:tcPr>
          <w:p>
            <w:pPr>
              <w:pStyle w:val="13"/>
            </w:pPr>
            <w:r>
              <w:t>考察彩票销售网点对彩票销售机构的满意度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≥90%</w:t>
            </w:r>
          </w:p>
        </w:tc>
        <w:tc>
          <w:tcPr>
            <w:tcW w:w="1311" w:type="dxa"/>
            <w:vAlign w:val="center"/>
          </w:tcPr>
          <w:p>
            <w:pPr>
              <w:pStyle w:val="13"/>
            </w:pPr>
            <w:r>
              <w:t>计划标准</w:t>
            </w:r>
          </w:p>
        </w:tc>
      </w:tr>
    </w:tbl>
    <w:p>
      <w:bookmarkStart w:id="1" w:name="_GoBack"/>
      <w:bookmarkEnd w:id="1"/>
    </w:p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fldChar w:fldCharType="begin"/>
    </w:r>
    <w:r>
      <w:instrText xml:space="preserve">PAGE "page number"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NiMjA1MzU2MDU1NGM5YWY0ODdhNDdjMDNjZjExNTEifQ=="/>
  </w:docVars>
  <w:rsids>
    <w:rsidRoot w:val="00F234B6"/>
    <w:rsid w:val="00342B5A"/>
    <w:rsid w:val="0088143F"/>
    <w:rsid w:val="00F234B6"/>
    <w:rsid w:val="7513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uk-UA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before="120"/>
    </w:pPr>
    <w:rPr>
      <w:rFonts w:eastAsia="方正仿宋_GBK"/>
      <w:color w:val="000000"/>
      <w:sz w:val="28"/>
    </w:rPr>
  </w:style>
  <w:style w:type="paragraph" w:styleId="3">
    <w:name w:val="toc 4"/>
    <w:basedOn w:val="1"/>
    <w:next w:val="1"/>
    <w:qFormat/>
    <w:uiPriority w:val="0"/>
    <w:pPr>
      <w:ind w:left="720"/>
    </w:pPr>
  </w:style>
  <w:style w:type="paragraph" w:styleId="4">
    <w:name w:val="toc 2"/>
    <w:basedOn w:val="1"/>
    <w:next w:val="1"/>
    <w:qFormat/>
    <w:uiPriority w:val="0"/>
    <w:pPr>
      <w:ind w:left="240"/>
    </w:pPr>
  </w:style>
  <w:style w:type="table" w:styleId="6">
    <w:name w:val="Table Grid"/>
    <w:basedOn w:val="5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插入文本样式-插入总体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9">
    <w:name w:val="插入文本样式-插入职责分类绩效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0">
    <w:name w:val="插入文本样式-插入实现年度发展规划目标的保障措施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1">
    <w:name w:val="单元格样式4"/>
    <w:basedOn w:val="1"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12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13">
    <w:name w:val="单元格样式2"/>
    <w:basedOn w:val="1"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14">
    <w:name w:val="单元格样式1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15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2022-04-29T17:49:07Z</dcterms:created>
  <dcterms:modified xsi:type="dcterms:W3CDTF">2022-04-29T09:49:07Z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2022-04-29T17:49:07Z</dcterms:created>
  <dcterms:modified xsi:type="dcterms:W3CDTF">2022-04-29T09:49:07Z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2022-04-29T17:49:07Z</dcterms:created>
  <dcterms:modified xsi:type="dcterms:W3CDTF">2022-04-29T09:49:07Z</dcterms:modified>
</cp:coreProperties>
</file>

<file path=customXml/itemProps1.xml><?xml version="1.0" encoding="utf-8"?>
<ds:datastoreItem xmlns:ds="http://schemas.openxmlformats.org/officeDocument/2006/customXml" ds:itemID="{8CE614EB-237B-497E-840E-954D434A6C29}">
  <ds:schemaRefs/>
</ds:datastoreItem>
</file>

<file path=customXml/itemProps2.xml><?xml version="1.0" encoding="utf-8"?>
<ds:datastoreItem xmlns:ds="http://schemas.openxmlformats.org/officeDocument/2006/customXml" ds:itemID="{F41C4E21-F777-4640-9E11-51D7462A82EB}">
  <ds:schemaRefs/>
</ds:datastoreItem>
</file>

<file path=customXml/itemProps3.xml><?xml version="1.0" encoding="utf-8"?>
<ds:datastoreItem xmlns:ds="http://schemas.openxmlformats.org/officeDocument/2006/customXml" ds:itemID="{FA318C37-1823-4919-85D4-1CCE129CDED9}">
  <ds:schemaRefs/>
</ds:datastoreItem>
</file>

<file path=customXml/itemProps4.xml><?xml version="1.0" encoding="utf-8"?>
<ds:datastoreItem xmlns:ds="http://schemas.openxmlformats.org/officeDocument/2006/customXml" ds:itemID="{9939E247-AFC1-49F6-B2EA-143B7F45A58F}">
  <ds:schemaRefs/>
</ds:datastoreItem>
</file>

<file path=customXml/itemProps5.xml><?xml version="1.0" encoding="utf-8"?>
<ds:datastoreItem xmlns:ds="http://schemas.openxmlformats.org/officeDocument/2006/customXml" ds:itemID="{C00E710F-0A26-442B-8419-0270F528E1AE}">
  <ds:schemaRefs/>
</ds:datastoreItem>
</file>

<file path=customXml/itemProps6.xml><?xml version="1.0" encoding="utf-8"?>
<ds:datastoreItem xmlns:ds="http://schemas.openxmlformats.org/officeDocument/2006/customXml" ds:itemID="{4004AC46-0B3A-46F3-A8FD-02A0659970A8}">
  <ds:schemaRefs/>
</ds:datastoreItem>
</file>

<file path=customXml/itemProps7.xml><?xml version="1.0" encoding="utf-8"?>
<ds:datastoreItem xmlns:ds="http://schemas.openxmlformats.org/officeDocument/2006/customXml" ds:itemID="{DE2D660A-8E3D-4C5E-A429-EFB7525AA9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Shaky Firm</Company>
  <Pages>5</Pages>
  <Words>952</Words>
  <Characters>1050</Characters>
  <Lines>9</Lines>
  <Paragraphs>2</Paragraphs>
  <TotalTime>4</TotalTime>
  <ScaleCrop>false</ScaleCrop>
  <LinksUpToDate>false</LinksUpToDate>
  <CharactersWithSpaces>1078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2022-04-29T17:49:00Z</dcterms:created>
  <dc:creator>Administrator</dc:creator>
  <cp:lastModifiedBy>浩，男</cp:lastModifiedBy>
  <cp:lastPrinted>2022-05-13T02:49:49Z</cp:lastPrinted>
  <dcterms:modified xsi:type="dcterms:W3CDTF">2022-05-13T02:52:28Z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42DF482C651143929092B11A163CEF52</vt:lpwstr>
  </property>
</Properties>
</file>