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F7" w:rsidRDefault="00355BF7" w:rsidP="001D61AF">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355BF7" w:rsidRPr="00D80934" w:rsidRDefault="00355BF7" w:rsidP="00705DF8">
      <w:pPr>
        <w:spacing w:line="560" w:lineRule="exact"/>
        <w:jc w:val="center"/>
        <w:rPr>
          <w:rFonts w:ascii="方正小标宋_GBK" w:eastAsia="方正小标宋_GBK" w:hAnsi="黑体"/>
          <w:sz w:val="32"/>
          <w:szCs w:val="32"/>
        </w:rPr>
      </w:pPr>
      <w:r w:rsidRPr="00D80934">
        <w:rPr>
          <w:rFonts w:ascii="方正小标宋_GBK" w:eastAsia="方正小标宋_GBK" w:hAnsi="宋体" w:cs="宋体" w:hint="eastAsia"/>
          <w:color w:val="000000"/>
          <w:kern w:val="0"/>
          <w:sz w:val="40"/>
          <w:szCs w:val="40"/>
        </w:rPr>
        <w:t>国家重点科研项目奖励资金核定汇总表</w:t>
      </w:r>
    </w:p>
    <w:tbl>
      <w:tblPr>
        <w:tblpPr w:leftFromText="180" w:rightFromText="180" w:vertAnchor="text" w:horzAnchor="page" w:tblpX="1431" w:tblpY="324"/>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77"/>
        <w:gridCol w:w="1915"/>
        <w:gridCol w:w="1847"/>
        <w:gridCol w:w="900"/>
        <w:gridCol w:w="584"/>
        <w:gridCol w:w="862"/>
        <w:gridCol w:w="1515"/>
      </w:tblGrid>
      <w:tr w:rsidR="00355BF7" w:rsidTr="00A03ED9">
        <w:trPr>
          <w:trHeight w:val="760"/>
        </w:trPr>
        <w:tc>
          <w:tcPr>
            <w:tcW w:w="708" w:type="dxa"/>
            <w:vAlign w:val="center"/>
          </w:tcPr>
          <w:p w:rsidR="00355BF7" w:rsidRDefault="00355BF7" w:rsidP="00A03ED9">
            <w:pPr>
              <w:widowControl/>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rPr>
              <w:t>序号</w:t>
            </w:r>
          </w:p>
        </w:tc>
        <w:tc>
          <w:tcPr>
            <w:tcW w:w="1177" w:type="dxa"/>
            <w:vAlign w:val="center"/>
          </w:tcPr>
          <w:p w:rsidR="00355BF7" w:rsidRDefault="00355BF7" w:rsidP="00A03ED9">
            <w:pPr>
              <w:widowControl/>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rPr>
              <w:t>单位名称</w:t>
            </w:r>
          </w:p>
        </w:tc>
        <w:tc>
          <w:tcPr>
            <w:tcW w:w="1915" w:type="dxa"/>
            <w:vAlign w:val="center"/>
          </w:tcPr>
          <w:p w:rsidR="00355BF7" w:rsidRDefault="00355BF7" w:rsidP="00A03ED9">
            <w:pPr>
              <w:widowControl/>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rPr>
              <w:t>项目（课题）名称</w:t>
            </w:r>
          </w:p>
        </w:tc>
        <w:tc>
          <w:tcPr>
            <w:tcW w:w="1847" w:type="dxa"/>
            <w:vAlign w:val="center"/>
          </w:tcPr>
          <w:p w:rsidR="00355BF7" w:rsidRDefault="00355BF7" w:rsidP="00A03ED9">
            <w:pPr>
              <w:widowControl/>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rPr>
              <w:t>课题编号</w:t>
            </w:r>
          </w:p>
        </w:tc>
        <w:tc>
          <w:tcPr>
            <w:tcW w:w="900" w:type="dxa"/>
            <w:vAlign w:val="center"/>
          </w:tcPr>
          <w:p w:rsidR="00355BF7" w:rsidRDefault="00355BF7" w:rsidP="002C43B1">
            <w:pPr>
              <w:widowControl/>
              <w:jc w:val="center"/>
              <w:textAlignment w:val="center"/>
              <w:rPr>
                <w:rFonts w:ascii="黑体" w:eastAsia="黑体" w:hAnsi="黑体" w:cs="黑体"/>
                <w:color w:val="000000"/>
                <w:sz w:val="16"/>
                <w:szCs w:val="16"/>
              </w:rPr>
            </w:pPr>
            <w:r>
              <w:rPr>
                <w:rFonts w:ascii="黑体" w:eastAsia="黑体" w:hAnsi="黑体" w:cs="黑体"/>
                <w:color w:val="000000"/>
                <w:kern w:val="0"/>
                <w:sz w:val="16"/>
                <w:szCs w:val="16"/>
              </w:rPr>
              <w:t>2020</w:t>
            </w:r>
            <w:r>
              <w:rPr>
                <w:rFonts w:ascii="黑体" w:eastAsia="黑体" w:hAnsi="黑体" w:cs="黑体" w:hint="eastAsia"/>
                <w:color w:val="000000"/>
                <w:kern w:val="0"/>
                <w:sz w:val="16"/>
                <w:szCs w:val="16"/>
              </w:rPr>
              <w:t>年度国家拨付经费到账金额（万元）</w:t>
            </w:r>
          </w:p>
        </w:tc>
        <w:tc>
          <w:tcPr>
            <w:tcW w:w="584" w:type="dxa"/>
            <w:vAlign w:val="center"/>
          </w:tcPr>
          <w:p w:rsidR="00355BF7" w:rsidRDefault="00355BF7" w:rsidP="00A03ED9">
            <w:pPr>
              <w:widowControl/>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rPr>
              <w:t>奖励比例</w:t>
            </w:r>
          </w:p>
        </w:tc>
        <w:tc>
          <w:tcPr>
            <w:tcW w:w="862" w:type="dxa"/>
            <w:vAlign w:val="center"/>
          </w:tcPr>
          <w:p w:rsidR="00355BF7" w:rsidRDefault="00355BF7" w:rsidP="00A03ED9">
            <w:pPr>
              <w:widowControl/>
              <w:jc w:val="left"/>
              <w:textAlignment w:val="center"/>
              <w:rPr>
                <w:rFonts w:ascii="黑体" w:eastAsia="黑体" w:hAnsi="黑体" w:cs="黑体"/>
                <w:color w:val="000000"/>
                <w:kern w:val="0"/>
                <w:sz w:val="16"/>
                <w:szCs w:val="16"/>
              </w:rPr>
            </w:pPr>
            <w:r>
              <w:rPr>
                <w:rFonts w:ascii="黑体" w:eastAsia="黑体" w:hAnsi="黑体" w:cs="黑体" w:hint="eastAsia"/>
                <w:color w:val="000000"/>
                <w:kern w:val="0"/>
                <w:sz w:val="16"/>
                <w:szCs w:val="16"/>
              </w:rPr>
              <w:t>奖励金额</w:t>
            </w:r>
          </w:p>
          <w:p w:rsidR="00355BF7" w:rsidRDefault="00355BF7" w:rsidP="00A03ED9">
            <w:pPr>
              <w:widowControl/>
              <w:jc w:val="left"/>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rPr>
              <w:t>（万元）</w:t>
            </w:r>
          </w:p>
        </w:tc>
        <w:tc>
          <w:tcPr>
            <w:tcW w:w="1515" w:type="dxa"/>
            <w:vAlign w:val="center"/>
          </w:tcPr>
          <w:p w:rsidR="00355BF7" w:rsidRDefault="00355BF7" w:rsidP="00A03ED9">
            <w:pPr>
              <w:widowControl/>
              <w:jc w:val="center"/>
              <w:textAlignment w:val="center"/>
              <w:rPr>
                <w:rFonts w:ascii="黑体" w:eastAsia="黑体" w:hAnsi="黑体" w:cs="黑体"/>
                <w:color w:val="000000"/>
                <w:sz w:val="16"/>
                <w:szCs w:val="16"/>
              </w:rPr>
            </w:pPr>
            <w:r>
              <w:rPr>
                <w:rFonts w:ascii="黑体" w:eastAsia="黑体" w:hAnsi="黑体" w:cs="黑体" w:hint="eastAsia"/>
                <w:color w:val="000000"/>
                <w:kern w:val="0"/>
                <w:sz w:val="16"/>
                <w:szCs w:val="16"/>
              </w:rPr>
              <w:t>备注</w:t>
            </w: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bookmarkStart w:id="0" w:name="OLE_LINK1" w:colFirst="6" w:colLast="6"/>
            <w:r w:rsidRPr="00705DF8">
              <w:rPr>
                <w:rFonts w:ascii="宋体" w:hAnsi="宋体" w:cs="宋体"/>
                <w:kern w:val="0"/>
                <w:sz w:val="16"/>
                <w:szCs w:val="16"/>
              </w:rPr>
              <w:t>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新时期我国极地活动的国际法保障和立法研究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2019YFC1408204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18.4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0.26</w:t>
            </w:r>
          </w:p>
        </w:tc>
        <w:tc>
          <w:tcPr>
            <w:tcW w:w="1515" w:type="dxa"/>
            <w:vAlign w:val="center"/>
          </w:tcPr>
          <w:p w:rsidR="00355BF7" w:rsidRPr="00705DF8" w:rsidRDefault="00355BF7" w:rsidP="00A03ED9">
            <w:pPr>
              <w:jc w:val="center"/>
              <w:rPr>
                <w:rFonts w:ascii="宋体" w:cs="宋体"/>
                <w:sz w:val="16"/>
                <w:szCs w:val="16"/>
              </w:rPr>
            </w:pPr>
            <w:r w:rsidRPr="00705DF8">
              <w:rPr>
                <w:rFonts w:ascii="宋体" w:hAnsi="宋体" w:cs="宋体" w:hint="eastAsia"/>
                <w:sz w:val="16"/>
                <w:szCs w:val="16"/>
              </w:rPr>
              <w:t>按照单个单位最高奖励</w:t>
            </w:r>
            <w:r w:rsidRPr="00705DF8">
              <w:rPr>
                <w:rFonts w:ascii="宋体" w:hAnsi="宋体" w:cs="宋体"/>
                <w:sz w:val="16"/>
                <w:szCs w:val="16"/>
              </w:rPr>
              <w:t>200</w:t>
            </w:r>
            <w:r w:rsidRPr="00705DF8">
              <w:rPr>
                <w:rFonts w:ascii="宋体" w:hAnsi="宋体" w:cs="宋体" w:hint="eastAsia"/>
                <w:sz w:val="16"/>
                <w:szCs w:val="16"/>
              </w:rPr>
              <w:t>万元、单个项目最高奖励</w:t>
            </w:r>
            <w:r w:rsidRPr="00705DF8">
              <w:rPr>
                <w:rFonts w:ascii="宋体" w:hAnsi="宋体" w:cs="宋体"/>
                <w:sz w:val="16"/>
                <w:szCs w:val="16"/>
              </w:rPr>
              <w:t>30</w:t>
            </w:r>
            <w:r w:rsidRPr="00705DF8">
              <w:rPr>
                <w:rFonts w:ascii="宋体" w:hAnsi="宋体" w:cs="宋体" w:hint="eastAsia"/>
                <w:sz w:val="16"/>
                <w:szCs w:val="16"/>
              </w:rPr>
              <w:t>万元予以核减，下同至</w:t>
            </w:r>
            <w:r w:rsidRPr="00705DF8">
              <w:rPr>
                <w:rFonts w:ascii="宋体" w:hAnsi="宋体" w:cs="宋体"/>
                <w:sz w:val="16"/>
                <w:szCs w:val="16"/>
              </w:rPr>
              <w:t>64</w:t>
            </w:r>
            <w:r w:rsidRPr="00705DF8">
              <w:rPr>
                <w:rFonts w:ascii="宋体" w:hAnsi="宋体" w:cs="宋体" w:hint="eastAsia"/>
                <w:sz w:val="16"/>
                <w:szCs w:val="16"/>
              </w:rPr>
              <w:t>项。</w:t>
            </w: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食品污染物去除技术及污染食品高值化利用技术开发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2019YFC1604605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148.4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贝类生长与品质性状的分子基础和调控机理研究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2018YFD0900104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237.4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5.65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水产品质量安全保障技术应用示范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2019YFC1605704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2.27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海洋多糖降解酶的功能挖掘和新产品开发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2018YFC0311105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水产养殖重要疾病现场快速诊断技术与产品开发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2019YFD0900101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415.6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5.93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养殖海域养殖容量评估与环境预警技术研发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2019YFD0901001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252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5.99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深远海适养鱼类筛选及健康养殖技术研究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2019YFD0901002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257</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6.11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细胞外基质在管腔器官形态发生与稳态维持中的角色和功能研究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2019YFE0190900</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3.21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再生性角膜材料制备及材料对细胞影响的研究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2018YFC1106001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1.71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波浪能多自由度装置研发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2018YFB1501904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3.31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潮流能低流速高效装置研发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2018YFB1501903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2.28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拖曳式海洋环境多参数剖面原位检测传感器阵列示范应用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2019YFC1408305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海洋光学环境和压力高精度原位传感器研制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2019YFC1408301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289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5.65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 xml:space="preserve"> </w:t>
            </w:r>
            <w:r w:rsidRPr="00705DF8">
              <w:rPr>
                <w:rFonts w:ascii="宋体" w:hAnsi="宋体" w:cs="宋体" w:hint="eastAsia"/>
                <w:kern w:val="0"/>
                <w:sz w:val="16"/>
                <w:szCs w:val="16"/>
              </w:rPr>
              <w:t>基于电磁耦合的拖曳式传感器阵列组网集成与快捷布放技术研究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2019YFC1408304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338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6.61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乳酸菌或蛋白酶水解生产特定功能乳制品产品研究与应用示范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2018YFC1604302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0.74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渤海入海污染物准实时连续监测与通量估算技术研究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2018YFC1407601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41</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0.98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渤海主要入海污染物迁移转化关键过程与水质预报研究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2018YFC1407602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35.17</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0.84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渤海湾海上污染源源强监测及评估研究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2019YFC1407802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326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4.65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水产品加工专用酶催化技术与产品开发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2019YFD0901902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342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4.88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北极快速变化的多年代际变异机制研究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2019YFA0607001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235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5.59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影响北极未来变化趋势的关键过程、情景与效应研究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2019YFA0607004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2.81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声信号对极区冰层和海底的响应及其声学参数观测技</w:t>
            </w:r>
            <w:r w:rsidRPr="00705DF8">
              <w:rPr>
                <w:rFonts w:ascii="宋体" w:cs="宋体"/>
                <w:kern w:val="0"/>
                <w:sz w:val="16"/>
                <w:szCs w:val="16"/>
              </w:rPr>
              <w:br/>
            </w:r>
            <w:r w:rsidRPr="00705DF8">
              <w:rPr>
                <w:rFonts w:ascii="宋体" w:hAnsi="宋体" w:cs="宋体" w:hint="eastAsia"/>
                <w:kern w:val="0"/>
                <w:sz w:val="16"/>
                <w:szCs w:val="16"/>
              </w:rPr>
              <w:t>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 xml:space="preserve"> 2018YFC1405901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0.94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再生景观水体水质维持与改善技术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2018YFC0406304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191.98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2.74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希腊爱琴海溴酚类化合物的发现及成药性评价</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2017YFE0195000</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0.67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深海药源天然产物生物合成途径解析和调控策略</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2019YFC0312501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337.8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4.82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海水池塘绿色生态养殖关键技术优化与集成研究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2020YFD0900201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146.3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3.48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深海冷泉大型生物基因组学与功能基因挖掘</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2018YFC0310802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67</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0.96</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基于三维立体观测多源数据的海上对比验证试验</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2016YFC1401103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191</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2.73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多功能树脂及改性树脂的设计合成及性能研究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2019YFC0312101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335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6.37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具有优良静态防污性能的防污涂料研发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2019YFC0312102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415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深远海养殖优质苗种培育及不同养殖模式生产性状评价</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2020YFD091002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1.91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水产养殖动物新种质的繁殖特性及调控机理</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2018YFD0900206</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139.11</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1.98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海洋牧场生境构建与优化技术示范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2019YFD0902101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191</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2.73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48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极地微生物的生命特征、环境适应与生态效应机制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2018YFC1406703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0.83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养殖池塘生态系统优化与水质综合调控技术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2019YFD0900402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392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5.59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扇贝优质、抗逆种质创制和规模化制种</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2018YFD0901402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180.84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2.58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水产动物蛋白质营养及调控机制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2018YFD0900401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312.1</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7.42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水产动物糖和脂肪营养及调控机制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2018YFD0900402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228.9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5.44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全海深声学释放器海试功能检验及应用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2018YFC0308504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21.37</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万米级海试及应用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2019YFC1408604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63.6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0.91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海洋大气边界层动力学剖面激光雷达研制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2019YFC1408002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支撑个性化产品众包的设计资源自适应组织理论方法</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2018YFB1700803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83.34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1.19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海洋环境监测预报数据和产品共享服务平台建设</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2019YFC1408405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240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3.42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Style w:val="font41"/>
                <w:rFonts w:ascii="宋体" w:eastAsia="宋体" w:hAnsi="宋体" w:cs="宋体" w:hint="eastAsia"/>
                <w:color w:val="auto"/>
                <w:sz w:val="16"/>
                <w:szCs w:val="16"/>
              </w:rPr>
              <w:t>水产品典型危害物的精准快速风险评估技术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2019YFD0901704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262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6.23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深海混输系统智能健康监测与损伤识别研究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2019YFC0312404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2.55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装置总体设计与控制及通讯系统研发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2018YFC0309201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66.82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1.59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基于壳聚糖的大创伤急救修复医用材料研究开发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2018YFC0311102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2.06</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杀菌品质保障技术与智能控制装备研发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2019YFD0901804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389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5.55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海洋动力过程在南大洋热量吸收和输运中的作用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2018YFA0605702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南大洋表层增暖迟滞成因及对全球气候的影响</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2018YFA0605704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1.14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新型海洋食品功效成分的结构解析及构效关系研究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2018YFC0311201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海洋活性多糖的高效制备技术及产品开发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2018YFC0311203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2.47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水产品脂质的构效关系与营养作用机制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2018YFD090110</w:t>
            </w:r>
            <w:r w:rsidRPr="00705DF8">
              <w:rPr>
                <w:rStyle w:val="font71"/>
                <w:rFonts w:ascii="宋体" w:eastAsia="宋体" w:hAnsi="宋体" w:cs="宋体"/>
                <w:color w:val="auto"/>
                <w:sz w:val="16"/>
                <w:szCs w:val="16"/>
              </w:rPr>
              <w:t>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246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5.85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水产品加工过程中内源性安全危害因子的形成机制与控制策略</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2018YFD0901005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179.9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2.56</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以弧菌作为生物感应器指示全球</w:t>
            </w:r>
            <w:r w:rsidRPr="00705DF8">
              <w:rPr>
                <w:rFonts w:ascii="宋体" w:hAnsi="宋体" w:cs="宋体"/>
                <w:kern w:val="0"/>
                <w:sz w:val="16"/>
                <w:szCs w:val="16"/>
              </w:rPr>
              <w:t>/</w:t>
            </w:r>
            <w:r w:rsidRPr="00705DF8">
              <w:rPr>
                <w:rFonts w:ascii="宋体" w:hAnsi="宋体" w:cs="宋体" w:hint="eastAsia"/>
                <w:kern w:val="0"/>
                <w:sz w:val="16"/>
                <w:szCs w:val="16"/>
              </w:rPr>
              <w:t>区域变化的研究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2018YFE0124100</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57</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1.36</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重要渔业种群动态长期变化特征及生态适应性</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2018YFD0900902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180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2.57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深海刺胞动物门药物先导化合物的高效筛选与</w:t>
            </w:r>
            <w:r w:rsidRPr="00705DF8">
              <w:rPr>
                <w:rFonts w:ascii="宋体" w:cs="宋体"/>
                <w:kern w:val="0"/>
                <w:sz w:val="16"/>
                <w:szCs w:val="16"/>
              </w:rPr>
              <w:br/>
            </w:r>
            <w:r w:rsidRPr="00705DF8">
              <w:rPr>
                <w:rFonts w:ascii="宋体" w:hAnsi="宋体" w:cs="宋体" w:hint="eastAsia"/>
                <w:kern w:val="0"/>
                <w:sz w:val="16"/>
                <w:szCs w:val="16"/>
              </w:rPr>
              <w:t>发现</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2018YFC0310903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141.58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面向全机孪生模型的产品评价与闭环迭代设计优化</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2020YFB1708003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143.14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水产动物品质和安全的饲料营养调控技术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2019YFD0900205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448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水产品全链条关键危害物的迁移转化规律与安全防控技术研究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2017YFC1600705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0.41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基于多源对地观测技术支持下的海岸带大型基础设施监测与评价系统研究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2017YFE0133500</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0.62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海洋环境电磁场研究及测量系统设计与集成</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2019YFC1408101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404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5.76</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中国海洋大学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制造大数据驱动全流程生产运行优化与决策技术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2018YFB1703104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136.46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3.25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9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青岛海洋科学与技术国家实验室发展中心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激光雷达海气动力学剖面探测与反演技术开发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2019YFC1408001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9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青岛海洋科学与技术国家实验室发展中心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基于浮标的海洋环境电磁测量系统集成及海上试验</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2019YFC1408104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9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青岛海洋科学与技术国家实验室发展中心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水下声学滑翔机综合集成与海上试验</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2019YFC0311704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7.25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9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青岛海洋科学与技术国家实验室发展中心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2030</w:t>
            </w:r>
            <w:r w:rsidRPr="00705DF8">
              <w:rPr>
                <w:rFonts w:ascii="宋体" w:hAnsi="宋体" w:cs="宋体" w:hint="eastAsia"/>
                <w:kern w:val="0"/>
                <w:sz w:val="16"/>
                <w:szCs w:val="16"/>
              </w:rPr>
              <w:t>世界深海科技创新能力格局研究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2018YFC0308402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0.47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9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青岛海洋科学与技术国家实验室发展中心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西太平洋海洋环流多尺度变异机制及其受全球变化的影响</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2020YFA0608801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303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15.15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9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青岛海洋科学与技术国家实验室发展中心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北极快速变化及其与南极和第三极的关联</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2019YFC1509101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217.4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10.87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9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青岛海洋科学与技术国家实验室发展中心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三极国际大科学计划战略研究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2019YFC1509105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179.4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8.97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48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青岛海洋地质研究所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冷泉系统发育的地质条件及控制作用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2018YFC0310001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1.95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48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青岛海洋地质研究所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开采过程中储层渗流响应行为与演化机理</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2018YFE0126402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0.69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48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青岛海洋地质研究所</w:t>
            </w:r>
          </w:p>
        </w:tc>
        <w:tc>
          <w:tcPr>
            <w:tcW w:w="1915" w:type="dxa"/>
            <w:vAlign w:val="center"/>
          </w:tcPr>
          <w:p w:rsidR="00355BF7" w:rsidRPr="00705DF8" w:rsidRDefault="00355BF7" w:rsidP="00A03ED9">
            <w:pPr>
              <w:widowControl/>
              <w:jc w:val="left"/>
              <w:textAlignment w:val="center"/>
              <w:rPr>
                <w:rFonts w:ascii="宋体" w:cs="宋体"/>
                <w:kern w:val="0"/>
                <w:sz w:val="16"/>
                <w:szCs w:val="16"/>
              </w:rPr>
            </w:pPr>
            <w:r w:rsidRPr="00705DF8">
              <w:rPr>
                <w:rFonts w:ascii="宋体" w:hAnsi="宋体" w:cs="宋体" w:hint="eastAsia"/>
                <w:kern w:val="0"/>
                <w:sz w:val="16"/>
                <w:szCs w:val="16"/>
              </w:rPr>
              <w:t>河口三角洲生态环境地球观测应用研究</w:t>
            </w:r>
          </w:p>
        </w:tc>
        <w:tc>
          <w:tcPr>
            <w:tcW w:w="1847" w:type="dxa"/>
            <w:vAlign w:val="center"/>
          </w:tcPr>
          <w:p w:rsidR="00355BF7" w:rsidRPr="00705DF8" w:rsidRDefault="00355BF7" w:rsidP="00A03ED9">
            <w:pPr>
              <w:widowControl/>
              <w:jc w:val="left"/>
              <w:textAlignment w:val="center"/>
              <w:rPr>
                <w:rFonts w:ascii="宋体" w:cs="宋体"/>
                <w:kern w:val="0"/>
                <w:sz w:val="16"/>
                <w:szCs w:val="16"/>
              </w:rPr>
            </w:pPr>
            <w:r w:rsidRPr="00705DF8">
              <w:rPr>
                <w:rFonts w:ascii="宋体" w:hAnsi="宋体" w:cs="宋体"/>
                <w:kern w:val="0"/>
                <w:sz w:val="16"/>
                <w:szCs w:val="16"/>
              </w:rPr>
              <w:t>2019YFE0127200</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病原</w:t>
            </w:r>
            <w:r w:rsidRPr="00705DF8">
              <w:rPr>
                <w:rFonts w:ascii="宋体" w:cs="宋体"/>
                <w:kern w:val="0"/>
                <w:sz w:val="16"/>
                <w:szCs w:val="16"/>
              </w:rPr>
              <w:t>-</w:t>
            </w:r>
            <w:r w:rsidRPr="00705DF8">
              <w:rPr>
                <w:rFonts w:ascii="宋体" w:hAnsi="宋体" w:cs="宋体" w:hint="eastAsia"/>
                <w:kern w:val="0"/>
                <w:sz w:val="16"/>
                <w:szCs w:val="16"/>
              </w:rPr>
              <w:t>宿主互作失衡与疫病发生机制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2018YFD0900504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298.84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14.94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深海冷泉微生物代谢产物资源挖掘与药用潜力评估</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2018YFC0310804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200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藻类基因组选育与编辑技术研发及新种质创制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2018YFD0901501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146.65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7.33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通过捕捞和开发利用控制大型水母旺发的策略和技术研究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2017YFE0111100</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热液动物基因组学与环境适应机制研究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2018YFC0310702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4.44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基于物联网与大数据的池塘养殖智能化投喂与自动化管控技术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2019YFD0900401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382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7.35</w:t>
            </w:r>
          </w:p>
        </w:tc>
        <w:tc>
          <w:tcPr>
            <w:tcW w:w="1515"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多个单位申请合计奖励超过</w:t>
            </w:r>
            <w:r w:rsidRPr="00705DF8">
              <w:rPr>
                <w:rFonts w:ascii="宋体" w:hAnsi="宋体" w:cs="宋体"/>
                <w:kern w:val="0"/>
                <w:sz w:val="16"/>
                <w:szCs w:val="16"/>
              </w:rPr>
              <w:t>30</w:t>
            </w:r>
            <w:r w:rsidRPr="00705DF8">
              <w:rPr>
                <w:rFonts w:ascii="宋体" w:hAnsi="宋体" w:cs="宋体" w:hint="eastAsia"/>
                <w:kern w:val="0"/>
                <w:sz w:val="16"/>
                <w:szCs w:val="16"/>
              </w:rPr>
              <w:t>万元，予以核减。</w:t>
            </w: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海洋牧场生物功能群构建与资源养护技术示范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2019YFD0902102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4.77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工厂化养殖节能减排关键技术与装备研发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2019YFD0900502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334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10.02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基于海洋甲壳资源衍生化技术的新型免疫诱导剂开发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2018YFC0311305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76.77</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2.3</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三大洋相互作用的“海洋通道”过程机制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2019YFA0606702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167</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5.01</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贝类耐高温低氧与抗病性状的遗传关联机制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2018YFD0900304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3.72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重要养殖鱼类高效繁育技术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2018YFD0901204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193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5.79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刺参、海胆良种创制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2018YFD0901602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219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6.57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Style w:val="font91"/>
                <w:rFonts w:hint="eastAsia"/>
                <w:color w:val="auto"/>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Style w:val="font91"/>
                <w:rFonts w:hint="eastAsia"/>
                <w:color w:val="auto"/>
                <w:sz w:val="16"/>
                <w:szCs w:val="16"/>
              </w:rPr>
              <w:t>底播生境营造与生态增养殖技术研发与模式构建</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2019YFD0900801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242.84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12.14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Style w:val="font91"/>
                <w:rFonts w:hint="eastAsia"/>
                <w:color w:val="auto"/>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Style w:val="font91"/>
                <w:rFonts w:hint="eastAsia"/>
                <w:color w:val="auto"/>
                <w:sz w:val="16"/>
                <w:szCs w:val="16"/>
              </w:rPr>
              <w:t>海洋牧场生态资源综合评估技术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2019YFD0901301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391.44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19.57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90</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虾蟹类新种质创制技术平台</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2018YFD0901301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306.446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9.19</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虾蟹类生长与品质性状的遗传调控机制研究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2018YFD0900103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200.82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6.02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中国科学院海洋研究所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具有优良复涂性能的防腐涂料研发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2019YFC0312103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620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15.73</w:t>
            </w:r>
          </w:p>
        </w:tc>
        <w:tc>
          <w:tcPr>
            <w:tcW w:w="1515"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多个单位申请合计奖励超过</w:t>
            </w:r>
            <w:r w:rsidRPr="00705DF8">
              <w:rPr>
                <w:rFonts w:ascii="宋体" w:hAnsi="宋体" w:cs="宋体"/>
                <w:kern w:val="0"/>
                <w:sz w:val="16"/>
                <w:szCs w:val="16"/>
              </w:rPr>
              <w:t>30</w:t>
            </w:r>
            <w:r w:rsidRPr="00705DF8">
              <w:rPr>
                <w:rFonts w:ascii="宋体" w:hAnsi="宋体" w:cs="宋体" w:hint="eastAsia"/>
                <w:kern w:val="0"/>
                <w:sz w:val="16"/>
                <w:szCs w:val="16"/>
              </w:rPr>
              <w:t>万元，予以核减。</w:t>
            </w:r>
          </w:p>
        </w:tc>
      </w:tr>
      <w:tr w:rsidR="00355BF7" w:rsidRPr="00705DF8" w:rsidTr="00A03ED9">
        <w:trPr>
          <w:trHeight w:val="63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93</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自然资源部第一海洋研究所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海洋环境预报数据释用分析及产品制作</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2019YFC1408404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169</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8.45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94</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自然资源部第一海洋研究所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海洋物性参数监测仪</w:t>
            </w:r>
            <w:r w:rsidRPr="00705DF8">
              <w:rPr>
                <w:rStyle w:val="font212"/>
                <w:rFonts w:ascii="宋体" w:cs="宋体"/>
                <w:color w:val="auto"/>
              </w:rPr>
              <w:br/>
            </w:r>
            <w:r w:rsidRPr="00705DF8">
              <w:rPr>
                <w:rStyle w:val="font101"/>
                <w:rFonts w:hint="eastAsia"/>
                <w:color w:val="auto"/>
              </w:rPr>
              <w:t>多平台应用示范研究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2018YFF01014105</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189.6</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5.69</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95</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自然资源部第一海洋研究所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典型入侵物种对自然资源的影响机理</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2018YFD0900705</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183.9</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5.52</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38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96</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自然资源部第一海洋研究所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渤海主要污染物环境基准研究与生态风险评价</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2018YFC1407603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34.6</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1.04</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97</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自然资源部第一海洋研究所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秦皇岛海域绿潮灾害的成因及其预警技术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2019YFC1407902</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131</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3.93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98</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自然资源部第一海洋研究所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海洋物性监测数据综合智能服务技术研发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2018YFF01014104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96.8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 xml:space="preserve">2.90 </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99</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自然资源部第一海洋研究所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南大洋关键海洋动力过程的观测研究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2018YFA0605701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1.35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100</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南极磷虾中心渔场探查与渔业生产保障技术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2018YFC1406802</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41</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78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101</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生态系统水平的多营养层次综合养殖智能化管理</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2017YFE0118300</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17.2</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0.86</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102</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海水鱼类抗病与抗逆性状形成的分子机理</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2018YFD0900301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328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16.4</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103</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藻参耐高温酸化与抗病性状的遗传关联机制</w:t>
            </w:r>
            <w:r w:rsidRPr="00705DF8">
              <w:rPr>
                <w:rStyle w:val="font212"/>
                <w:rFonts w:ascii="宋体" w:hAnsi="宋体" w:cs="宋体"/>
                <w:color w:val="auto"/>
              </w:rPr>
              <w:t xml:space="preserve">  </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2018YFD0900305</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166</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8.3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104</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典型养殖系统对自然水域生态系统的影响机理</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2018YFD0900700</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344</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17.2</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105</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典型渔业水域可持续产出的适应性管理基础</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2018YFD0900906</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192</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9.6</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106</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海水虾类良种创制与繁育关键技术</w:t>
            </w:r>
            <w:r w:rsidRPr="00705DF8">
              <w:rPr>
                <w:rStyle w:val="font212"/>
                <w:rFonts w:ascii="宋体" w:hAnsi="宋体" w:cs="宋体"/>
                <w:color w:val="auto"/>
              </w:rPr>
              <w:t xml:space="preserve"> </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2018YFD0901302</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165.18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8.26</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107</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蟹类良种创制与繁育关键技术</w:t>
            </w:r>
            <w:r w:rsidRPr="00705DF8">
              <w:rPr>
                <w:rStyle w:val="font212"/>
                <w:rFonts w:ascii="宋体" w:hAnsi="宋体" w:cs="宋体"/>
                <w:color w:val="auto"/>
              </w:rPr>
              <w:t xml:space="preserve"> </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2018YFD0901304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127.55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6.38</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108</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水产病害大数据平台及预警模型构建与应用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2019YFD0900102</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325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16.25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kern w:val="0"/>
                <w:sz w:val="16"/>
                <w:szCs w:val="16"/>
              </w:rPr>
            </w:pPr>
            <w:r w:rsidRPr="00705DF8">
              <w:rPr>
                <w:rFonts w:ascii="宋体" w:hAnsi="宋体" w:cs="宋体"/>
                <w:kern w:val="0"/>
                <w:sz w:val="16"/>
                <w:szCs w:val="16"/>
              </w:rPr>
              <w:t>109</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海水池塘营养物质资源化高效利用技术研发与养殖模式构建</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2019YFD0900403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545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17.06</w:t>
            </w:r>
          </w:p>
        </w:tc>
        <w:tc>
          <w:tcPr>
            <w:tcW w:w="15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多个单位申请合计奖励超过</w:t>
            </w:r>
            <w:r w:rsidRPr="00705DF8">
              <w:rPr>
                <w:rFonts w:ascii="宋体" w:hAnsi="宋体" w:cs="宋体"/>
                <w:kern w:val="0"/>
                <w:sz w:val="16"/>
                <w:szCs w:val="16"/>
              </w:rPr>
              <w:t>30</w:t>
            </w:r>
            <w:r w:rsidRPr="00705DF8">
              <w:rPr>
                <w:rFonts w:ascii="宋体" w:hAnsi="宋体" w:cs="宋体" w:hint="eastAsia"/>
                <w:kern w:val="0"/>
                <w:sz w:val="16"/>
                <w:szCs w:val="16"/>
              </w:rPr>
              <w:t>万元，予以核减。</w:t>
            </w: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110</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虾参循环水养殖工艺研究与清洁生产系统构建</w:t>
            </w:r>
            <w:r w:rsidRPr="00705DF8">
              <w:rPr>
                <w:rStyle w:val="font212"/>
                <w:rFonts w:ascii="宋体" w:hAnsi="宋体" w:cs="宋体"/>
                <w:color w:val="auto"/>
              </w:rPr>
              <w:t xml:space="preserve"> </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2019YFD0900505</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327</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16.35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111</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开放海域适养种类筛选与健康养殖技术体系构建</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2019YFD0900901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226</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11.3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112</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重要养殖藻类生态适应性与安全性评价</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2018YFD0901504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95.29</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2.86</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113</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刺参、海胆良种高效制种与苗种扩繁技术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2018YFD0901603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142</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4.26</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114</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典型水产生物毒素形成机制及预警技术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2017YFC1600701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0.84</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115</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筏式标准化生态养殖技术研发与模式构建</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2019YFD0900803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371.08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11.13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116</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典型渔业水域生态健康评估技术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2019YFD0901201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246</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7.38</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117</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远洋渔场声学探测与资源环境信息解析技术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2019YFD0901401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325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9.75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118</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水产品加工储运过程中典型化学危害物消减控制技术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2019YFD0901703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362</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10.86</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63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119</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有毒鱼类</w:t>
            </w:r>
            <w:r w:rsidRPr="00705DF8">
              <w:rPr>
                <w:rStyle w:val="font212"/>
                <w:rFonts w:ascii="宋体" w:hAnsi="宋体" w:cs="宋体"/>
                <w:color w:val="auto"/>
              </w:rPr>
              <w:t>DNA</w:t>
            </w:r>
            <w:r w:rsidRPr="00705DF8">
              <w:rPr>
                <w:rStyle w:val="font101"/>
                <w:rFonts w:hint="eastAsia"/>
                <w:color w:val="auto"/>
              </w:rPr>
              <w:t>条形码数据库构建及物种鉴定技术研究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2019YFC1604702</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212.95</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6.39</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120</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水产品中有机物元素分析的应用开发与方法验证</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2018YFF01014003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40.8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1.22</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121</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中国水产科学研究院黄海水产研究所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循环水养殖清洁生产和绿色产品保障技术集成应用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 xml:space="preserve"> </w:t>
            </w:r>
            <w:r w:rsidRPr="00705DF8">
              <w:rPr>
                <w:rFonts w:ascii="宋体" w:hAnsi="宋体" w:cs="宋体"/>
                <w:kern w:val="0"/>
                <w:sz w:val="16"/>
                <w:szCs w:val="16"/>
              </w:rPr>
              <w:br/>
              <w:t>2020YFD0900603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142.71</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4.28</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0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122</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超浸润智能驱油体系定向输送机制及智能诱导体系研发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2019YFA0708703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529</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26.45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0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123</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盐下超深层碎屑岩规模储层成因与油气成藏机理</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2019YFC0605501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191.4</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9.57</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0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124</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膏盐层屏蔽下的超深层复杂构造成像技术</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2019YFC0605503</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182.9</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9.15</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40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125</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w:t>
            </w:r>
            <w:r w:rsidRPr="00705DF8">
              <w:rPr>
                <w:rStyle w:val="font212"/>
                <w:rFonts w:ascii="宋体" w:hAnsi="宋体" w:cs="宋体" w:hint="eastAsia"/>
                <w:color w:val="auto"/>
              </w:rPr>
              <w:t>“</w:t>
            </w:r>
            <w:r w:rsidRPr="00705DF8">
              <w:rPr>
                <w:rStyle w:val="font101"/>
                <w:rFonts w:hint="eastAsia"/>
                <w:color w:val="auto"/>
              </w:rPr>
              <w:t>互联网</w:t>
            </w:r>
            <w:r w:rsidRPr="00705DF8">
              <w:rPr>
                <w:rStyle w:val="font212"/>
                <w:rFonts w:ascii="宋体" w:hAnsi="宋体" w:cs="宋体"/>
                <w:color w:val="auto"/>
              </w:rPr>
              <w:t>+</w:t>
            </w:r>
            <w:r w:rsidRPr="00705DF8">
              <w:rPr>
                <w:rStyle w:val="font212"/>
                <w:rFonts w:ascii="宋体" w:hAnsi="宋体" w:cs="宋体" w:hint="eastAsia"/>
                <w:color w:val="auto"/>
              </w:rPr>
              <w:t>”</w:t>
            </w:r>
            <w:r w:rsidRPr="00705DF8">
              <w:rPr>
                <w:rStyle w:val="font101"/>
                <w:rFonts w:hint="eastAsia"/>
                <w:color w:val="auto"/>
              </w:rPr>
              <w:t>的海洋环境大数据存储云技术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2018YFC1406204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14</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0.7</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38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126</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重要海洋战略通道与战略支点环境安全决策支持技术与集成应用</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2017YFC1405606</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127</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地壳形变场、温度场、流体场耦合断层力学模型与协同机制研究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2019YFC1509204</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251.93</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7.56</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128</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甲醇制聚甲氧基二甲醚关键技术示范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2018YFB0604805</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4.88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0.15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63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129</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w:t>
            </w:r>
            <w:r w:rsidRPr="00705DF8">
              <w:rPr>
                <w:rStyle w:val="font212"/>
                <w:rFonts w:ascii="宋体" w:hAnsi="宋体" w:cs="宋体"/>
                <w:color w:val="auto"/>
              </w:rPr>
              <w:t xml:space="preserve"> QCL </w:t>
            </w:r>
            <w:r w:rsidRPr="00705DF8">
              <w:rPr>
                <w:rStyle w:val="font101"/>
                <w:rFonts w:hint="eastAsia"/>
                <w:color w:val="auto"/>
              </w:rPr>
              <w:t>的呼出气标</w:t>
            </w:r>
            <w:r w:rsidRPr="00705DF8">
              <w:rPr>
                <w:rStyle w:val="font212"/>
                <w:rFonts w:ascii="宋体" w:cs="宋体"/>
                <w:color w:val="auto"/>
              </w:rPr>
              <w:br/>
            </w:r>
            <w:r w:rsidRPr="00705DF8">
              <w:rPr>
                <w:rStyle w:val="font101"/>
                <w:rFonts w:hint="eastAsia"/>
                <w:color w:val="auto"/>
              </w:rPr>
              <w:t>志物分析装置的研制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2020YFB040</w:t>
            </w:r>
            <w:r w:rsidRPr="00705DF8">
              <w:rPr>
                <w:rFonts w:ascii="宋体" w:hAnsi="宋体" w:cs="宋体"/>
                <w:kern w:val="0"/>
                <w:sz w:val="16"/>
                <w:szCs w:val="16"/>
              </w:rPr>
              <w:br/>
              <w:t>8402</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211</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6.33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63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130</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245-4</w:t>
            </w:r>
            <w:r w:rsidRPr="00705DF8">
              <w:rPr>
                <w:rStyle w:val="font101"/>
                <w:rFonts w:hint="eastAsia"/>
                <w:color w:val="auto"/>
              </w:rPr>
              <w:t>项目</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74.55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2.24</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38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131</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中国石油大学（华东）</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水下生产系统数字化自主型预测与生产优化技术研究及应用示范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2019YFE0105100</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230</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11.5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132</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中国科学院青岛生物能源与过程研究所</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集成、精准创制高产转基因杨树新品系</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2018ZX08020-004-004</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27.36</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0.82</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133</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中国科学院青岛生物能源与过程研究所</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杨树高效、安全、规模化转基因技术</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2018ZX08020002-005</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60.55</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1.82</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134</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中国科学院青岛生物能源与过程研究所</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高能量密度固态电芯</w:t>
            </w:r>
            <w:r w:rsidRPr="00705DF8">
              <w:rPr>
                <w:rStyle w:val="font212"/>
                <w:rFonts w:ascii="宋体" w:hAnsi="宋体" w:cs="宋体"/>
                <w:color w:val="auto"/>
              </w:rPr>
              <w:t>/</w:t>
            </w:r>
            <w:r w:rsidRPr="00705DF8">
              <w:rPr>
                <w:rStyle w:val="font101"/>
                <w:rFonts w:hint="eastAsia"/>
                <w:color w:val="auto"/>
              </w:rPr>
              <w:t>系统设计、制造与示范验证</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2018YFB0104304</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255</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3.59</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135</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中国科学院青岛生物能源与过程研究所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基于复合电解质膜的固态锂硫电池产业化技术研发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2017YFE0127600</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85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4.25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136</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中国科学院青岛生物能源与过程研究所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水产品功效物质微生物合成技术与产品开发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2019YFD0901904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352</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10.56</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137</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中国科学院青岛生物能源与过程研究所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微藻神经酸的开发与碳代谢调控</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2018YFE0107200</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13.7</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0.41</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101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138</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山东科技大学</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深部超大断面密集分选碱室群围岩长期稳定控制技术</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2018YFCO604703</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109</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3.27</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59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139</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山东科技大学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浅浊水域底物与地质结构精细探测分辨计量标准装置及溯源技术研究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2018YFF0212203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31</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0.93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140</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山东科技大学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热动力灾害防控技术示范工程</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2018YFC0807906</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80</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2.4</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1479"/>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141</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山东科技大学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面向云架构的海洋数值预报系统运行特性评估技术研究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2018YFC1406203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0.45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142</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Style w:val="font71"/>
                <w:rFonts w:ascii="宋体" w:eastAsia="宋体" w:hAnsi="宋体" w:cs="宋体" w:hint="eastAsia"/>
                <w:color w:val="auto"/>
                <w:sz w:val="16"/>
                <w:szCs w:val="16"/>
              </w:rPr>
              <w:t>青岛理工大学</w:t>
            </w:r>
          </w:p>
        </w:tc>
        <w:tc>
          <w:tcPr>
            <w:tcW w:w="1915" w:type="dxa"/>
            <w:shd w:val="clear" w:color="auto" w:fill="FFFFFF"/>
            <w:vAlign w:val="center"/>
          </w:tcPr>
          <w:p w:rsidR="00355BF7" w:rsidRPr="00705DF8" w:rsidRDefault="00355BF7" w:rsidP="00A03ED9">
            <w:pPr>
              <w:widowControl/>
              <w:jc w:val="left"/>
              <w:textAlignment w:val="center"/>
              <w:rPr>
                <w:rFonts w:ascii="宋体" w:cs="宋体"/>
                <w:kern w:val="0"/>
                <w:sz w:val="16"/>
                <w:szCs w:val="16"/>
              </w:rPr>
            </w:pPr>
            <w:r w:rsidRPr="00705DF8">
              <w:rPr>
                <w:rFonts w:ascii="宋体" w:hAnsi="宋体" w:cs="宋体" w:hint="eastAsia"/>
                <w:kern w:val="0"/>
                <w:sz w:val="16"/>
                <w:szCs w:val="16"/>
              </w:rPr>
              <w:t>基于抗灾韧性的功能可恢复装配式减隔震结构体系关键技术研究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kern w:val="0"/>
                <w:sz w:val="16"/>
                <w:szCs w:val="16"/>
              </w:rPr>
            </w:pPr>
            <w:r w:rsidRPr="00705DF8">
              <w:rPr>
                <w:rFonts w:ascii="宋体" w:hAnsi="宋体" w:cs="宋体"/>
                <w:kern w:val="0"/>
                <w:sz w:val="16"/>
                <w:szCs w:val="16"/>
              </w:rPr>
              <w:t>2019YFE0112400</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20</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w:t>
            </w:r>
          </w:p>
        </w:tc>
        <w:tc>
          <w:tcPr>
            <w:tcW w:w="1515" w:type="dxa"/>
            <w:shd w:val="clear" w:color="auto" w:fill="FFFFFF"/>
            <w:vAlign w:val="center"/>
          </w:tcPr>
          <w:p w:rsidR="00355BF7" w:rsidRPr="00705DF8" w:rsidRDefault="00355BF7" w:rsidP="00A03ED9">
            <w:pPr>
              <w:widowControl/>
              <w:jc w:val="center"/>
              <w:textAlignment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143</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Style w:val="font71"/>
                <w:rFonts w:ascii="宋体" w:eastAsia="宋体" w:hAnsi="宋体" w:cs="宋体" w:hint="eastAsia"/>
                <w:color w:val="auto"/>
                <w:sz w:val="16"/>
                <w:szCs w:val="16"/>
              </w:rPr>
              <w:t>青岛理工大学</w:t>
            </w:r>
          </w:p>
        </w:tc>
        <w:tc>
          <w:tcPr>
            <w:tcW w:w="1915" w:type="dxa"/>
            <w:shd w:val="clear" w:color="auto" w:fill="FFFFFF"/>
            <w:vAlign w:val="center"/>
          </w:tcPr>
          <w:p w:rsidR="00355BF7" w:rsidRPr="00705DF8" w:rsidRDefault="00355BF7" w:rsidP="00A03ED9">
            <w:pPr>
              <w:widowControl/>
              <w:jc w:val="left"/>
              <w:textAlignment w:val="center"/>
              <w:rPr>
                <w:rFonts w:ascii="宋体" w:cs="宋体"/>
                <w:kern w:val="0"/>
                <w:sz w:val="16"/>
                <w:szCs w:val="16"/>
              </w:rPr>
            </w:pPr>
            <w:r w:rsidRPr="00705DF8">
              <w:rPr>
                <w:rFonts w:ascii="宋体" w:hAnsi="宋体" w:cs="宋体" w:hint="eastAsia"/>
                <w:kern w:val="0"/>
                <w:sz w:val="16"/>
                <w:szCs w:val="16"/>
              </w:rPr>
              <w:t>基于超快拉曼热测量的过渡金属硫化物界面能量传递基础问题研究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kern w:val="0"/>
                <w:sz w:val="16"/>
                <w:szCs w:val="16"/>
              </w:rPr>
            </w:pPr>
            <w:r w:rsidRPr="00705DF8">
              <w:rPr>
                <w:rFonts w:ascii="宋体" w:hAnsi="宋体" w:cs="宋体"/>
                <w:kern w:val="0"/>
                <w:sz w:val="16"/>
                <w:szCs w:val="16"/>
              </w:rPr>
              <w:t>2019YFE0119900</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25.3</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1.27</w:t>
            </w:r>
          </w:p>
        </w:tc>
        <w:tc>
          <w:tcPr>
            <w:tcW w:w="1515" w:type="dxa"/>
            <w:shd w:val="clear" w:color="auto" w:fill="FFFFFF"/>
            <w:vAlign w:val="center"/>
          </w:tcPr>
          <w:p w:rsidR="00355BF7" w:rsidRPr="00705DF8" w:rsidRDefault="00355BF7" w:rsidP="00A03ED9">
            <w:pPr>
              <w:widowControl/>
              <w:jc w:val="center"/>
              <w:textAlignment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144</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山东省科学院海洋仪器仪表研究所</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深海温、盐、深、流传感器关键技术研究及工程化开发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2018YFF01014101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240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145</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山东省海洋生物研究院</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近海生物多样性保护与资源养护技术示范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2018YFC1406406</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31.31</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0.94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146</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青岛农业大学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鲁东丘陵区小麦</w:t>
            </w:r>
            <w:r w:rsidRPr="00705DF8">
              <w:rPr>
                <w:rFonts w:ascii="宋体" w:cs="宋体"/>
                <w:kern w:val="0"/>
                <w:sz w:val="16"/>
                <w:szCs w:val="16"/>
              </w:rPr>
              <w:t>-</w:t>
            </w:r>
            <w:r w:rsidRPr="00705DF8">
              <w:rPr>
                <w:rFonts w:ascii="宋体" w:hAnsi="宋体" w:cs="宋体" w:hint="eastAsia"/>
                <w:kern w:val="0"/>
                <w:sz w:val="16"/>
                <w:szCs w:val="16"/>
              </w:rPr>
              <w:t>玉米全程机械化抗旱减灾技术集成与示范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2018YFD0300604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112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3.36</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青岛农业大学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鲜切果蔬品质与营养保持工艺及设备研究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2018YFD0700303</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15.54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0.47</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青岛农业大学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水产动物重要病原及其生物学特征与毒力基础</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2018YFD0900501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234</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7.02</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149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青岛科技大学</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开放式大规模定制生产网络化协同制造平台架构及共性关键技术研究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2018YFB1702902</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60.7765</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1.82</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150</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青岛科技大学</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裂解固相产物在轮胎中高效再利用技术</w:t>
            </w:r>
          </w:p>
        </w:tc>
        <w:tc>
          <w:tcPr>
            <w:tcW w:w="1847" w:type="dxa"/>
            <w:shd w:val="clear" w:color="auto" w:fill="FFFFFF"/>
            <w:noWrap/>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2018YFC1902604</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77.5</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2.33</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63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151</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青岛海尔智家股份有限公司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支持大规模定制生产方式的制造企业网络协同制造发展模式研究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2018YFB1702901</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45.04</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2.25</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152</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青岛海尔工业智能研究院有限公司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支持大规模定制生产方式的制造企业网络协同制造发展模式研究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2018YFB1702904</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100.73</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3.02</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84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153</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青岛蓝智现代服务业数字工程技术研究中心</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区域网络协同制造发展模式及关键支撑技术研究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2019YFB1707001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134.48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4.03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154</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青岛鹏海软件有限公司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智能工厂管控平台研发及应用示范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2019YFB1717002</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76.21</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2.29</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9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155</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青岛海尔智能技术研发有限公司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智慧企业网络协同制造集成平台研发及应用示</w:t>
            </w:r>
            <w:r w:rsidRPr="00705DF8">
              <w:rPr>
                <w:rStyle w:val="font212"/>
                <w:rFonts w:ascii="宋体" w:cs="宋体"/>
                <w:color w:val="auto"/>
              </w:rPr>
              <w:br/>
            </w:r>
            <w:r w:rsidRPr="00705DF8">
              <w:rPr>
                <w:rStyle w:val="font101"/>
                <w:rFonts w:hint="eastAsia"/>
                <w:color w:val="auto"/>
              </w:rPr>
              <w:t>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2019YFB1707003</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38.56</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1.93</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156</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青岛海尔智能技术研发有限公司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个性化产品众包设计平台开发及典型应用验证</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2018YFB1700805</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28.38</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0.85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80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157</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海信集团有限公司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高速率高线性度电吸收调制激光器阵列芯片</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2018YFB2200701</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38.475</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sz w:val="16"/>
                <w:szCs w:val="16"/>
              </w:rPr>
              <w:t>1.92</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80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158</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海信集团有限公司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 xml:space="preserve">400Gb/s </w:t>
            </w:r>
            <w:r w:rsidRPr="00705DF8">
              <w:rPr>
                <w:rStyle w:val="font101"/>
                <w:rFonts w:hint="eastAsia"/>
                <w:color w:val="auto"/>
              </w:rPr>
              <w:t>光收发模块开发及系统演示</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2018YFB2200704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39.54</w:t>
            </w:r>
          </w:p>
        </w:tc>
        <w:tc>
          <w:tcPr>
            <w:tcW w:w="584" w:type="dxa"/>
            <w:vAlign w:val="center"/>
          </w:tcPr>
          <w:p w:rsidR="00355BF7" w:rsidRPr="00705DF8" w:rsidRDefault="00355BF7" w:rsidP="00A03ED9">
            <w:pPr>
              <w:jc w:val="center"/>
              <w:rPr>
                <w:rFonts w:ascii="宋体" w:cs="宋体"/>
                <w:sz w:val="16"/>
                <w:szCs w:val="16"/>
              </w:rPr>
            </w:pPr>
            <w:r w:rsidRPr="00705DF8">
              <w:rPr>
                <w:rFonts w:ascii="宋体" w:hAnsi="宋体" w:cs="宋体"/>
                <w:sz w:val="16"/>
                <w:szCs w:val="16"/>
              </w:rPr>
              <w:t>0.05</w:t>
            </w:r>
          </w:p>
        </w:tc>
        <w:tc>
          <w:tcPr>
            <w:tcW w:w="862" w:type="dxa"/>
            <w:vAlign w:val="center"/>
          </w:tcPr>
          <w:p w:rsidR="00355BF7" w:rsidRPr="00705DF8" w:rsidRDefault="00355BF7" w:rsidP="00A03ED9">
            <w:pPr>
              <w:jc w:val="left"/>
              <w:rPr>
                <w:rFonts w:ascii="宋体" w:cs="宋体"/>
                <w:sz w:val="16"/>
                <w:szCs w:val="16"/>
              </w:rPr>
            </w:pPr>
            <w:r w:rsidRPr="00705DF8">
              <w:rPr>
                <w:rFonts w:ascii="宋体" w:hAnsi="宋体" w:cs="宋体"/>
                <w:sz w:val="16"/>
                <w:szCs w:val="16"/>
              </w:rPr>
              <w:t>1.98</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159</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海信集团有限公司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光电芯片高频微光学封装技术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2018YFB2200804</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62.3252</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1.87</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160</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海信集团有限公司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可持续、可复制的智能物联开放平台及社区融合服务应用示范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2019YFB2102405</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297</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8.91</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42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161</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海信视像科技股份有限公司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 xml:space="preserve">Micro-LED </w:t>
            </w:r>
            <w:r w:rsidRPr="00705DF8">
              <w:rPr>
                <w:rFonts w:ascii="宋体" w:hAnsi="宋体" w:cs="宋体" w:hint="eastAsia"/>
                <w:kern w:val="0"/>
                <w:sz w:val="16"/>
                <w:szCs w:val="16"/>
              </w:rPr>
              <w:t>显示关键技术研究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2019YFE0121800</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24.86</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2.49</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162</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青岛海信网络科技股份有限公司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路网容量约束下的区域拥堵热点主动均衡动态调控技术</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2018YFB1601004</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76</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2.28</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163</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青岛海信宽带多媒体技术有限公司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高速半导体激光器芯片技术</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2019ZX01005101-001</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3246.78</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30</w:t>
            </w:r>
          </w:p>
        </w:tc>
        <w:tc>
          <w:tcPr>
            <w:tcW w:w="1515"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单个项目奖励不超过</w:t>
            </w:r>
            <w:r w:rsidRPr="00705DF8">
              <w:rPr>
                <w:rFonts w:ascii="宋体" w:hAnsi="宋体" w:cs="宋体"/>
                <w:kern w:val="0"/>
                <w:sz w:val="16"/>
                <w:szCs w:val="16"/>
              </w:rPr>
              <w:t>30</w:t>
            </w:r>
            <w:r w:rsidRPr="00705DF8">
              <w:rPr>
                <w:rFonts w:ascii="宋体" w:hAnsi="宋体" w:cs="宋体" w:hint="eastAsia"/>
                <w:kern w:val="0"/>
                <w:sz w:val="16"/>
                <w:szCs w:val="16"/>
              </w:rPr>
              <w:t>万元</w:t>
            </w:r>
          </w:p>
        </w:tc>
      </w:tr>
      <w:tr w:rsidR="00355BF7" w:rsidRPr="00705DF8" w:rsidTr="00A03ED9">
        <w:trPr>
          <w:trHeight w:val="570"/>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164</w:t>
            </w:r>
          </w:p>
        </w:tc>
        <w:tc>
          <w:tcPr>
            <w:tcW w:w="117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青岛建华食品机械制造有限公司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畜禽类肉品高效精准机器人自主分割系统</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2019YFB1311004</w:t>
            </w:r>
          </w:p>
        </w:tc>
        <w:tc>
          <w:tcPr>
            <w:tcW w:w="900"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w:t>
            </w:r>
          </w:p>
        </w:tc>
        <w:tc>
          <w:tcPr>
            <w:tcW w:w="584"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10.05</w:t>
            </w:r>
          </w:p>
        </w:tc>
        <w:tc>
          <w:tcPr>
            <w:tcW w:w="1515" w:type="dxa"/>
            <w:shd w:val="clear" w:color="auto" w:fill="FFFFFF"/>
            <w:vAlign w:val="center"/>
          </w:tcPr>
          <w:p w:rsidR="00355BF7" w:rsidRPr="00705DF8" w:rsidRDefault="00355BF7" w:rsidP="00A03ED9">
            <w:pPr>
              <w:jc w:val="left"/>
              <w:rPr>
                <w:rFonts w:ascii="宋体" w:cs="宋体"/>
                <w:sz w:val="16"/>
                <w:szCs w:val="16"/>
              </w:rPr>
            </w:pPr>
          </w:p>
        </w:tc>
      </w:tr>
      <w:tr w:rsidR="00355BF7" w:rsidRPr="00705DF8" w:rsidTr="00A03ED9">
        <w:trPr>
          <w:trHeight w:val="76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165</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青岛博益特生物材料股份有限公司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医用羧甲基壳聚糖绿色规模化生产及止血愈创产品研发</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2018YFC1105602</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49.64</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1.49</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570"/>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166</w:t>
            </w:r>
          </w:p>
        </w:tc>
        <w:tc>
          <w:tcPr>
            <w:tcW w:w="117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青岛国数信息科技有限公司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w:t>
            </w:r>
            <w:r w:rsidRPr="00705DF8">
              <w:rPr>
                <w:rStyle w:val="font101"/>
                <w:rFonts w:hint="eastAsia"/>
                <w:color w:val="auto"/>
              </w:rPr>
              <w:t>环境探测激光雷达技术</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w:t>
            </w:r>
          </w:p>
        </w:tc>
        <w:tc>
          <w:tcPr>
            <w:tcW w:w="900"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405</w:t>
            </w:r>
          </w:p>
        </w:tc>
        <w:tc>
          <w:tcPr>
            <w:tcW w:w="584"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0.05</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20.25</w:t>
            </w:r>
          </w:p>
        </w:tc>
        <w:tc>
          <w:tcPr>
            <w:tcW w:w="1515" w:type="dxa"/>
            <w:vAlign w:val="center"/>
          </w:tcPr>
          <w:p w:rsidR="00355BF7" w:rsidRPr="00705DF8" w:rsidRDefault="00355BF7" w:rsidP="00A03ED9">
            <w:pPr>
              <w:jc w:val="left"/>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双星集团有限责任公司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连续高效裂解装备系统集成示范与商业化推广</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2018YFC1902605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67.9</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上海医药集团青岛国风药业股份有限公司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中医经典名方“大建中汤”的新药开发研究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2018ZX09721004-011</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16.03</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0.48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169</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青岛钰仁医疗科技有限公司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单侧双通脊柱微创手术系统产业化研究</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2019YFC0121405</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93.64</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4.68</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170</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青岛明月海藻集团有限公司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医用级海洋源生物材料绿色规模化生产及先进功能产品研发</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2018YFC1105600</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66.54</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3.33</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171</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青岛佳明测控科技股份有限公司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气相分子发射光谱分析关键技术及部件研制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2018YFF01011702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305.96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9.18</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172</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青岛国奥源华晟生物科技集团有限公司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应对新冠肺炎的间充质干细胞治疗研究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2020YFC0844000</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50</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1.5</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173</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青岛港国际股份有限公司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基于新一代通讯技术的远程可视化实时在线运维管理系统</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2019YFB1704404</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218</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6.54</w:t>
            </w:r>
          </w:p>
        </w:tc>
        <w:tc>
          <w:tcPr>
            <w:tcW w:w="1515" w:type="dxa"/>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174</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青岛港国际股份有限公司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超大型综合港口智能运营决策平台研发与应用</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2020YFB1710805</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312.75</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0.05</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15.64</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175</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青岛博益特生物材料股份有限公司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医用羧甲基壳聚糖绿色规模化生产及止血愈创产品研发</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2018YFC1105602</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49.64</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1.49</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176</w:t>
            </w:r>
          </w:p>
        </w:tc>
        <w:tc>
          <w:tcPr>
            <w:tcW w:w="1177"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中车青岛四方车辆研究所有限公司</w:t>
            </w:r>
          </w:p>
        </w:tc>
        <w:tc>
          <w:tcPr>
            <w:tcW w:w="1915"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地下基础设施多感官机器人智能巡检技术</w:t>
            </w:r>
          </w:p>
        </w:tc>
        <w:tc>
          <w:tcPr>
            <w:tcW w:w="1847"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2018YFB2101004</w:t>
            </w:r>
          </w:p>
        </w:tc>
        <w:tc>
          <w:tcPr>
            <w:tcW w:w="900"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83.95</w:t>
            </w:r>
          </w:p>
        </w:tc>
        <w:tc>
          <w:tcPr>
            <w:tcW w:w="584" w:type="dxa"/>
            <w:shd w:val="clear" w:color="auto" w:fill="FFFFFF"/>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shd w:val="clear" w:color="auto" w:fill="FFFFFF"/>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2.52</w:t>
            </w:r>
          </w:p>
        </w:tc>
        <w:tc>
          <w:tcPr>
            <w:tcW w:w="1515" w:type="dxa"/>
            <w:shd w:val="clear" w:color="auto" w:fill="FFFFFF"/>
            <w:vAlign w:val="center"/>
          </w:tcPr>
          <w:p w:rsidR="00355BF7" w:rsidRPr="00705DF8" w:rsidRDefault="00355BF7" w:rsidP="00A03ED9">
            <w:pPr>
              <w:jc w:val="center"/>
              <w:rPr>
                <w:rFonts w:ascii="宋体" w:cs="宋体"/>
                <w:sz w:val="16"/>
                <w:szCs w:val="16"/>
              </w:rPr>
            </w:pP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177</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中车青岛四方车辆研究所有限公司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轴承综合评估试验技术研究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2018YFB1201904-02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32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cs="宋体"/>
                <w:kern w:val="0"/>
                <w:sz w:val="16"/>
                <w:szCs w:val="16"/>
              </w:rPr>
              <w:t>0</w:t>
            </w:r>
          </w:p>
        </w:tc>
        <w:tc>
          <w:tcPr>
            <w:tcW w:w="1515"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子课题不予奖励</w:t>
            </w: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178</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中车青岛四方车辆研究所有限公司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产品服务生命周期集成管理应用示范</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2018YFB1702605</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90.2</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cs="宋体"/>
                <w:kern w:val="0"/>
                <w:sz w:val="16"/>
                <w:szCs w:val="16"/>
              </w:rPr>
              <w:t>0</w:t>
            </w:r>
          </w:p>
        </w:tc>
        <w:tc>
          <w:tcPr>
            <w:tcW w:w="1515"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子课题不予奖励</w:t>
            </w:r>
          </w:p>
        </w:tc>
      </w:tr>
      <w:tr w:rsidR="00355BF7" w:rsidRPr="00705DF8" w:rsidTr="00A03ED9">
        <w:trPr>
          <w:trHeight w:val="1002"/>
        </w:trPr>
        <w:tc>
          <w:tcPr>
            <w:tcW w:w="708"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179</w:t>
            </w:r>
          </w:p>
        </w:tc>
        <w:tc>
          <w:tcPr>
            <w:tcW w:w="1177"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中车青岛四方车辆研究所有限公司</w:t>
            </w:r>
          </w:p>
        </w:tc>
        <w:tc>
          <w:tcPr>
            <w:tcW w:w="1915"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hint="eastAsia"/>
                <w:kern w:val="0"/>
                <w:sz w:val="16"/>
                <w:szCs w:val="16"/>
              </w:rPr>
              <w:t>数据驱动的产品服务关键技术研究</w:t>
            </w:r>
          </w:p>
        </w:tc>
        <w:tc>
          <w:tcPr>
            <w:tcW w:w="1847"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hAnsi="宋体" w:cs="宋体"/>
                <w:kern w:val="0"/>
                <w:sz w:val="16"/>
                <w:szCs w:val="16"/>
              </w:rPr>
              <w:t>2018YFB1702602</w:t>
            </w:r>
          </w:p>
        </w:tc>
        <w:tc>
          <w:tcPr>
            <w:tcW w:w="900"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55.26</w:t>
            </w:r>
          </w:p>
        </w:tc>
        <w:tc>
          <w:tcPr>
            <w:tcW w:w="584"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kern w:val="0"/>
                <w:sz w:val="16"/>
                <w:szCs w:val="16"/>
              </w:rPr>
              <w:t>0.03</w:t>
            </w:r>
          </w:p>
        </w:tc>
        <w:tc>
          <w:tcPr>
            <w:tcW w:w="862" w:type="dxa"/>
            <w:vAlign w:val="center"/>
          </w:tcPr>
          <w:p w:rsidR="00355BF7" w:rsidRPr="00705DF8" w:rsidRDefault="00355BF7" w:rsidP="00A03ED9">
            <w:pPr>
              <w:widowControl/>
              <w:jc w:val="left"/>
              <w:textAlignment w:val="center"/>
              <w:rPr>
                <w:rFonts w:ascii="宋体" w:cs="宋体"/>
                <w:sz w:val="16"/>
                <w:szCs w:val="16"/>
              </w:rPr>
            </w:pPr>
            <w:r w:rsidRPr="00705DF8">
              <w:rPr>
                <w:rFonts w:ascii="宋体" w:cs="宋体"/>
                <w:kern w:val="0"/>
                <w:sz w:val="16"/>
                <w:szCs w:val="16"/>
              </w:rPr>
              <w:t>0</w:t>
            </w:r>
          </w:p>
        </w:tc>
        <w:tc>
          <w:tcPr>
            <w:tcW w:w="1515" w:type="dxa"/>
            <w:vAlign w:val="center"/>
          </w:tcPr>
          <w:p w:rsidR="00355BF7" w:rsidRPr="00705DF8" w:rsidRDefault="00355BF7" w:rsidP="00A03ED9">
            <w:pPr>
              <w:widowControl/>
              <w:jc w:val="center"/>
              <w:textAlignment w:val="center"/>
              <w:rPr>
                <w:rFonts w:ascii="宋体" w:cs="宋体"/>
                <w:sz w:val="16"/>
                <w:szCs w:val="16"/>
              </w:rPr>
            </w:pPr>
            <w:r w:rsidRPr="00705DF8">
              <w:rPr>
                <w:rFonts w:ascii="宋体" w:hAnsi="宋体" w:cs="宋体" w:hint="eastAsia"/>
                <w:kern w:val="0"/>
                <w:sz w:val="16"/>
                <w:szCs w:val="16"/>
              </w:rPr>
              <w:t>子课题不予奖励</w:t>
            </w:r>
          </w:p>
        </w:tc>
      </w:tr>
      <w:bookmarkEnd w:id="0"/>
    </w:tbl>
    <w:p w:rsidR="00355BF7" w:rsidRDefault="00355BF7" w:rsidP="00705DF8">
      <w:pPr>
        <w:spacing w:line="560" w:lineRule="exact"/>
        <w:rPr>
          <w:rFonts w:ascii="方正小标宋_GBK" w:eastAsia="方正小标宋_GBK"/>
          <w:sz w:val="44"/>
          <w:szCs w:val="44"/>
        </w:rPr>
      </w:pPr>
    </w:p>
    <w:p w:rsidR="00355BF7" w:rsidRDefault="00355BF7" w:rsidP="00705DF8">
      <w:pPr>
        <w:spacing w:line="560" w:lineRule="exac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t>附件</w:t>
      </w:r>
      <w:r>
        <w:rPr>
          <w:rFonts w:ascii="黑体" w:eastAsia="黑体" w:hAnsi="黑体"/>
          <w:sz w:val="32"/>
          <w:szCs w:val="32"/>
        </w:rPr>
        <w:t>2</w:t>
      </w:r>
    </w:p>
    <w:p w:rsidR="00355BF7" w:rsidRDefault="00355BF7" w:rsidP="00705DF8">
      <w:pPr>
        <w:spacing w:line="560" w:lineRule="exact"/>
        <w:rPr>
          <w:rFonts w:ascii="黑体" w:eastAsia="黑体" w:hAnsi="黑体"/>
          <w:sz w:val="32"/>
          <w:szCs w:val="32"/>
        </w:rPr>
      </w:pPr>
    </w:p>
    <w:p w:rsidR="00355BF7" w:rsidRDefault="00355BF7" w:rsidP="00705DF8">
      <w:pPr>
        <w:spacing w:line="560" w:lineRule="exact"/>
        <w:jc w:val="center"/>
        <w:rPr>
          <w:rFonts w:ascii="方正小标宋_GBK" w:eastAsia="方正小标宋_GBK"/>
          <w:sz w:val="44"/>
          <w:szCs w:val="44"/>
        </w:rPr>
      </w:pPr>
      <w:r>
        <w:rPr>
          <w:rFonts w:ascii="方正小标宋_GBK" w:eastAsia="方正小标宋_GBK" w:hint="eastAsia"/>
          <w:spacing w:val="-2"/>
          <w:sz w:val="44"/>
          <w:szCs w:val="44"/>
        </w:rPr>
        <w:t>国家重点科研项目奖励资金</w:t>
      </w:r>
      <w:r>
        <w:rPr>
          <w:rFonts w:ascii="方正小标宋_GBK" w:eastAsia="方正小标宋_GBK" w:hint="eastAsia"/>
          <w:sz w:val="44"/>
          <w:szCs w:val="44"/>
        </w:rPr>
        <w:t>审核专家名单</w:t>
      </w:r>
    </w:p>
    <w:p w:rsidR="00355BF7" w:rsidRPr="00F00122" w:rsidRDefault="00355BF7" w:rsidP="00705DF8">
      <w:pPr>
        <w:spacing w:line="560" w:lineRule="exact"/>
        <w:jc w:val="center"/>
        <w:rPr>
          <w:rFonts w:ascii="仿宋_GB2312" w:eastAsia="仿宋_GB2312"/>
          <w:sz w:val="32"/>
          <w:szCs w:val="32"/>
        </w:rPr>
      </w:pPr>
      <w:r w:rsidRPr="00F00122">
        <w:rPr>
          <w:rFonts w:ascii="仿宋_GB2312" w:eastAsia="仿宋_GB2312" w:hint="eastAsia"/>
          <w:sz w:val="32"/>
          <w:szCs w:val="32"/>
        </w:rPr>
        <w:t>第一组</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1276"/>
        <w:gridCol w:w="4678"/>
        <w:gridCol w:w="2008"/>
      </w:tblGrid>
      <w:tr w:rsidR="00355BF7" w:rsidTr="00A03ED9">
        <w:trPr>
          <w:trHeight w:hRule="exact" w:val="680"/>
        </w:trPr>
        <w:tc>
          <w:tcPr>
            <w:tcW w:w="992" w:type="dxa"/>
            <w:vAlign w:val="center"/>
          </w:tcPr>
          <w:p w:rsidR="00355BF7" w:rsidRDefault="00355BF7" w:rsidP="00A03ED9">
            <w:pPr>
              <w:spacing w:line="560" w:lineRule="exact"/>
              <w:jc w:val="center"/>
              <w:rPr>
                <w:rFonts w:ascii="黑体" w:eastAsia="黑体" w:hAnsi="黑体" w:cs="黑体"/>
                <w:bCs/>
                <w:kern w:val="36"/>
                <w:sz w:val="32"/>
                <w:szCs w:val="32"/>
              </w:rPr>
            </w:pPr>
            <w:r>
              <w:rPr>
                <w:rFonts w:ascii="黑体" w:eastAsia="黑体" w:hAnsi="黑体" w:cs="黑体" w:hint="eastAsia"/>
                <w:bCs/>
                <w:sz w:val="32"/>
                <w:szCs w:val="32"/>
              </w:rPr>
              <w:t>序号</w:t>
            </w:r>
          </w:p>
        </w:tc>
        <w:tc>
          <w:tcPr>
            <w:tcW w:w="1276"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姓</w:t>
            </w:r>
            <w:r>
              <w:rPr>
                <w:rFonts w:ascii="黑体" w:eastAsia="黑体" w:hAnsi="黑体" w:cs="黑体"/>
                <w:bCs/>
                <w:sz w:val="32"/>
                <w:szCs w:val="32"/>
              </w:rPr>
              <w:t xml:space="preserve">  </w:t>
            </w:r>
            <w:r>
              <w:rPr>
                <w:rFonts w:ascii="黑体" w:eastAsia="黑体" w:hAnsi="黑体" w:cs="黑体" w:hint="eastAsia"/>
                <w:bCs/>
                <w:sz w:val="32"/>
                <w:szCs w:val="32"/>
              </w:rPr>
              <w:t>名</w:t>
            </w:r>
          </w:p>
        </w:tc>
        <w:tc>
          <w:tcPr>
            <w:tcW w:w="4678"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工</w:t>
            </w:r>
            <w:r>
              <w:rPr>
                <w:rFonts w:ascii="黑体" w:eastAsia="黑体" w:hAnsi="黑体" w:cs="黑体"/>
                <w:bCs/>
                <w:sz w:val="32"/>
                <w:szCs w:val="32"/>
              </w:rPr>
              <w:t xml:space="preserve">  </w:t>
            </w:r>
            <w:r>
              <w:rPr>
                <w:rFonts w:ascii="黑体" w:eastAsia="黑体" w:hAnsi="黑体" w:cs="黑体" w:hint="eastAsia"/>
                <w:bCs/>
                <w:sz w:val="32"/>
                <w:szCs w:val="32"/>
              </w:rPr>
              <w:t>作</w:t>
            </w:r>
            <w:r>
              <w:rPr>
                <w:rFonts w:ascii="黑体" w:eastAsia="黑体" w:hAnsi="黑体" w:cs="黑体"/>
                <w:bCs/>
                <w:sz w:val="32"/>
                <w:szCs w:val="32"/>
              </w:rPr>
              <w:t xml:space="preserve">  </w:t>
            </w:r>
            <w:r>
              <w:rPr>
                <w:rFonts w:ascii="黑体" w:eastAsia="黑体" w:hAnsi="黑体" w:cs="黑体" w:hint="eastAsia"/>
                <w:bCs/>
                <w:sz w:val="32"/>
                <w:szCs w:val="32"/>
              </w:rPr>
              <w:t>单</w:t>
            </w:r>
            <w:r>
              <w:rPr>
                <w:rFonts w:ascii="黑体" w:eastAsia="黑体" w:hAnsi="黑体" w:cs="黑体"/>
                <w:bCs/>
                <w:sz w:val="32"/>
                <w:szCs w:val="32"/>
              </w:rPr>
              <w:t xml:space="preserve">  </w:t>
            </w:r>
            <w:r>
              <w:rPr>
                <w:rFonts w:ascii="黑体" w:eastAsia="黑体" w:hAnsi="黑体" w:cs="黑体" w:hint="eastAsia"/>
                <w:bCs/>
                <w:sz w:val="32"/>
                <w:szCs w:val="32"/>
              </w:rPr>
              <w:t>位</w:t>
            </w:r>
          </w:p>
        </w:tc>
        <w:tc>
          <w:tcPr>
            <w:tcW w:w="2008"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职</w:t>
            </w:r>
            <w:r>
              <w:rPr>
                <w:rFonts w:ascii="黑体" w:eastAsia="黑体" w:hAnsi="黑体" w:cs="黑体"/>
                <w:bCs/>
                <w:sz w:val="32"/>
                <w:szCs w:val="32"/>
              </w:rPr>
              <w:t xml:space="preserve">  </w:t>
            </w:r>
            <w:r>
              <w:rPr>
                <w:rFonts w:ascii="黑体" w:eastAsia="黑体" w:hAnsi="黑体" w:cs="黑体" w:hint="eastAsia"/>
                <w:bCs/>
                <w:sz w:val="32"/>
                <w:szCs w:val="32"/>
              </w:rPr>
              <w:t>务</w:t>
            </w:r>
          </w:p>
        </w:tc>
      </w:tr>
      <w:tr w:rsidR="00355BF7"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1</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楚电峰</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易邦生物工程有限公司</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研发总监</w:t>
            </w:r>
          </w:p>
        </w:tc>
      </w:tr>
      <w:tr w:rsidR="00355BF7"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2</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于淑娥</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青岛社会科学院</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研究员</w:t>
            </w:r>
          </w:p>
        </w:tc>
      </w:tr>
      <w:tr w:rsidR="00355BF7"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3</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王海鹏</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青岛兰德有限责任会计师事务所</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注册会计师</w:t>
            </w:r>
          </w:p>
        </w:tc>
      </w:tr>
    </w:tbl>
    <w:p w:rsidR="00355BF7" w:rsidRDefault="00355BF7" w:rsidP="00705DF8">
      <w:pPr>
        <w:spacing w:line="560" w:lineRule="exact"/>
        <w:jc w:val="center"/>
        <w:rPr>
          <w:rFonts w:ascii="黑体" w:eastAsia="黑体" w:hAnsi="黑体"/>
          <w:sz w:val="32"/>
          <w:szCs w:val="32"/>
        </w:rPr>
      </w:pPr>
      <w:r w:rsidRPr="00F00122">
        <w:rPr>
          <w:rFonts w:ascii="仿宋_GB2312" w:eastAsia="仿宋_GB2312" w:hint="eastAsia"/>
          <w:sz w:val="32"/>
          <w:szCs w:val="32"/>
        </w:rPr>
        <w:t>第</w:t>
      </w:r>
      <w:r>
        <w:rPr>
          <w:rFonts w:ascii="仿宋_GB2312" w:eastAsia="仿宋_GB2312" w:hint="eastAsia"/>
          <w:sz w:val="32"/>
          <w:szCs w:val="32"/>
        </w:rPr>
        <w:t>二</w:t>
      </w:r>
      <w:r w:rsidRPr="00F00122">
        <w:rPr>
          <w:rFonts w:ascii="仿宋_GB2312" w:eastAsia="仿宋_GB2312" w:hint="eastAsia"/>
          <w:sz w:val="32"/>
          <w:szCs w:val="32"/>
        </w:rPr>
        <w:t>组</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1276"/>
        <w:gridCol w:w="4678"/>
        <w:gridCol w:w="2008"/>
      </w:tblGrid>
      <w:tr w:rsidR="00355BF7" w:rsidTr="00A03ED9">
        <w:trPr>
          <w:trHeight w:hRule="exact" w:val="680"/>
        </w:trPr>
        <w:tc>
          <w:tcPr>
            <w:tcW w:w="992" w:type="dxa"/>
            <w:vAlign w:val="center"/>
          </w:tcPr>
          <w:p w:rsidR="00355BF7" w:rsidRDefault="00355BF7" w:rsidP="00A03ED9">
            <w:pPr>
              <w:spacing w:line="560" w:lineRule="exact"/>
              <w:jc w:val="center"/>
              <w:rPr>
                <w:rFonts w:ascii="黑体" w:eastAsia="黑体" w:hAnsi="黑体" w:cs="黑体"/>
                <w:bCs/>
                <w:kern w:val="36"/>
                <w:sz w:val="32"/>
                <w:szCs w:val="32"/>
              </w:rPr>
            </w:pPr>
            <w:r>
              <w:rPr>
                <w:rFonts w:ascii="黑体" w:eastAsia="黑体" w:hAnsi="黑体" w:cs="黑体" w:hint="eastAsia"/>
                <w:bCs/>
                <w:sz w:val="32"/>
                <w:szCs w:val="32"/>
              </w:rPr>
              <w:t>序号</w:t>
            </w:r>
          </w:p>
        </w:tc>
        <w:tc>
          <w:tcPr>
            <w:tcW w:w="1276"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姓</w:t>
            </w:r>
            <w:r>
              <w:rPr>
                <w:rFonts w:ascii="黑体" w:eastAsia="黑体" w:hAnsi="黑体" w:cs="黑体"/>
                <w:bCs/>
                <w:sz w:val="32"/>
                <w:szCs w:val="32"/>
              </w:rPr>
              <w:t xml:space="preserve">  </w:t>
            </w:r>
            <w:r>
              <w:rPr>
                <w:rFonts w:ascii="黑体" w:eastAsia="黑体" w:hAnsi="黑体" w:cs="黑体" w:hint="eastAsia"/>
                <w:bCs/>
                <w:sz w:val="32"/>
                <w:szCs w:val="32"/>
              </w:rPr>
              <w:t>名</w:t>
            </w:r>
          </w:p>
        </w:tc>
        <w:tc>
          <w:tcPr>
            <w:tcW w:w="4678"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工</w:t>
            </w:r>
            <w:r>
              <w:rPr>
                <w:rFonts w:ascii="黑体" w:eastAsia="黑体" w:hAnsi="黑体" w:cs="黑体"/>
                <w:bCs/>
                <w:sz w:val="32"/>
                <w:szCs w:val="32"/>
              </w:rPr>
              <w:t xml:space="preserve">  </w:t>
            </w:r>
            <w:r>
              <w:rPr>
                <w:rFonts w:ascii="黑体" w:eastAsia="黑体" w:hAnsi="黑体" w:cs="黑体" w:hint="eastAsia"/>
                <w:bCs/>
                <w:sz w:val="32"/>
                <w:szCs w:val="32"/>
              </w:rPr>
              <w:t>作</w:t>
            </w:r>
            <w:r>
              <w:rPr>
                <w:rFonts w:ascii="黑体" w:eastAsia="黑体" w:hAnsi="黑体" w:cs="黑体"/>
                <w:bCs/>
                <w:sz w:val="32"/>
                <w:szCs w:val="32"/>
              </w:rPr>
              <w:t xml:space="preserve">  </w:t>
            </w:r>
            <w:r>
              <w:rPr>
                <w:rFonts w:ascii="黑体" w:eastAsia="黑体" w:hAnsi="黑体" w:cs="黑体" w:hint="eastAsia"/>
                <w:bCs/>
                <w:sz w:val="32"/>
                <w:szCs w:val="32"/>
              </w:rPr>
              <w:t>单</w:t>
            </w:r>
            <w:r>
              <w:rPr>
                <w:rFonts w:ascii="黑体" w:eastAsia="黑体" w:hAnsi="黑体" w:cs="黑体"/>
                <w:bCs/>
                <w:sz w:val="32"/>
                <w:szCs w:val="32"/>
              </w:rPr>
              <w:t xml:space="preserve">  </w:t>
            </w:r>
            <w:r>
              <w:rPr>
                <w:rFonts w:ascii="黑体" w:eastAsia="黑体" w:hAnsi="黑体" w:cs="黑体" w:hint="eastAsia"/>
                <w:bCs/>
                <w:sz w:val="32"/>
                <w:szCs w:val="32"/>
              </w:rPr>
              <w:t>位</w:t>
            </w:r>
          </w:p>
        </w:tc>
        <w:tc>
          <w:tcPr>
            <w:tcW w:w="2008"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职</w:t>
            </w:r>
            <w:r>
              <w:rPr>
                <w:rFonts w:ascii="黑体" w:eastAsia="黑体" w:hAnsi="黑体" w:cs="黑体"/>
                <w:bCs/>
                <w:sz w:val="32"/>
                <w:szCs w:val="32"/>
              </w:rPr>
              <w:t xml:space="preserve">  </w:t>
            </w:r>
            <w:r>
              <w:rPr>
                <w:rFonts w:ascii="黑体" w:eastAsia="黑体" w:hAnsi="黑体" w:cs="黑体" w:hint="eastAsia"/>
                <w:bCs/>
                <w:sz w:val="32"/>
                <w:szCs w:val="32"/>
              </w:rPr>
              <w:t>务</w:t>
            </w:r>
          </w:p>
        </w:tc>
      </w:tr>
      <w:tr w:rsidR="00355BF7" w:rsidRPr="00F00122" w:rsidTr="00A03ED9">
        <w:trPr>
          <w:trHeight w:hRule="exact" w:val="60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1</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李相博</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软控股份有限公司创新发展部</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部长</w:t>
            </w:r>
          </w:p>
        </w:tc>
      </w:tr>
      <w:tr w:rsidR="00355BF7" w:rsidRPr="00F00122"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2</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hint="eastAsia"/>
                <w:bCs/>
                <w:sz w:val="28"/>
                <w:szCs w:val="28"/>
              </w:rPr>
              <w:t>贺文展</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hint="eastAsia"/>
                <w:bCs/>
                <w:sz w:val="28"/>
                <w:szCs w:val="28"/>
              </w:rPr>
              <w:t>青岛大学科技处</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hint="eastAsia"/>
                <w:bCs/>
                <w:sz w:val="28"/>
                <w:szCs w:val="28"/>
              </w:rPr>
              <w:t>国家级项目主管</w:t>
            </w:r>
          </w:p>
        </w:tc>
      </w:tr>
      <w:tr w:rsidR="00355BF7" w:rsidRPr="00F00122"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3</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hint="eastAsia"/>
                <w:bCs/>
                <w:sz w:val="28"/>
                <w:szCs w:val="28"/>
              </w:rPr>
              <w:t>宋键</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hint="eastAsia"/>
                <w:bCs/>
                <w:sz w:val="28"/>
                <w:szCs w:val="28"/>
              </w:rPr>
              <w:t>青岛中才有限责任会计师事务所</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注册会计师</w:t>
            </w:r>
          </w:p>
        </w:tc>
      </w:tr>
    </w:tbl>
    <w:p w:rsidR="00355BF7" w:rsidRDefault="00355BF7" w:rsidP="00705DF8">
      <w:pPr>
        <w:spacing w:line="560" w:lineRule="exact"/>
        <w:jc w:val="center"/>
        <w:rPr>
          <w:rFonts w:ascii="方正小标宋_GBK" w:eastAsia="方正小标宋_GBK" w:hAnsi="黑体"/>
          <w:sz w:val="44"/>
          <w:szCs w:val="44"/>
        </w:rPr>
      </w:pPr>
      <w:r w:rsidRPr="00F00122">
        <w:rPr>
          <w:rFonts w:ascii="仿宋_GB2312" w:eastAsia="仿宋_GB2312" w:hint="eastAsia"/>
          <w:sz w:val="32"/>
          <w:szCs w:val="32"/>
        </w:rPr>
        <w:t>第</w:t>
      </w:r>
      <w:r>
        <w:rPr>
          <w:rFonts w:ascii="仿宋_GB2312" w:eastAsia="仿宋_GB2312" w:hint="eastAsia"/>
          <w:sz w:val="32"/>
          <w:szCs w:val="32"/>
        </w:rPr>
        <w:t>三</w:t>
      </w:r>
      <w:r w:rsidRPr="00F00122">
        <w:rPr>
          <w:rFonts w:ascii="仿宋_GB2312" w:eastAsia="仿宋_GB2312" w:hint="eastAsia"/>
          <w:sz w:val="32"/>
          <w:szCs w:val="32"/>
        </w:rPr>
        <w:t>组</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4678"/>
        <w:gridCol w:w="2008"/>
      </w:tblGrid>
      <w:tr w:rsidR="00355BF7" w:rsidTr="00A03ED9">
        <w:trPr>
          <w:trHeight w:hRule="exact" w:val="680"/>
        </w:trPr>
        <w:tc>
          <w:tcPr>
            <w:tcW w:w="992" w:type="dxa"/>
            <w:vAlign w:val="center"/>
          </w:tcPr>
          <w:p w:rsidR="00355BF7" w:rsidRDefault="00355BF7" w:rsidP="00A03ED9">
            <w:pPr>
              <w:spacing w:line="560" w:lineRule="exact"/>
              <w:jc w:val="center"/>
              <w:rPr>
                <w:rFonts w:ascii="黑体" w:eastAsia="黑体" w:hAnsi="黑体" w:cs="黑体"/>
                <w:bCs/>
                <w:kern w:val="36"/>
                <w:sz w:val="32"/>
                <w:szCs w:val="32"/>
              </w:rPr>
            </w:pPr>
            <w:r>
              <w:rPr>
                <w:rFonts w:ascii="黑体" w:eastAsia="黑体" w:hAnsi="黑体" w:cs="黑体" w:hint="eastAsia"/>
                <w:bCs/>
                <w:sz w:val="32"/>
                <w:szCs w:val="32"/>
              </w:rPr>
              <w:t>序号</w:t>
            </w:r>
          </w:p>
        </w:tc>
        <w:tc>
          <w:tcPr>
            <w:tcW w:w="1276"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姓</w:t>
            </w:r>
            <w:r>
              <w:rPr>
                <w:rFonts w:ascii="黑体" w:eastAsia="黑体" w:hAnsi="黑体" w:cs="黑体"/>
                <w:bCs/>
                <w:sz w:val="32"/>
                <w:szCs w:val="32"/>
              </w:rPr>
              <w:t xml:space="preserve">  </w:t>
            </w:r>
            <w:r>
              <w:rPr>
                <w:rFonts w:ascii="黑体" w:eastAsia="黑体" w:hAnsi="黑体" w:cs="黑体" w:hint="eastAsia"/>
                <w:bCs/>
                <w:sz w:val="32"/>
                <w:szCs w:val="32"/>
              </w:rPr>
              <w:t>名</w:t>
            </w:r>
          </w:p>
        </w:tc>
        <w:tc>
          <w:tcPr>
            <w:tcW w:w="4678"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工</w:t>
            </w:r>
            <w:r>
              <w:rPr>
                <w:rFonts w:ascii="黑体" w:eastAsia="黑体" w:hAnsi="黑体" w:cs="黑体"/>
                <w:bCs/>
                <w:sz w:val="32"/>
                <w:szCs w:val="32"/>
              </w:rPr>
              <w:t xml:space="preserve">  </w:t>
            </w:r>
            <w:r>
              <w:rPr>
                <w:rFonts w:ascii="黑体" w:eastAsia="黑体" w:hAnsi="黑体" w:cs="黑体" w:hint="eastAsia"/>
                <w:bCs/>
                <w:sz w:val="32"/>
                <w:szCs w:val="32"/>
              </w:rPr>
              <w:t>作</w:t>
            </w:r>
            <w:r>
              <w:rPr>
                <w:rFonts w:ascii="黑体" w:eastAsia="黑体" w:hAnsi="黑体" w:cs="黑体"/>
                <w:bCs/>
                <w:sz w:val="32"/>
                <w:szCs w:val="32"/>
              </w:rPr>
              <w:t xml:space="preserve">  </w:t>
            </w:r>
            <w:r>
              <w:rPr>
                <w:rFonts w:ascii="黑体" w:eastAsia="黑体" w:hAnsi="黑体" w:cs="黑体" w:hint="eastAsia"/>
                <w:bCs/>
                <w:sz w:val="32"/>
                <w:szCs w:val="32"/>
              </w:rPr>
              <w:t>单</w:t>
            </w:r>
            <w:r>
              <w:rPr>
                <w:rFonts w:ascii="黑体" w:eastAsia="黑体" w:hAnsi="黑体" w:cs="黑体"/>
                <w:bCs/>
                <w:sz w:val="32"/>
                <w:szCs w:val="32"/>
              </w:rPr>
              <w:t xml:space="preserve">  </w:t>
            </w:r>
            <w:r>
              <w:rPr>
                <w:rFonts w:ascii="黑体" w:eastAsia="黑体" w:hAnsi="黑体" w:cs="黑体" w:hint="eastAsia"/>
                <w:bCs/>
                <w:sz w:val="32"/>
                <w:szCs w:val="32"/>
              </w:rPr>
              <w:t>位</w:t>
            </w:r>
          </w:p>
        </w:tc>
        <w:tc>
          <w:tcPr>
            <w:tcW w:w="2008" w:type="dxa"/>
            <w:vAlign w:val="center"/>
          </w:tcPr>
          <w:p w:rsidR="00355BF7" w:rsidRDefault="00355BF7" w:rsidP="00A03ED9">
            <w:pPr>
              <w:spacing w:line="560" w:lineRule="exact"/>
              <w:jc w:val="center"/>
              <w:rPr>
                <w:rFonts w:ascii="黑体" w:eastAsia="黑体" w:hAnsi="黑体" w:cs="黑体"/>
                <w:bCs/>
                <w:sz w:val="32"/>
                <w:szCs w:val="32"/>
              </w:rPr>
            </w:pPr>
            <w:r>
              <w:rPr>
                <w:rFonts w:ascii="黑体" w:eastAsia="黑体" w:hAnsi="黑体" w:cs="黑体" w:hint="eastAsia"/>
                <w:bCs/>
                <w:sz w:val="32"/>
                <w:szCs w:val="32"/>
              </w:rPr>
              <w:t>职</w:t>
            </w:r>
            <w:r>
              <w:rPr>
                <w:rFonts w:ascii="黑体" w:eastAsia="黑体" w:hAnsi="黑体" w:cs="黑体"/>
                <w:bCs/>
                <w:sz w:val="32"/>
                <w:szCs w:val="32"/>
              </w:rPr>
              <w:t xml:space="preserve">  </w:t>
            </w:r>
            <w:r>
              <w:rPr>
                <w:rFonts w:ascii="黑体" w:eastAsia="黑体" w:hAnsi="黑体" w:cs="黑体" w:hint="eastAsia"/>
                <w:bCs/>
                <w:sz w:val="32"/>
                <w:szCs w:val="32"/>
              </w:rPr>
              <w:t>务</w:t>
            </w:r>
          </w:p>
        </w:tc>
      </w:tr>
      <w:tr w:rsidR="00355BF7"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1</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徐兴永</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自然资源第一海洋研究所科技处</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处长</w:t>
            </w:r>
          </w:p>
        </w:tc>
      </w:tr>
      <w:tr w:rsidR="00355BF7"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2</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王曼</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青岛科技大学计划管理办公室</w:t>
            </w:r>
          </w:p>
        </w:tc>
        <w:tc>
          <w:tcPr>
            <w:tcW w:w="2008" w:type="dxa"/>
            <w:vAlign w:val="center"/>
          </w:tcPr>
          <w:p w:rsidR="00355BF7" w:rsidRPr="00373100"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主任</w:t>
            </w:r>
          </w:p>
        </w:tc>
      </w:tr>
      <w:tr w:rsidR="00355BF7" w:rsidTr="00A03ED9">
        <w:trPr>
          <w:trHeight w:hRule="exact" w:val="680"/>
        </w:trPr>
        <w:tc>
          <w:tcPr>
            <w:tcW w:w="992"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sidRPr="00F00122">
              <w:rPr>
                <w:rFonts w:ascii="仿宋_GB2312" w:eastAsia="仿宋_GB2312" w:hAnsi="黑体" w:cs="黑体"/>
                <w:bCs/>
                <w:sz w:val="28"/>
                <w:szCs w:val="28"/>
              </w:rPr>
              <w:t>3</w:t>
            </w:r>
          </w:p>
        </w:tc>
        <w:tc>
          <w:tcPr>
            <w:tcW w:w="1276"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许志扬</w:t>
            </w:r>
          </w:p>
        </w:tc>
        <w:tc>
          <w:tcPr>
            <w:tcW w:w="467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信永中和会计师事务所</w:t>
            </w:r>
          </w:p>
        </w:tc>
        <w:tc>
          <w:tcPr>
            <w:tcW w:w="2008" w:type="dxa"/>
            <w:vAlign w:val="center"/>
          </w:tcPr>
          <w:p w:rsidR="00355BF7" w:rsidRPr="00F00122" w:rsidRDefault="00355BF7" w:rsidP="00A03ED9">
            <w:pPr>
              <w:spacing w:line="560" w:lineRule="exact"/>
              <w:jc w:val="center"/>
              <w:rPr>
                <w:rFonts w:ascii="仿宋_GB2312" w:eastAsia="仿宋_GB2312" w:hAnsi="黑体" w:cs="黑体"/>
                <w:bCs/>
                <w:sz w:val="28"/>
                <w:szCs w:val="28"/>
              </w:rPr>
            </w:pPr>
            <w:r>
              <w:rPr>
                <w:rFonts w:ascii="仿宋_GB2312" w:eastAsia="仿宋_GB2312" w:hAnsi="黑体" w:cs="黑体" w:hint="eastAsia"/>
                <w:bCs/>
                <w:sz w:val="28"/>
                <w:szCs w:val="28"/>
              </w:rPr>
              <w:t>注册会计师</w:t>
            </w:r>
          </w:p>
        </w:tc>
      </w:tr>
    </w:tbl>
    <w:p w:rsidR="00355BF7" w:rsidRDefault="00355BF7"/>
    <w:sectPr w:rsidR="00355BF7" w:rsidSect="005865E7">
      <w:footerReference w:type="even" r:id="rId6"/>
      <w:footerReference w:type="default" r:id="rId7"/>
      <w:pgSz w:w="11906" w:h="16838"/>
      <w:pgMar w:top="2098" w:right="1474" w:bottom="1985" w:left="1588" w:header="851" w:footer="992" w:gutter="0"/>
      <w:pgNumType w:fmt="numberInDash"/>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BF7" w:rsidRDefault="00355BF7" w:rsidP="00F75BF8">
      <w:r>
        <w:separator/>
      </w:r>
    </w:p>
  </w:endnote>
  <w:endnote w:type="continuationSeparator" w:id="1">
    <w:p w:rsidR="00355BF7" w:rsidRDefault="00355BF7" w:rsidP="00F75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F7" w:rsidRDefault="00355BF7" w:rsidP="00B769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55BF7" w:rsidRDefault="00355BF7" w:rsidP="005865E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F7" w:rsidRPr="005865E7" w:rsidRDefault="00355BF7" w:rsidP="00B769B6">
    <w:pPr>
      <w:pStyle w:val="Footer"/>
      <w:framePr w:wrap="around" w:vAnchor="text" w:hAnchor="margin" w:xAlign="outside" w:y="1"/>
      <w:rPr>
        <w:rStyle w:val="PageNumber"/>
        <w:rFonts w:ascii="楷体_GB2312" w:eastAsia="楷体_GB2312"/>
        <w:sz w:val="28"/>
        <w:szCs w:val="28"/>
      </w:rPr>
    </w:pPr>
    <w:r w:rsidRPr="005865E7">
      <w:rPr>
        <w:rStyle w:val="PageNumber"/>
        <w:rFonts w:ascii="楷体_GB2312" w:eastAsia="楷体_GB2312"/>
        <w:sz w:val="28"/>
        <w:szCs w:val="28"/>
      </w:rPr>
      <w:fldChar w:fldCharType="begin"/>
    </w:r>
    <w:r w:rsidRPr="005865E7">
      <w:rPr>
        <w:rStyle w:val="PageNumber"/>
        <w:rFonts w:ascii="楷体_GB2312" w:eastAsia="楷体_GB2312"/>
        <w:sz w:val="28"/>
        <w:szCs w:val="28"/>
      </w:rPr>
      <w:instrText xml:space="preserve">PAGE  </w:instrText>
    </w:r>
    <w:r w:rsidRPr="005865E7">
      <w:rPr>
        <w:rStyle w:val="PageNumber"/>
        <w:rFonts w:ascii="楷体_GB2312" w:eastAsia="楷体_GB2312"/>
        <w:sz w:val="28"/>
        <w:szCs w:val="28"/>
      </w:rPr>
      <w:fldChar w:fldCharType="separate"/>
    </w:r>
    <w:r>
      <w:rPr>
        <w:rStyle w:val="PageNumber"/>
        <w:rFonts w:ascii="楷体_GB2312" w:eastAsia="楷体_GB2312"/>
        <w:noProof/>
        <w:sz w:val="28"/>
        <w:szCs w:val="28"/>
      </w:rPr>
      <w:t>- 16 -</w:t>
    </w:r>
    <w:r w:rsidRPr="005865E7">
      <w:rPr>
        <w:rStyle w:val="PageNumber"/>
        <w:rFonts w:ascii="楷体_GB2312" w:eastAsia="楷体_GB2312"/>
        <w:sz w:val="28"/>
        <w:szCs w:val="28"/>
      </w:rPr>
      <w:fldChar w:fldCharType="end"/>
    </w:r>
  </w:p>
  <w:p w:rsidR="00355BF7" w:rsidRDefault="00355BF7" w:rsidP="005865E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BF7" w:rsidRDefault="00355BF7" w:rsidP="00F75BF8">
      <w:r>
        <w:separator/>
      </w:r>
    </w:p>
  </w:footnote>
  <w:footnote w:type="continuationSeparator" w:id="1">
    <w:p w:rsidR="00355BF7" w:rsidRDefault="00355BF7" w:rsidP="00F75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DF8"/>
    <w:rsid w:val="000140E3"/>
    <w:rsid w:val="00017C28"/>
    <w:rsid w:val="00023A65"/>
    <w:rsid w:val="00027EE9"/>
    <w:rsid w:val="000313B5"/>
    <w:rsid w:val="00032E42"/>
    <w:rsid w:val="00035D11"/>
    <w:rsid w:val="00041E81"/>
    <w:rsid w:val="000530B8"/>
    <w:rsid w:val="00057DCB"/>
    <w:rsid w:val="00064567"/>
    <w:rsid w:val="00077BF9"/>
    <w:rsid w:val="000848BA"/>
    <w:rsid w:val="00086CF2"/>
    <w:rsid w:val="000906D9"/>
    <w:rsid w:val="00093831"/>
    <w:rsid w:val="000A316B"/>
    <w:rsid w:val="000A3562"/>
    <w:rsid w:val="000A4F04"/>
    <w:rsid w:val="000C36B5"/>
    <w:rsid w:val="000D1445"/>
    <w:rsid w:val="000D5345"/>
    <w:rsid w:val="000D66D3"/>
    <w:rsid w:val="000E5F80"/>
    <w:rsid w:val="000E6CC4"/>
    <w:rsid w:val="000F34DF"/>
    <w:rsid w:val="000F369D"/>
    <w:rsid w:val="000F4915"/>
    <w:rsid w:val="000F6F7E"/>
    <w:rsid w:val="000F7606"/>
    <w:rsid w:val="00100BBF"/>
    <w:rsid w:val="001061C1"/>
    <w:rsid w:val="0010672C"/>
    <w:rsid w:val="0010725A"/>
    <w:rsid w:val="00110EB4"/>
    <w:rsid w:val="0011251D"/>
    <w:rsid w:val="00112603"/>
    <w:rsid w:val="00115765"/>
    <w:rsid w:val="0012489F"/>
    <w:rsid w:val="00127987"/>
    <w:rsid w:val="00140269"/>
    <w:rsid w:val="00144148"/>
    <w:rsid w:val="00146412"/>
    <w:rsid w:val="00151496"/>
    <w:rsid w:val="0015556E"/>
    <w:rsid w:val="0015565D"/>
    <w:rsid w:val="00160563"/>
    <w:rsid w:val="00166C0A"/>
    <w:rsid w:val="00173256"/>
    <w:rsid w:val="00175767"/>
    <w:rsid w:val="00177591"/>
    <w:rsid w:val="00191E7A"/>
    <w:rsid w:val="00191FEA"/>
    <w:rsid w:val="00193B2B"/>
    <w:rsid w:val="001A183F"/>
    <w:rsid w:val="001A7038"/>
    <w:rsid w:val="001B35A8"/>
    <w:rsid w:val="001B5166"/>
    <w:rsid w:val="001C73BF"/>
    <w:rsid w:val="001D5C00"/>
    <w:rsid w:val="001D61AF"/>
    <w:rsid w:val="001F0FFA"/>
    <w:rsid w:val="001F3C39"/>
    <w:rsid w:val="00202EFE"/>
    <w:rsid w:val="00212A1C"/>
    <w:rsid w:val="00226BF5"/>
    <w:rsid w:val="00227915"/>
    <w:rsid w:val="00227EC9"/>
    <w:rsid w:val="002349EB"/>
    <w:rsid w:val="0024408B"/>
    <w:rsid w:val="00245D97"/>
    <w:rsid w:val="00251464"/>
    <w:rsid w:val="00254586"/>
    <w:rsid w:val="00261D63"/>
    <w:rsid w:val="002622A7"/>
    <w:rsid w:val="0026370E"/>
    <w:rsid w:val="00263E3D"/>
    <w:rsid w:val="00266484"/>
    <w:rsid w:val="00270461"/>
    <w:rsid w:val="00275B16"/>
    <w:rsid w:val="0028163C"/>
    <w:rsid w:val="0028226F"/>
    <w:rsid w:val="00282353"/>
    <w:rsid w:val="0028270A"/>
    <w:rsid w:val="00283AC0"/>
    <w:rsid w:val="002942DD"/>
    <w:rsid w:val="00297A15"/>
    <w:rsid w:val="002A154E"/>
    <w:rsid w:val="002A21C1"/>
    <w:rsid w:val="002C43B1"/>
    <w:rsid w:val="002C7DED"/>
    <w:rsid w:val="002D32FB"/>
    <w:rsid w:val="002D4C34"/>
    <w:rsid w:val="002D7EC2"/>
    <w:rsid w:val="002F7999"/>
    <w:rsid w:val="00303F43"/>
    <w:rsid w:val="00311B5C"/>
    <w:rsid w:val="0031653E"/>
    <w:rsid w:val="003319F4"/>
    <w:rsid w:val="00333942"/>
    <w:rsid w:val="00333FF4"/>
    <w:rsid w:val="003429D5"/>
    <w:rsid w:val="003469A4"/>
    <w:rsid w:val="00354C02"/>
    <w:rsid w:val="00355BF7"/>
    <w:rsid w:val="0036127C"/>
    <w:rsid w:val="003615E1"/>
    <w:rsid w:val="00373100"/>
    <w:rsid w:val="00375EB1"/>
    <w:rsid w:val="003760B2"/>
    <w:rsid w:val="003841C8"/>
    <w:rsid w:val="00391A08"/>
    <w:rsid w:val="003A185A"/>
    <w:rsid w:val="003A4EA0"/>
    <w:rsid w:val="003B2C6F"/>
    <w:rsid w:val="003C0343"/>
    <w:rsid w:val="003D43C4"/>
    <w:rsid w:val="003D5D91"/>
    <w:rsid w:val="003D7442"/>
    <w:rsid w:val="003F2C14"/>
    <w:rsid w:val="00401FF9"/>
    <w:rsid w:val="0040235B"/>
    <w:rsid w:val="00404B90"/>
    <w:rsid w:val="00411162"/>
    <w:rsid w:val="00411208"/>
    <w:rsid w:val="0041724E"/>
    <w:rsid w:val="00433949"/>
    <w:rsid w:val="004356FF"/>
    <w:rsid w:val="004406E3"/>
    <w:rsid w:val="0044187C"/>
    <w:rsid w:val="00446284"/>
    <w:rsid w:val="00447548"/>
    <w:rsid w:val="00461BDA"/>
    <w:rsid w:val="004620F7"/>
    <w:rsid w:val="004657C7"/>
    <w:rsid w:val="004678C2"/>
    <w:rsid w:val="00467936"/>
    <w:rsid w:val="004719C8"/>
    <w:rsid w:val="004725A4"/>
    <w:rsid w:val="00483D93"/>
    <w:rsid w:val="00485198"/>
    <w:rsid w:val="00493CEA"/>
    <w:rsid w:val="00496926"/>
    <w:rsid w:val="00496FF6"/>
    <w:rsid w:val="004A2D0B"/>
    <w:rsid w:val="004A423D"/>
    <w:rsid w:val="004A5972"/>
    <w:rsid w:val="004B6454"/>
    <w:rsid w:val="004B6833"/>
    <w:rsid w:val="004C3688"/>
    <w:rsid w:val="004C7E52"/>
    <w:rsid w:val="004D0F3F"/>
    <w:rsid w:val="004D50AA"/>
    <w:rsid w:val="004D71D1"/>
    <w:rsid w:val="004E1F80"/>
    <w:rsid w:val="004F2747"/>
    <w:rsid w:val="004F6A34"/>
    <w:rsid w:val="005019B9"/>
    <w:rsid w:val="00503CC4"/>
    <w:rsid w:val="00506680"/>
    <w:rsid w:val="00507D9C"/>
    <w:rsid w:val="00511016"/>
    <w:rsid w:val="00511F45"/>
    <w:rsid w:val="00512C29"/>
    <w:rsid w:val="00512D17"/>
    <w:rsid w:val="0051535C"/>
    <w:rsid w:val="005220E4"/>
    <w:rsid w:val="00533FF3"/>
    <w:rsid w:val="00534722"/>
    <w:rsid w:val="005408E7"/>
    <w:rsid w:val="005539A7"/>
    <w:rsid w:val="00555C66"/>
    <w:rsid w:val="00560D90"/>
    <w:rsid w:val="005625E7"/>
    <w:rsid w:val="005634F8"/>
    <w:rsid w:val="00566232"/>
    <w:rsid w:val="00574AAA"/>
    <w:rsid w:val="00585933"/>
    <w:rsid w:val="005865E7"/>
    <w:rsid w:val="00591D57"/>
    <w:rsid w:val="005A1BC0"/>
    <w:rsid w:val="005A443A"/>
    <w:rsid w:val="005A792A"/>
    <w:rsid w:val="005C44A9"/>
    <w:rsid w:val="005D0BC3"/>
    <w:rsid w:val="005D3021"/>
    <w:rsid w:val="005E2083"/>
    <w:rsid w:val="005E406E"/>
    <w:rsid w:val="005F421E"/>
    <w:rsid w:val="005F490F"/>
    <w:rsid w:val="00601970"/>
    <w:rsid w:val="00610B34"/>
    <w:rsid w:val="00620129"/>
    <w:rsid w:val="006218B7"/>
    <w:rsid w:val="00631035"/>
    <w:rsid w:val="00632B28"/>
    <w:rsid w:val="00650973"/>
    <w:rsid w:val="006516F9"/>
    <w:rsid w:val="00653A6E"/>
    <w:rsid w:val="00656F69"/>
    <w:rsid w:val="00670FA8"/>
    <w:rsid w:val="0067284F"/>
    <w:rsid w:val="00673D46"/>
    <w:rsid w:val="00675052"/>
    <w:rsid w:val="00676780"/>
    <w:rsid w:val="006904BB"/>
    <w:rsid w:val="00692B6B"/>
    <w:rsid w:val="006B080A"/>
    <w:rsid w:val="006C5ED1"/>
    <w:rsid w:val="006D36DB"/>
    <w:rsid w:val="006E0A76"/>
    <w:rsid w:val="006E2EA8"/>
    <w:rsid w:val="006E4609"/>
    <w:rsid w:val="006E62A1"/>
    <w:rsid w:val="006F3887"/>
    <w:rsid w:val="00705DF8"/>
    <w:rsid w:val="007074C7"/>
    <w:rsid w:val="007163B3"/>
    <w:rsid w:val="0071734B"/>
    <w:rsid w:val="00717D1F"/>
    <w:rsid w:val="007268F4"/>
    <w:rsid w:val="00730928"/>
    <w:rsid w:val="007316B6"/>
    <w:rsid w:val="007333A6"/>
    <w:rsid w:val="00736642"/>
    <w:rsid w:val="00737B04"/>
    <w:rsid w:val="0074084F"/>
    <w:rsid w:val="007446E5"/>
    <w:rsid w:val="00745406"/>
    <w:rsid w:val="00754F8E"/>
    <w:rsid w:val="0076642E"/>
    <w:rsid w:val="00776395"/>
    <w:rsid w:val="0077724E"/>
    <w:rsid w:val="00780793"/>
    <w:rsid w:val="00787022"/>
    <w:rsid w:val="007905C5"/>
    <w:rsid w:val="0079341E"/>
    <w:rsid w:val="00793CDF"/>
    <w:rsid w:val="007962E7"/>
    <w:rsid w:val="007A1F61"/>
    <w:rsid w:val="007A482B"/>
    <w:rsid w:val="007B1B48"/>
    <w:rsid w:val="007B41FC"/>
    <w:rsid w:val="007B498A"/>
    <w:rsid w:val="007C02D7"/>
    <w:rsid w:val="007C45C8"/>
    <w:rsid w:val="007D2BC0"/>
    <w:rsid w:val="007D3971"/>
    <w:rsid w:val="007D42B1"/>
    <w:rsid w:val="007E1802"/>
    <w:rsid w:val="007E23F9"/>
    <w:rsid w:val="007E2F25"/>
    <w:rsid w:val="007F011C"/>
    <w:rsid w:val="007F55C8"/>
    <w:rsid w:val="00800EF5"/>
    <w:rsid w:val="008014FF"/>
    <w:rsid w:val="008025B1"/>
    <w:rsid w:val="0080600C"/>
    <w:rsid w:val="00813370"/>
    <w:rsid w:val="008142C2"/>
    <w:rsid w:val="00814C35"/>
    <w:rsid w:val="00825B17"/>
    <w:rsid w:val="00845433"/>
    <w:rsid w:val="00853A13"/>
    <w:rsid w:val="0086593A"/>
    <w:rsid w:val="00876C7A"/>
    <w:rsid w:val="00896AC1"/>
    <w:rsid w:val="008B0317"/>
    <w:rsid w:val="008B2A0C"/>
    <w:rsid w:val="008B48CD"/>
    <w:rsid w:val="008B5CD6"/>
    <w:rsid w:val="008D1B27"/>
    <w:rsid w:val="008D3E3B"/>
    <w:rsid w:val="008F08B4"/>
    <w:rsid w:val="008F11E2"/>
    <w:rsid w:val="008F39D4"/>
    <w:rsid w:val="008F49D7"/>
    <w:rsid w:val="008F5762"/>
    <w:rsid w:val="00900259"/>
    <w:rsid w:val="009074BB"/>
    <w:rsid w:val="00910C48"/>
    <w:rsid w:val="009123B3"/>
    <w:rsid w:val="00912E4E"/>
    <w:rsid w:val="00913514"/>
    <w:rsid w:val="00915B4C"/>
    <w:rsid w:val="0091666C"/>
    <w:rsid w:val="00917533"/>
    <w:rsid w:val="00920A75"/>
    <w:rsid w:val="0092586B"/>
    <w:rsid w:val="0092749A"/>
    <w:rsid w:val="0093027E"/>
    <w:rsid w:val="009349D8"/>
    <w:rsid w:val="00934B63"/>
    <w:rsid w:val="00936BC4"/>
    <w:rsid w:val="00941FAF"/>
    <w:rsid w:val="009461C4"/>
    <w:rsid w:val="00955159"/>
    <w:rsid w:val="009646DB"/>
    <w:rsid w:val="009649BC"/>
    <w:rsid w:val="009663E5"/>
    <w:rsid w:val="009700D4"/>
    <w:rsid w:val="00990547"/>
    <w:rsid w:val="009A097D"/>
    <w:rsid w:val="009C369D"/>
    <w:rsid w:val="009C3FA3"/>
    <w:rsid w:val="009C5119"/>
    <w:rsid w:val="009C7831"/>
    <w:rsid w:val="009D19A1"/>
    <w:rsid w:val="009D55A6"/>
    <w:rsid w:val="009E44EE"/>
    <w:rsid w:val="009E4DE3"/>
    <w:rsid w:val="009E7AAA"/>
    <w:rsid w:val="009F311D"/>
    <w:rsid w:val="009F5E7E"/>
    <w:rsid w:val="009F77FA"/>
    <w:rsid w:val="009F78D7"/>
    <w:rsid w:val="00A00DA2"/>
    <w:rsid w:val="00A03ED9"/>
    <w:rsid w:val="00A0493A"/>
    <w:rsid w:val="00A10323"/>
    <w:rsid w:val="00A11948"/>
    <w:rsid w:val="00A2058F"/>
    <w:rsid w:val="00A243E5"/>
    <w:rsid w:val="00A26DA6"/>
    <w:rsid w:val="00A32AFA"/>
    <w:rsid w:val="00A369BA"/>
    <w:rsid w:val="00A45323"/>
    <w:rsid w:val="00A4640A"/>
    <w:rsid w:val="00A47046"/>
    <w:rsid w:val="00A5118E"/>
    <w:rsid w:val="00A64BE5"/>
    <w:rsid w:val="00A650B5"/>
    <w:rsid w:val="00A81B36"/>
    <w:rsid w:val="00A84395"/>
    <w:rsid w:val="00A85127"/>
    <w:rsid w:val="00A90538"/>
    <w:rsid w:val="00A97747"/>
    <w:rsid w:val="00AA05B5"/>
    <w:rsid w:val="00AA1DC0"/>
    <w:rsid w:val="00AA2A12"/>
    <w:rsid w:val="00AA573E"/>
    <w:rsid w:val="00AB2246"/>
    <w:rsid w:val="00AB59D3"/>
    <w:rsid w:val="00AC550A"/>
    <w:rsid w:val="00AE00AB"/>
    <w:rsid w:val="00AE1450"/>
    <w:rsid w:val="00AE6357"/>
    <w:rsid w:val="00AF0FEF"/>
    <w:rsid w:val="00AF26B5"/>
    <w:rsid w:val="00B065AC"/>
    <w:rsid w:val="00B10F4B"/>
    <w:rsid w:val="00B145A1"/>
    <w:rsid w:val="00B170C9"/>
    <w:rsid w:val="00B17FFE"/>
    <w:rsid w:val="00B201B3"/>
    <w:rsid w:val="00B22020"/>
    <w:rsid w:val="00B3364F"/>
    <w:rsid w:val="00B37B3A"/>
    <w:rsid w:val="00B411CC"/>
    <w:rsid w:val="00B462D4"/>
    <w:rsid w:val="00B541D8"/>
    <w:rsid w:val="00B549D6"/>
    <w:rsid w:val="00B558D3"/>
    <w:rsid w:val="00B60941"/>
    <w:rsid w:val="00B64B99"/>
    <w:rsid w:val="00B7501B"/>
    <w:rsid w:val="00B759F7"/>
    <w:rsid w:val="00B768F6"/>
    <w:rsid w:val="00B769B6"/>
    <w:rsid w:val="00B964A8"/>
    <w:rsid w:val="00B9790D"/>
    <w:rsid w:val="00BA0114"/>
    <w:rsid w:val="00BA0B19"/>
    <w:rsid w:val="00BA3990"/>
    <w:rsid w:val="00BE1B11"/>
    <w:rsid w:val="00BE2355"/>
    <w:rsid w:val="00BE338A"/>
    <w:rsid w:val="00BE688E"/>
    <w:rsid w:val="00BF4C09"/>
    <w:rsid w:val="00C011D7"/>
    <w:rsid w:val="00C029AB"/>
    <w:rsid w:val="00C04C8C"/>
    <w:rsid w:val="00C052E0"/>
    <w:rsid w:val="00C130AD"/>
    <w:rsid w:val="00C14E8B"/>
    <w:rsid w:val="00C161FB"/>
    <w:rsid w:val="00C41090"/>
    <w:rsid w:val="00C51146"/>
    <w:rsid w:val="00C616F2"/>
    <w:rsid w:val="00C72784"/>
    <w:rsid w:val="00C73AFB"/>
    <w:rsid w:val="00C7418F"/>
    <w:rsid w:val="00C774AB"/>
    <w:rsid w:val="00C92306"/>
    <w:rsid w:val="00C97396"/>
    <w:rsid w:val="00CA283F"/>
    <w:rsid w:val="00CB2488"/>
    <w:rsid w:val="00CB63BD"/>
    <w:rsid w:val="00CD1F6D"/>
    <w:rsid w:val="00CD2D78"/>
    <w:rsid w:val="00CD412A"/>
    <w:rsid w:val="00CD44D4"/>
    <w:rsid w:val="00CD5466"/>
    <w:rsid w:val="00CE4C60"/>
    <w:rsid w:val="00CE6A6B"/>
    <w:rsid w:val="00CE71B8"/>
    <w:rsid w:val="00CF187B"/>
    <w:rsid w:val="00CF43D0"/>
    <w:rsid w:val="00CF5FC7"/>
    <w:rsid w:val="00D016B1"/>
    <w:rsid w:val="00D06F8F"/>
    <w:rsid w:val="00D1671D"/>
    <w:rsid w:val="00D210CE"/>
    <w:rsid w:val="00D25F6B"/>
    <w:rsid w:val="00D360C2"/>
    <w:rsid w:val="00D364B9"/>
    <w:rsid w:val="00D36668"/>
    <w:rsid w:val="00D3709B"/>
    <w:rsid w:val="00D532A3"/>
    <w:rsid w:val="00D55478"/>
    <w:rsid w:val="00D56080"/>
    <w:rsid w:val="00D62776"/>
    <w:rsid w:val="00D63422"/>
    <w:rsid w:val="00D67BAB"/>
    <w:rsid w:val="00D67EA8"/>
    <w:rsid w:val="00D808EB"/>
    <w:rsid w:val="00D80934"/>
    <w:rsid w:val="00D80B30"/>
    <w:rsid w:val="00D8190C"/>
    <w:rsid w:val="00D84428"/>
    <w:rsid w:val="00D92E2F"/>
    <w:rsid w:val="00D944DC"/>
    <w:rsid w:val="00D94506"/>
    <w:rsid w:val="00D950C2"/>
    <w:rsid w:val="00DA474B"/>
    <w:rsid w:val="00DB4DC6"/>
    <w:rsid w:val="00DB727A"/>
    <w:rsid w:val="00DD5C50"/>
    <w:rsid w:val="00DD70F1"/>
    <w:rsid w:val="00DD76C5"/>
    <w:rsid w:val="00DE2A5D"/>
    <w:rsid w:val="00DE3419"/>
    <w:rsid w:val="00DE69BB"/>
    <w:rsid w:val="00DF40D8"/>
    <w:rsid w:val="00DF534E"/>
    <w:rsid w:val="00E11855"/>
    <w:rsid w:val="00E1218A"/>
    <w:rsid w:val="00E123E4"/>
    <w:rsid w:val="00E20ACB"/>
    <w:rsid w:val="00E231AE"/>
    <w:rsid w:val="00E31F36"/>
    <w:rsid w:val="00E3592F"/>
    <w:rsid w:val="00E3724A"/>
    <w:rsid w:val="00E37FB5"/>
    <w:rsid w:val="00E40917"/>
    <w:rsid w:val="00E414CF"/>
    <w:rsid w:val="00E46BEA"/>
    <w:rsid w:val="00E618B7"/>
    <w:rsid w:val="00E73FAA"/>
    <w:rsid w:val="00E82462"/>
    <w:rsid w:val="00E82790"/>
    <w:rsid w:val="00E93BC3"/>
    <w:rsid w:val="00EA1516"/>
    <w:rsid w:val="00EA16C8"/>
    <w:rsid w:val="00EB2FC1"/>
    <w:rsid w:val="00EB49BA"/>
    <w:rsid w:val="00EB5FCF"/>
    <w:rsid w:val="00EC434D"/>
    <w:rsid w:val="00EC5C39"/>
    <w:rsid w:val="00EE0D11"/>
    <w:rsid w:val="00EE2307"/>
    <w:rsid w:val="00EE23B0"/>
    <w:rsid w:val="00EE2B69"/>
    <w:rsid w:val="00EF1098"/>
    <w:rsid w:val="00F00122"/>
    <w:rsid w:val="00F026A1"/>
    <w:rsid w:val="00F02F4A"/>
    <w:rsid w:val="00F0400A"/>
    <w:rsid w:val="00F042CC"/>
    <w:rsid w:val="00F06178"/>
    <w:rsid w:val="00F06630"/>
    <w:rsid w:val="00F06CDD"/>
    <w:rsid w:val="00F12346"/>
    <w:rsid w:val="00F2382E"/>
    <w:rsid w:val="00F24F4D"/>
    <w:rsid w:val="00F312F7"/>
    <w:rsid w:val="00F3293D"/>
    <w:rsid w:val="00F32D8B"/>
    <w:rsid w:val="00F3575B"/>
    <w:rsid w:val="00F5561B"/>
    <w:rsid w:val="00F73769"/>
    <w:rsid w:val="00F75BF8"/>
    <w:rsid w:val="00F771F3"/>
    <w:rsid w:val="00F77FCB"/>
    <w:rsid w:val="00F80738"/>
    <w:rsid w:val="00F8248E"/>
    <w:rsid w:val="00F87485"/>
    <w:rsid w:val="00F95217"/>
    <w:rsid w:val="00F9715D"/>
    <w:rsid w:val="00FA288E"/>
    <w:rsid w:val="00FA7EDF"/>
    <w:rsid w:val="00FC1B4B"/>
    <w:rsid w:val="00FD213A"/>
    <w:rsid w:val="00FD53A2"/>
    <w:rsid w:val="00FE06BA"/>
    <w:rsid w:val="00FE5685"/>
    <w:rsid w:val="00FF5A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F8"/>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5DF8"/>
    <w:pPr>
      <w:autoSpaceDE w:val="0"/>
      <w:autoSpaceDN w:val="0"/>
      <w:adjustRightInd w:val="0"/>
      <w:ind w:left="111"/>
      <w:jc w:val="left"/>
    </w:pPr>
    <w:rPr>
      <w:rFonts w:ascii="仿宋_GB2312" w:eastAsia="仿宋_GB2312" w:hAnsi="仿宋_GB2312" w:cs="仿宋_GB2312"/>
      <w:kern w:val="0"/>
      <w:sz w:val="32"/>
      <w:szCs w:val="32"/>
    </w:rPr>
  </w:style>
  <w:style w:type="character" w:customStyle="1" w:styleId="BodyTextChar">
    <w:name w:val="Body Text Char"/>
    <w:basedOn w:val="DefaultParagraphFont"/>
    <w:link w:val="BodyText"/>
    <w:uiPriority w:val="99"/>
    <w:locked/>
    <w:rsid w:val="00705DF8"/>
    <w:rPr>
      <w:rFonts w:ascii="仿宋_GB2312" w:eastAsia="仿宋_GB2312" w:hAnsi="仿宋_GB2312" w:cs="仿宋_GB2312"/>
      <w:kern w:val="0"/>
      <w:sz w:val="32"/>
      <w:szCs w:val="32"/>
    </w:rPr>
  </w:style>
  <w:style w:type="paragraph" w:styleId="Footer">
    <w:name w:val="footer"/>
    <w:basedOn w:val="Normal"/>
    <w:link w:val="FooterChar"/>
    <w:uiPriority w:val="99"/>
    <w:rsid w:val="00705D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05DF8"/>
    <w:rPr>
      <w:rFonts w:ascii="Times New Roman" w:eastAsia="宋体" w:hAnsi="Times New Roman" w:cs="Times New Roman"/>
      <w:sz w:val="18"/>
      <w:szCs w:val="18"/>
    </w:rPr>
  </w:style>
  <w:style w:type="paragraph" w:styleId="Header">
    <w:name w:val="header"/>
    <w:basedOn w:val="Normal"/>
    <w:link w:val="HeaderChar"/>
    <w:uiPriority w:val="99"/>
    <w:rsid w:val="00705D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05DF8"/>
    <w:rPr>
      <w:rFonts w:ascii="Times New Roman" w:eastAsia="宋体" w:hAnsi="Times New Roman" w:cs="Times New Roman"/>
      <w:sz w:val="18"/>
      <w:szCs w:val="18"/>
    </w:rPr>
  </w:style>
  <w:style w:type="character" w:styleId="PageNumber">
    <w:name w:val="page number"/>
    <w:basedOn w:val="DefaultParagraphFont"/>
    <w:uiPriority w:val="99"/>
    <w:rsid w:val="00705DF8"/>
    <w:rPr>
      <w:rFonts w:cs="Times New Roman"/>
    </w:rPr>
  </w:style>
  <w:style w:type="character" w:customStyle="1" w:styleId="font41">
    <w:name w:val="font41"/>
    <w:basedOn w:val="DefaultParagraphFont"/>
    <w:uiPriority w:val="99"/>
    <w:rsid w:val="00705DF8"/>
    <w:rPr>
      <w:rFonts w:ascii="等线" w:eastAsia="等线" w:hAnsi="等线" w:cs="等线"/>
      <w:color w:val="000000"/>
      <w:sz w:val="22"/>
      <w:szCs w:val="22"/>
      <w:u w:val="none"/>
    </w:rPr>
  </w:style>
  <w:style w:type="character" w:customStyle="1" w:styleId="font71">
    <w:name w:val="font71"/>
    <w:basedOn w:val="DefaultParagraphFont"/>
    <w:uiPriority w:val="99"/>
    <w:rsid w:val="00705DF8"/>
    <w:rPr>
      <w:rFonts w:ascii="等线" w:eastAsia="等线" w:hAnsi="等线" w:cs="等线"/>
      <w:color w:val="000000"/>
      <w:sz w:val="18"/>
      <w:szCs w:val="18"/>
      <w:u w:val="none"/>
    </w:rPr>
  </w:style>
  <w:style w:type="character" w:customStyle="1" w:styleId="font91">
    <w:name w:val="font91"/>
    <w:basedOn w:val="DefaultParagraphFont"/>
    <w:uiPriority w:val="99"/>
    <w:rsid w:val="00705DF8"/>
    <w:rPr>
      <w:rFonts w:ascii="宋体" w:eastAsia="宋体" w:hAnsi="宋体" w:cs="宋体"/>
      <w:color w:val="000000"/>
      <w:sz w:val="18"/>
      <w:szCs w:val="18"/>
      <w:u w:val="none"/>
    </w:rPr>
  </w:style>
  <w:style w:type="character" w:customStyle="1" w:styleId="font212">
    <w:name w:val="font212"/>
    <w:basedOn w:val="DefaultParagraphFont"/>
    <w:uiPriority w:val="99"/>
    <w:rsid w:val="00705DF8"/>
    <w:rPr>
      <w:rFonts w:ascii="Times New Roman" w:hAnsi="Times New Roman" w:cs="Times New Roman"/>
      <w:color w:val="000000"/>
      <w:sz w:val="16"/>
      <w:szCs w:val="16"/>
      <w:u w:val="none"/>
    </w:rPr>
  </w:style>
  <w:style w:type="character" w:customStyle="1" w:styleId="font101">
    <w:name w:val="font101"/>
    <w:basedOn w:val="DefaultParagraphFont"/>
    <w:uiPriority w:val="99"/>
    <w:rsid w:val="00705DF8"/>
    <w:rPr>
      <w:rFonts w:ascii="宋体" w:eastAsia="宋体" w:hAnsi="宋体" w:cs="宋体"/>
      <w:color w:val="000000"/>
      <w:sz w:val="16"/>
      <w:szCs w:val="16"/>
      <w:u w:val="none"/>
    </w:rPr>
  </w:style>
  <w:style w:type="paragraph" w:styleId="Date">
    <w:name w:val="Date"/>
    <w:basedOn w:val="Normal"/>
    <w:next w:val="Normal"/>
    <w:link w:val="DateChar"/>
    <w:uiPriority w:val="99"/>
    <w:rsid w:val="003841C8"/>
    <w:pPr>
      <w:ind w:leftChars="2500" w:left="100"/>
    </w:pPr>
  </w:style>
  <w:style w:type="character" w:customStyle="1" w:styleId="DateChar">
    <w:name w:val="Date Char"/>
    <w:basedOn w:val="DefaultParagraphFont"/>
    <w:link w:val="Date"/>
    <w:uiPriority w:val="99"/>
    <w:semiHidden/>
    <w:locked/>
    <w:rsid w:val="004725A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1872</Words>
  <Characters>10677</Characters>
  <Application>Microsoft Office Outlook</Application>
  <DocSecurity>0</DocSecurity>
  <Lines>0</Lines>
  <Paragraphs>0</Paragraphs>
  <ScaleCrop>false</ScaleCrop>
  <Company>http://www.deepbbs.org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deeplm</dc:creator>
  <cp:keywords/>
  <dc:description/>
  <cp:lastModifiedBy>lenovo</cp:lastModifiedBy>
  <cp:revision>4</cp:revision>
  <dcterms:created xsi:type="dcterms:W3CDTF">2021-10-20T05:53:00Z</dcterms:created>
  <dcterms:modified xsi:type="dcterms:W3CDTF">2021-10-20T05:54:00Z</dcterms:modified>
</cp:coreProperties>
</file>