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450" w:type="dxa"/>
        <w:tblInd w:w="-242" w:type="dxa"/>
        <w:tblLayout w:type="fixed"/>
        <w:tblCellMar>
          <w:top w:w="0" w:type="dxa"/>
          <w:left w:w="108" w:type="dxa"/>
          <w:bottom w:w="0" w:type="dxa"/>
          <w:right w:w="108" w:type="dxa"/>
        </w:tblCellMar>
      </w:tblPr>
      <w:tblGrid>
        <w:gridCol w:w="8067"/>
        <w:gridCol w:w="1383"/>
      </w:tblGrid>
      <w:tr w14:paraId="7D81E60E">
        <w:tblPrEx>
          <w:tblCellMar>
            <w:top w:w="0" w:type="dxa"/>
            <w:left w:w="108" w:type="dxa"/>
            <w:bottom w:w="0" w:type="dxa"/>
            <w:right w:w="108" w:type="dxa"/>
          </w:tblCellMar>
        </w:tblPrEx>
        <w:tc>
          <w:tcPr>
            <w:tcW w:w="8067" w:type="dxa"/>
            <w:noWrap w:val="0"/>
            <w:vAlign w:val="top"/>
          </w:tcPr>
          <w:p w14:paraId="46802506">
            <w:pPr>
              <w:keepNext w:val="0"/>
              <w:keepLines w:val="0"/>
              <w:pageBreakBefore w:val="0"/>
              <w:widowControl w:val="0"/>
              <w:kinsoku/>
              <w:wordWrap/>
              <w:overflowPunct/>
              <w:topLinePunct w:val="0"/>
              <w:autoSpaceDE/>
              <w:autoSpaceDN/>
              <w:bidi w:val="0"/>
              <w:adjustRightInd w:val="0"/>
              <w:snapToGrid/>
              <w:spacing w:line="560" w:lineRule="exact"/>
              <w:ind w:right="70" w:rightChars="22" w:firstLine="0" w:firstLineChars="0"/>
              <w:jc w:val="distribute"/>
              <w:textAlignment w:val="baseline"/>
              <w:rPr>
                <w:rFonts w:hint="eastAsia" w:ascii="方正小标宋_GBK" w:hAnsi="Times New Roman" w:eastAsia="方正小标宋_GBK" w:cs="Times New Roman"/>
                <w:b w:val="0"/>
                <w:bCs w:val="0"/>
                <w:spacing w:val="-57"/>
                <w:w w:val="66"/>
                <w:sz w:val="56"/>
                <w:szCs w:val="56"/>
              </w:rPr>
            </w:pPr>
            <w:r>
              <w:rPr>
                <w:rFonts w:hint="eastAsia" w:ascii="方正小标宋_GBK" w:hAnsi="Times New Roman" w:eastAsia="方正小标宋_GBK" w:cs="Times New Roman"/>
                <w:b w:val="0"/>
                <w:bCs w:val="0"/>
                <w:color w:val="FF0000"/>
                <w:spacing w:val="-50"/>
                <w:w w:val="70"/>
                <w:sz w:val="56"/>
                <w:szCs w:val="56"/>
              </w:rPr>
              <w:t>青岛市教育局</w:t>
            </w:r>
          </w:p>
        </w:tc>
        <w:tc>
          <w:tcPr>
            <w:tcW w:w="1383" w:type="dxa"/>
            <w:vMerge w:val="restart"/>
            <w:noWrap w:val="0"/>
            <w:vAlign w:val="center"/>
          </w:tcPr>
          <w:p w14:paraId="7D0C8083">
            <w:pPr>
              <w:keepNext w:val="0"/>
              <w:keepLines w:val="0"/>
              <w:pageBreakBefore w:val="0"/>
              <w:widowControl w:val="0"/>
              <w:kinsoku/>
              <w:wordWrap/>
              <w:overflowPunct/>
              <w:topLinePunct w:val="0"/>
              <w:autoSpaceDE/>
              <w:autoSpaceDN/>
              <w:bidi w:val="0"/>
              <w:adjustRightInd w:val="0"/>
              <w:snapToGrid/>
              <w:spacing w:line="840" w:lineRule="exact"/>
              <w:ind w:firstLine="0" w:firstLineChars="0"/>
              <w:jc w:val="center"/>
              <w:textAlignment w:val="baseline"/>
              <w:rPr>
                <w:rFonts w:hint="eastAsia" w:ascii="方正小标宋_GBK" w:hAnsi="Times New Roman" w:eastAsia="方正小标宋_GBK" w:cs="Times New Roman"/>
                <w:b w:val="0"/>
                <w:bCs w:val="0"/>
                <w:w w:val="75"/>
                <w:sz w:val="21"/>
              </w:rPr>
            </w:pPr>
            <w:r>
              <w:rPr>
                <w:rFonts w:hint="eastAsia" w:ascii="方正小标宋_GBK" w:hAnsi="Times New Roman" w:eastAsia="方正小标宋_GBK" w:cs="Times New Roman"/>
                <w:b w:val="0"/>
                <w:bCs w:val="0"/>
                <w:color w:val="FF0000"/>
                <w:spacing w:val="-12"/>
                <w:w w:val="70"/>
                <w:sz w:val="80"/>
                <w:szCs w:val="80"/>
                <w:lang w:eastAsia="zh-CN"/>
              </w:rPr>
              <w:t>文件</w:t>
            </w:r>
          </w:p>
        </w:tc>
      </w:tr>
      <w:tr w14:paraId="2D025B7B">
        <w:tblPrEx>
          <w:tblCellMar>
            <w:top w:w="0" w:type="dxa"/>
            <w:left w:w="108" w:type="dxa"/>
            <w:bottom w:w="0" w:type="dxa"/>
            <w:right w:w="108" w:type="dxa"/>
          </w:tblCellMar>
        </w:tblPrEx>
        <w:trPr>
          <w:trHeight w:val="90" w:hRule="atLeast"/>
        </w:trPr>
        <w:tc>
          <w:tcPr>
            <w:tcW w:w="8067" w:type="dxa"/>
            <w:noWrap w:val="0"/>
            <w:vAlign w:val="top"/>
          </w:tcPr>
          <w:p w14:paraId="117F1ACD">
            <w:pPr>
              <w:keepNext w:val="0"/>
              <w:keepLines w:val="0"/>
              <w:pageBreakBefore w:val="0"/>
              <w:widowControl w:val="0"/>
              <w:kinsoku/>
              <w:wordWrap/>
              <w:overflowPunct/>
              <w:topLinePunct w:val="0"/>
              <w:autoSpaceDE/>
              <w:autoSpaceDN/>
              <w:bidi w:val="0"/>
              <w:adjustRightInd w:val="0"/>
              <w:snapToGrid/>
              <w:spacing w:line="560" w:lineRule="exact"/>
              <w:ind w:right="0" w:rightChars="0" w:firstLine="0" w:firstLineChars="0"/>
              <w:jc w:val="distribute"/>
              <w:textAlignment w:val="baseline"/>
              <w:rPr>
                <w:rFonts w:hint="eastAsia" w:ascii="方正小标宋_GBK" w:hAnsi="Times New Roman" w:eastAsia="方正小标宋_GBK" w:cs="Times New Roman"/>
                <w:b w:val="0"/>
                <w:bCs w:val="0"/>
                <w:color w:val="FF0000"/>
                <w:spacing w:val="-57"/>
                <w:w w:val="66"/>
                <w:sz w:val="56"/>
                <w:szCs w:val="56"/>
                <w:lang w:eastAsia="zh-CN"/>
              </w:rPr>
            </w:pPr>
            <w:r>
              <w:rPr>
                <w:rFonts w:hint="eastAsia" w:ascii="方正小标宋_GBK" w:hAnsi="Times New Roman" w:eastAsia="方正小标宋_GBK" w:cs="Times New Roman"/>
                <w:b w:val="0"/>
                <w:bCs w:val="0"/>
                <w:color w:val="FF0000"/>
                <w:spacing w:val="-12"/>
                <w:w w:val="70"/>
                <w:sz w:val="56"/>
                <w:szCs w:val="56"/>
                <w:lang w:eastAsia="zh-CN"/>
              </w:rPr>
              <w:t>中共青岛市委机构编制委员会办公室</w:t>
            </w:r>
          </w:p>
        </w:tc>
        <w:tc>
          <w:tcPr>
            <w:tcW w:w="1383" w:type="dxa"/>
            <w:vMerge w:val="continue"/>
            <w:noWrap w:val="0"/>
            <w:vAlign w:val="top"/>
          </w:tcPr>
          <w:p w14:paraId="0A4439E9">
            <w:pPr>
              <w:spacing w:line="1200" w:lineRule="exact"/>
              <w:ind w:firstLine="0" w:firstLineChars="0"/>
              <w:rPr>
                <w:rFonts w:hint="eastAsia" w:ascii="方正小标宋_GBK" w:hAnsi="Times New Roman" w:eastAsia="方正小标宋_GBK" w:cs="Times New Roman"/>
                <w:b w:val="0"/>
                <w:bCs w:val="0"/>
                <w:sz w:val="21"/>
              </w:rPr>
            </w:pPr>
          </w:p>
        </w:tc>
      </w:tr>
      <w:tr w14:paraId="650C0BBD">
        <w:tblPrEx>
          <w:tblCellMar>
            <w:top w:w="0" w:type="dxa"/>
            <w:left w:w="108" w:type="dxa"/>
            <w:bottom w:w="0" w:type="dxa"/>
            <w:right w:w="108" w:type="dxa"/>
          </w:tblCellMar>
        </w:tblPrEx>
        <w:trPr>
          <w:trHeight w:val="90" w:hRule="atLeast"/>
        </w:trPr>
        <w:tc>
          <w:tcPr>
            <w:tcW w:w="8067" w:type="dxa"/>
            <w:noWrap w:val="0"/>
            <w:vAlign w:val="top"/>
          </w:tcPr>
          <w:p w14:paraId="124A1C74">
            <w:pPr>
              <w:keepNext w:val="0"/>
              <w:keepLines w:val="0"/>
              <w:pageBreakBefore w:val="0"/>
              <w:widowControl w:val="0"/>
              <w:kinsoku/>
              <w:wordWrap/>
              <w:overflowPunct/>
              <w:topLinePunct w:val="0"/>
              <w:autoSpaceDE/>
              <w:autoSpaceDN/>
              <w:bidi w:val="0"/>
              <w:adjustRightInd w:val="0"/>
              <w:snapToGrid/>
              <w:spacing w:line="560" w:lineRule="exact"/>
              <w:ind w:right="0" w:rightChars="0" w:firstLine="0" w:firstLineChars="0"/>
              <w:jc w:val="distribute"/>
              <w:textAlignment w:val="baseline"/>
              <w:rPr>
                <w:rFonts w:hint="default" w:ascii="方正小标宋_GBK" w:hAnsi="Times New Roman" w:eastAsia="方正小标宋_GBK" w:cs="Times New Roman"/>
                <w:b w:val="0"/>
                <w:bCs w:val="0"/>
                <w:color w:val="FF0000"/>
                <w:spacing w:val="-12"/>
                <w:w w:val="70"/>
                <w:sz w:val="56"/>
                <w:szCs w:val="56"/>
                <w:lang w:val="en-US" w:eastAsia="zh-CN"/>
              </w:rPr>
            </w:pPr>
            <w:r>
              <w:rPr>
                <w:rFonts w:hint="eastAsia" w:ascii="方正小标宋_GBK" w:hAnsi="Times New Roman" w:eastAsia="方正小标宋_GBK" w:cs="Times New Roman"/>
                <w:b w:val="0"/>
                <w:bCs w:val="0"/>
                <w:color w:val="FF0000"/>
                <w:spacing w:val="-12"/>
                <w:w w:val="70"/>
                <w:sz w:val="56"/>
                <w:szCs w:val="56"/>
                <w:lang w:val="en-US" w:eastAsia="zh-CN"/>
              </w:rPr>
              <w:t>青岛市发展和改革委员会</w:t>
            </w:r>
          </w:p>
        </w:tc>
        <w:tc>
          <w:tcPr>
            <w:tcW w:w="1383" w:type="dxa"/>
            <w:vMerge w:val="continue"/>
            <w:noWrap w:val="0"/>
            <w:vAlign w:val="top"/>
          </w:tcPr>
          <w:p w14:paraId="1BFA38FA">
            <w:pPr>
              <w:spacing w:line="1200" w:lineRule="exact"/>
              <w:ind w:firstLine="0" w:firstLineChars="0"/>
              <w:rPr>
                <w:rFonts w:hint="eastAsia" w:ascii="方正小标宋_GBK" w:hAnsi="Times New Roman" w:eastAsia="方正小标宋_GBK" w:cs="Times New Roman"/>
                <w:b w:val="0"/>
                <w:bCs w:val="0"/>
                <w:sz w:val="21"/>
              </w:rPr>
            </w:pPr>
          </w:p>
        </w:tc>
      </w:tr>
      <w:tr w14:paraId="2BDCCC85">
        <w:tblPrEx>
          <w:tblCellMar>
            <w:top w:w="0" w:type="dxa"/>
            <w:left w:w="108" w:type="dxa"/>
            <w:bottom w:w="0" w:type="dxa"/>
            <w:right w:w="108" w:type="dxa"/>
          </w:tblCellMar>
        </w:tblPrEx>
        <w:trPr>
          <w:trHeight w:val="90" w:hRule="atLeast"/>
        </w:trPr>
        <w:tc>
          <w:tcPr>
            <w:tcW w:w="8067" w:type="dxa"/>
            <w:noWrap w:val="0"/>
            <w:vAlign w:val="top"/>
          </w:tcPr>
          <w:p w14:paraId="69409D56">
            <w:pPr>
              <w:keepNext w:val="0"/>
              <w:keepLines w:val="0"/>
              <w:pageBreakBefore w:val="0"/>
              <w:widowControl w:val="0"/>
              <w:kinsoku/>
              <w:wordWrap/>
              <w:overflowPunct/>
              <w:topLinePunct w:val="0"/>
              <w:autoSpaceDE/>
              <w:autoSpaceDN/>
              <w:bidi w:val="0"/>
              <w:adjustRightInd w:val="0"/>
              <w:snapToGrid/>
              <w:spacing w:line="560" w:lineRule="exact"/>
              <w:ind w:right="0" w:rightChars="0" w:firstLine="0" w:firstLineChars="0"/>
              <w:jc w:val="distribute"/>
              <w:textAlignment w:val="baseline"/>
              <w:rPr>
                <w:rFonts w:hint="eastAsia" w:ascii="方正小标宋_GBK" w:hAnsi="Times New Roman" w:eastAsia="方正小标宋_GBK" w:cs="Times New Roman"/>
                <w:b w:val="0"/>
                <w:bCs w:val="0"/>
                <w:color w:val="FF0000"/>
                <w:spacing w:val="-12"/>
                <w:w w:val="70"/>
                <w:sz w:val="56"/>
                <w:szCs w:val="56"/>
                <w:lang w:eastAsia="zh-CN"/>
              </w:rPr>
            </w:pPr>
            <w:r>
              <w:rPr>
                <w:rFonts w:hint="eastAsia" w:ascii="方正小标宋_GBK" w:hAnsi="Times New Roman" w:eastAsia="方正小标宋_GBK" w:cs="Times New Roman"/>
                <w:b w:val="0"/>
                <w:bCs w:val="0"/>
                <w:color w:val="FF0000"/>
                <w:spacing w:val="-12"/>
                <w:w w:val="70"/>
                <w:sz w:val="56"/>
                <w:szCs w:val="56"/>
                <w:lang w:eastAsia="zh-CN"/>
              </w:rPr>
              <w:t>青岛市民政局</w:t>
            </w:r>
          </w:p>
        </w:tc>
        <w:tc>
          <w:tcPr>
            <w:tcW w:w="1383" w:type="dxa"/>
            <w:vMerge w:val="continue"/>
            <w:noWrap w:val="0"/>
            <w:vAlign w:val="top"/>
          </w:tcPr>
          <w:p w14:paraId="15209659">
            <w:pPr>
              <w:spacing w:line="1200" w:lineRule="exact"/>
              <w:ind w:firstLine="0" w:firstLineChars="0"/>
              <w:rPr>
                <w:rFonts w:hint="eastAsia" w:ascii="方正小标宋_GBK" w:hAnsi="Times New Roman" w:eastAsia="方正小标宋_GBK" w:cs="Times New Roman"/>
                <w:b w:val="0"/>
                <w:bCs w:val="0"/>
                <w:sz w:val="21"/>
              </w:rPr>
            </w:pPr>
          </w:p>
        </w:tc>
      </w:tr>
      <w:tr w14:paraId="1760447A">
        <w:tblPrEx>
          <w:tblCellMar>
            <w:top w:w="0" w:type="dxa"/>
            <w:left w:w="108" w:type="dxa"/>
            <w:bottom w:w="0" w:type="dxa"/>
            <w:right w:w="108" w:type="dxa"/>
          </w:tblCellMar>
        </w:tblPrEx>
        <w:trPr>
          <w:trHeight w:val="90" w:hRule="atLeast"/>
        </w:trPr>
        <w:tc>
          <w:tcPr>
            <w:tcW w:w="8067" w:type="dxa"/>
            <w:noWrap w:val="0"/>
            <w:vAlign w:val="top"/>
          </w:tcPr>
          <w:p w14:paraId="213801DD">
            <w:pPr>
              <w:keepNext w:val="0"/>
              <w:keepLines w:val="0"/>
              <w:pageBreakBefore w:val="0"/>
              <w:widowControl w:val="0"/>
              <w:kinsoku/>
              <w:wordWrap/>
              <w:overflowPunct/>
              <w:topLinePunct w:val="0"/>
              <w:autoSpaceDE/>
              <w:autoSpaceDN/>
              <w:bidi w:val="0"/>
              <w:adjustRightInd w:val="0"/>
              <w:snapToGrid/>
              <w:spacing w:line="560" w:lineRule="exact"/>
              <w:ind w:right="0" w:rightChars="0" w:firstLine="0" w:firstLineChars="0"/>
              <w:jc w:val="distribute"/>
              <w:textAlignment w:val="baseline"/>
              <w:rPr>
                <w:rFonts w:hint="eastAsia" w:ascii="方正小标宋_GBK" w:hAnsi="Times New Roman" w:eastAsia="方正小标宋_GBK" w:cs="Times New Roman"/>
                <w:b w:val="0"/>
                <w:bCs w:val="0"/>
                <w:color w:val="FF0000"/>
                <w:spacing w:val="-12"/>
                <w:w w:val="70"/>
                <w:sz w:val="56"/>
                <w:szCs w:val="56"/>
                <w:lang w:eastAsia="zh-CN"/>
              </w:rPr>
            </w:pPr>
            <w:r>
              <w:rPr>
                <w:rFonts w:hint="eastAsia" w:ascii="方正小标宋_GBK" w:hAnsi="Times New Roman" w:eastAsia="方正小标宋_GBK" w:cs="Times New Roman"/>
                <w:b w:val="0"/>
                <w:bCs w:val="0"/>
                <w:color w:val="FF0000"/>
                <w:spacing w:val="-12"/>
                <w:w w:val="70"/>
                <w:sz w:val="56"/>
                <w:szCs w:val="56"/>
                <w:lang w:eastAsia="zh-CN"/>
              </w:rPr>
              <w:t>青岛市财政局</w:t>
            </w:r>
          </w:p>
        </w:tc>
        <w:tc>
          <w:tcPr>
            <w:tcW w:w="1383" w:type="dxa"/>
            <w:vMerge w:val="continue"/>
            <w:noWrap w:val="0"/>
            <w:vAlign w:val="top"/>
          </w:tcPr>
          <w:p w14:paraId="416059A7">
            <w:pPr>
              <w:spacing w:line="1200" w:lineRule="exact"/>
              <w:ind w:firstLine="0" w:firstLineChars="0"/>
              <w:rPr>
                <w:rFonts w:hint="eastAsia" w:ascii="方正小标宋_GBK" w:hAnsi="Times New Roman" w:eastAsia="方正小标宋_GBK" w:cs="Times New Roman"/>
                <w:b w:val="0"/>
                <w:bCs w:val="0"/>
                <w:sz w:val="21"/>
              </w:rPr>
            </w:pPr>
          </w:p>
        </w:tc>
      </w:tr>
      <w:tr w14:paraId="28497918">
        <w:tblPrEx>
          <w:tblCellMar>
            <w:top w:w="0" w:type="dxa"/>
            <w:left w:w="108" w:type="dxa"/>
            <w:bottom w:w="0" w:type="dxa"/>
            <w:right w:w="108" w:type="dxa"/>
          </w:tblCellMar>
        </w:tblPrEx>
        <w:trPr>
          <w:trHeight w:val="90" w:hRule="atLeast"/>
        </w:trPr>
        <w:tc>
          <w:tcPr>
            <w:tcW w:w="8067" w:type="dxa"/>
            <w:noWrap w:val="0"/>
            <w:vAlign w:val="top"/>
          </w:tcPr>
          <w:p w14:paraId="5FC6BD0D">
            <w:pPr>
              <w:keepNext w:val="0"/>
              <w:keepLines w:val="0"/>
              <w:pageBreakBefore w:val="0"/>
              <w:widowControl w:val="0"/>
              <w:kinsoku/>
              <w:wordWrap/>
              <w:overflowPunct/>
              <w:topLinePunct w:val="0"/>
              <w:autoSpaceDE/>
              <w:autoSpaceDN/>
              <w:bidi w:val="0"/>
              <w:adjustRightInd w:val="0"/>
              <w:snapToGrid/>
              <w:spacing w:line="560" w:lineRule="exact"/>
              <w:ind w:right="0" w:rightChars="0" w:firstLine="0" w:firstLineChars="0"/>
              <w:jc w:val="distribute"/>
              <w:textAlignment w:val="baseline"/>
              <w:rPr>
                <w:rFonts w:hint="eastAsia" w:ascii="方正小标宋_GBK" w:hAnsi="Times New Roman" w:eastAsia="方正小标宋_GBK" w:cs="Times New Roman"/>
                <w:b w:val="0"/>
                <w:bCs w:val="0"/>
                <w:color w:val="FF0000"/>
                <w:spacing w:val="-12"/>
                <w:w w:val="70"/>
                <w:sz w:val="56"/>
                <w:szCs w:val="56"/>
                <w:lang w:eastAsia="zh-CN"/>
              </w:rPr>
            </w:pPr>
            <w:r>
              <w:rPr>
                <w:rFonts w:hint="eastAsia" w:ascii="方正小标宋_GBK" w:hAnsi="Times New Roman" w:eastAsia="方正小标宋_GBK" w:cs="Times New Roman"/>
                <w:b w:val="0"/>
                <w:bCs w:val="0"/>
                <w:color w:val="FF0000"/>
                <w:spacing w:val="-12"/>
                <w:w w:val="70"/>
                <w:sz w:val="56"/>
                <w:szCs w:val="56"/>
                <w:lang w:eastAsia="zh-CN"/>
              </w:rPr>
              <w:t>青岛市人力资源和社会保障局</w:t>
            </w:r>
          </w:p>
        </w:tc>
        <w:tc>
          <w:tcPr>
            <w:tcW w:w="1383" w:type="dxa"/>
            <w:vMerge w:val="continue"/>
            <w:noWrap w:val="0"/>
            <w:vAlign w:val="top"/>
          </w:tcPr>
          <w:p w14:paraId="1E7C74B0">
            <w:pPr>
              <w:spacing w:line="1200" w:lineRule="exact"/>
              <w:ind w:firstLine="0" w:firstLineChars="0"/>
              <w:rPr>
                <w:rFonts w:hint="eastAsia" w:ascii="方正小标宋_GBK" w:hAnsi="Times New Roman" w:eastAsia="方正小标宋_GBK" w:cs="Times New Roman"/>
                <w:b w:val="0"/>
                <w:bCs w:val="0"/>
                <w:sz w:val="21"/>
              </w:rPr>
            </w:pPr>
          </w:p>
        </w:tc>
      </w:tr>
      <w:tr w14:paraId="56B953B4">
        <w:tblPrEx>
          <w:tblCellMar>
            <w:top w:w="0" w:type="dxa"/>
            <w:left w:w="108" w:type="dxa"/>
            <w:bottom w:w="0" w:type="dxa"/>
            <w:right w:w="108" w:type="dxa"/>
          </w:tblCellMar>
        </w:tblPrEx>
        <w:trPr>
          <w:trHeight w:val="90" w:hRule="atLeast"/>
        </w:trPr>
        <w:tc>
          <w:tcPr>
            <w:tcW w:w="8067" w:type="dxa"/>
            <w:noWrap w:val="0"/>
            <w:vAlign w:val="top"/>
          </w:tcPr>
          <w:p w14:paraId="7BFF36BB">
            <w:pPr>
              <w:keepNext w:val="0"/>
              <w:keepLines w:val="0"/>
              <w:pageBreakBefore w:val="0"/>
              <w:widowControl w:val="0"/>
              <w:kinsoku/>
              <w:wordWrap/>
              <w:overflowPunct/>
              <w:topLinePunct w:val="0"/>
              <w:autoSpaceDE/>
              <w:autoSpaceDN/>
              <w:bidi w:val="0"/>
              <w:adjustRightInd w:val="0"/>
              <w:snapToGrid/>
              <w:spacing w:line="560" w:lineRule="exact"/>
              <w:ind w:right="0" w:rightChars="0" w:firstLine="0" w:firstLineChars="0"/>
              <w:jc w:val="distribute"/>
              <w:textAlignment w:val="baseline"/>
              <w:rPr>
                <w:rFonts w:hint="eastAsia" w:ascii="方正小标宋_GBK" w:hAnsi="Times New Roman" w:eastAsia="方正小标宋_GBK" w:cs="Times New Roman"/>
                <w:b w:val="0"/>
                <w:bCs w:val="0"/>
                <w:color w:val="FF0000"/>
                <w:spacing w:val="-12"/>
                <w:w w:val="70"/>
                <w:sz w:val="56"/>
                <w:szCs w:val="56"/>
                <w:lang w:eastAsia="zh-CN"/>
              </w:rPr>
            </w:pPr>
            <w:r>
              <w:rPr>
                <w:rFonts w:hint="eastAsia" w:ascii="方正小标宋_GBK" w:hAnsi="Times New Roman" w:eastAsia="方正小标宋_GBK" w:cs="Times New Roman"/>
                <w:b w:val="0"/>
                <w:bCs w:val="0"/>
                <w:color w:val="FF0000"/>
                <w:spacing w:val="-12"/>
                <w:w w:val="70"/>
                <w:sz w:val="56"/>
                <w:szCs w:val="56"/>
                <w:lang w:eastAsia="zh-CN"/>
              </w:rPr>
              <w:t>青岛市自然资源和规划局</w:t>
            </w:r>
          </w:p>
        </w:tc>
        <w:tc>
          <w:tcPr>
            <w:tcW w:w="1383" w:type="dxa"/>
            <w:vMerge w:val="continue"/>
            <w:noWrap w:val="0"/>
            <w:vAlign w:val="top"/>
          </w:tcPr>
          <w:p w14:paraId="7B21255F">
            <w:pPr>
              <w:spacing w:line="1200" w:lineRule="exact"/>
              <w:ind w:firstLine="0" w:firstLineChars="0"/>
              <w:rPr>
                <w:rFonts w:hint="eastAsia" w:ascii="方正小标宋_GBK" w:hAnsi="Times New Roman" w:eastAsia="方正小标宋_GBK" w:cs="Times New Roman"/>
                <w:b w:val="0"/>
                <w:bCs w:val="0"/>
                <w:sz w:val="21"/>
              </w:rPr>
            </w:pPr>
          </w:p>
        </w:tc>
      </w:tr>
      <w:tr w14:paraId="09812763">
        <w:tblPrEx>
          <w:tblCellMar>
            <w:top w:w="0" w:type="dxa"/>
            <w:left w:w="108" w:type="dxa"/>
            <w:bottom w:w="0" w:type="dxa"/>
            <w:right w:w="108" w:type="dxa"/>
          </w:tblCellMar>
        </w:tblPrEx>
        <w:trPr>
          <w:trHeight w:val="90" w:hRule="atLeast"/>
        </w:trPr>
        <w:tc>
          <w:tcPr>
            <w:tcW w:w="8067" w:type="dxa"/>
            <w:noWrap w:val="0"/>
            <w:vAlign w:val="top"/>
          </w:tcPr>
          <w:p w14:paraId="21303DC1">
            <w:pPr>
              <w:keepNext w:val="0"/>
              <w:keepLines w:val="0"/>
              <w:pageBreakBefore w:val="0"/>
              <w:widowControl w:val="0"/>
              <w:kinsoku/>
              <w:wordWrap/>
              <w:overflowPunct/>
              <w:topLinePunct w:val="0"/>
              <w:autoSpaceDE/>
              <w:autoSpaceDN/>
              <w:bidi w:val="0"/>
              <w:adjustRightInd w:val="0"/>
              <w:snapToGrid/>
              <w:spacing w:line="560" w:lineRule="exact"/>
              <w:ind w:right="86" w:rightChars="27" w:firstLine="0" w:firstLineChars="0"/>
              <w:jc w:val="distribute"/>
              <w:textAlignment w:val="baseline"/>
              <w:rPr>
                <w:rFonts w:hint="eastAsia" w:ascii="方正小标宋_GBK" w:hAnsi="Times New Roman" w:eastAsia="方正小标宋_GBK" w:cs="Times New Roman"/>
                <w:b w:val="0"/>
                <w:bCs w:val="0"/>
                <w:color w:val="FF0000"/>
                <w:spacing w:val="-12"/>
                <w:w w:val="70"/>
                <w:sz w:val="56"/>
                <w:szCs w:val="56"/>
                <w:lang w:eastAsia="zh-CN"/>
              </w:rPr>
            </w:pPr>
            <w:r>
              <w:rPr>
                <w:rFonts w:hint="eastAsia" w:ascii="方正小标宋_GBK" w:hAnsi="Times New Roman" w:eastAsia="方正小标宋_GBK" w:cs="Times New Roman"/>
                <w:b w:val="0"/>
                <w:bCs w:val="0"/>
                <w:color w:val="FF0000"/>
                <w:spacing w:val="-50"/>
                <w:w w:val="70"/>
                <w:sz w:val="56"/>
                <w:szCs w:val="56"/>
                <w:lang w:eastAsia="zh-CN"/>
              </w:rPr>
              <w:t>青岛市住房和城乡建设局</w:t>
            </w:r>
          </w:p>
        </w:tc>
        <w:tc>
          <w:tcPr>
            <w:tcW w:w="1383" w:type="dxa"/>
            <w:vMerge w:val="continue"/>
            <w:noWrap w:val="0"/>
            <w:vAlign w:val="top"/>
          </w:tcPr>
          <w:p w14:paraId="11A31FED">
            <w:pPr>
              <w:spacing w:line="1200" w:lineRule="exact"/>
              <w:ind w:firstLine="0" w:firstLineChars="0"/>
              <w:rPr>
                <w:rFonts w:hint="eastAsia" w:ascii="方正小标宋_GBK" w:hAnsi="Times New Roman" w:eastAsia="方正小标宋_GBK" w:cs="Times New Roman"/>
                <w:b w:val="0"/>
                <w:bCs w:val="0"/>
                <w:sz w:val="21"/>
              </w:rPr>
            </w:pPr>
          </w:p>
        </w:tc>
      </w:tr>
      <w:tr w14:paraId="5D119C91">
        <w:tblPrEx>
          <w:tblCellMar>
            <w:top w:w="0" w:type="dxa"/>
            <w:left w:w="108" w:type="dxa"/>
            <w:bottom w:w="0" w:type="dxa"/>
            <w:right w:w="108" w:type="dxa"/>
          </w:tblCellMar>
        </w:tblPrEx>
        <w:trPr>
          <w:trHeight w:val="90" w:hRule="atLeast"/>
        </w:trPr>
        <w:tc>
          <w:tcPr>
            <w:tcW w:w="8067" w:type="dxa"/>
            <w:noWrap w:val="0"/>
            <w:vAlign w:val="top"/>
          </w:tcPr>
          <w:p w14:paraId="7EF3ADF4">
            <w:pPr>
              <w:keepNext w:val="0"/>
              <w:keepLines w:val="0"/>
              <w:pageBreakBefore w:val="0"/>
              <w:widowControl w:val="0"/>
              <w:kinsoku/>
              <w:wordWrap/>
              <w:overflowPunct/>
              <w:topLinePunct w:val="0"/>
              <w:autoSpaceDE/>
              <w:autoSpaceDN/>
              <w:bidi w:val="0"/>
              <w:adjustRightInd w:val="0"/>
              <w:snapToGrid/>
              <w:spacing w:line="560" w:lineRule="exact"/>
              <w:ind w:right="86" w:rightChars="27" w:firstLine="0" w:firstLineChars="0"/>
              <w:jc w:val="distribute"/>
              <w:textAlignment w:val="baseline"/>
              <w:rPr>
                <w:rFonts w:hint="eastAsia" w:ascii="方正小标宋_GBK" w:hAnsi="Times New Roman" w:eastAsia="方正小标宋_GBK" w:cs="Times New Roman"/>
                <w:b w:val="0"/>
                <w:bCs w:val="0"/>
                <w:color w:val="FF0000"/>
                <w:spacing w:val="-12"/>
                <w:w w:val="70"/>
                <w:sz w:val="56"/>
                <w:szCs w:val="56"/>
                <w:lang w:eastAsia="zh-CN"/>
              </w:rPr>
            </w:pPr>
            <w:r>
              <w:rPr>
                <w:rFonts w:hint="eastAsia" w:ascii="方正小标宋_GBK" w:hAnsi="Times New Roman" w:eastAsia="方正小标宋_GBK" w:cs="Times New Roman"/>
                <w:b w:val="0"/>
                <w:bCs w:val="0"/>
                <w:color w:val="FF0000"/>
                <w:spacing w:val="-50"/>
                <w:w w:val="70"/>
                <w:sz w:val="56"/>
                <w:szCs w:val="56"/>
                <w:lang w:eastAsia="zh-CN"/>
              </w:rPr>
              <w:t>青岛市卫生健康委员会</w:t>
            </w:r>
          </w:p>
        </w:tc>
        <w:tc>
          <w:tcPr>
            <w:tcW w:w="1383" w:type="dxa"/>
            <w:vMerge w:val="continue"/>
            <w:noWrap w:val="0"/>
            <w:vAlign w:val="top"/>
          </w:tcPr>
          <w:p w14:paraId="269C7671">
            <w:pPr>
              <w:spacing w:line="1200" w:lineRule="exact"/>
              <w:ind w:firstLine="0" w:firstLineChars="0"/>
              <w:rPr>
                <w:rFonts w:hint="eastAsia" w:ascii="方正小标宋_GBK" w:hAnsi="Times New Roman" w:eastAsia="方正小标宋_GBK" w:cs="Times New Roman"/>
                <w:b w:val="0"/>
                <w:bCs w:val="0"/>
                <w:sz w:val="21"/>
              </w:rPr>
            </w:pPr>
          </w:p>
        </w:tc>
      </w:tr>
      <w:tr w14:paraId="06137E26">
        <w:tblPrEx>
          <w:tblCellMar>
            <w:top w:w="0" w:type="dxa"/>
            <w:left w:w="108" w:type="dxa"/>
            <w:bottom w:w="0" w:type="dxa"/>
            <w:right w:w="108" w:type="dxa"/>
          </w:tblCellMar>
        </w:tblPrEx>
        <w:tc>
          <w:tcPr>
            <w:tcW w:w="8067" w:type="dxa"/>
            <w:noWrap w:val="0"/>
            <w:vAlign w:val="top"/>
          </w:tcPr>
          <w:p w14:paraId="2DF06609">
            <w:pPr>
              <w:keepNext w:val="0"/>
              <w:keepLines w:val="0"/>
              <w:pageBreakBefore w:val="0"/>
              <w:widowControl w:val="0"/>
              <w:kinsoku/>
              <w:wordWrap/>
              <w:overflowPunct/>
              <w:topLinePunct w:val="0"/>
              <w:autoSpaceDE/>
              <w:autoSpaceDN/>
              <w:bidi w:val="0"/>
              <w:adjustRightInd w:val="0"/>
              <w:snapToGrid/>
              <w:spacing w:line="560" w:lineRule="exact"/>
              <w:ind w:right="118" w:rightChars="37" w:firstLine="0" w:firstLineChars="0"/>
              <w:jc w:val="distribute"/>
              <w:textAlignment w:val="baseline"/>
              <w:rPr>
                <w:rFonts w:hint="eastAsia" w:ascii="方正小标宋_GBK" w:hAnsi="Times New Roman" w:eastAsia="方正小标宋_GBK" w:cs="Times New Roman"/>
                <w:b w:val="0"/>
                <w:bCs w:val="0"/>
                <w:color w:val="FF0000"/>
                <w:spacing w:val="-50"/>
                <w:w w:val="70"/>
                <w:sz w:val="56"/>
                <w:szCs w:val="56"/>
                <w:lang w:eastAsia="zh-CN"/>
              </w:rPr>
            </w:pPr>
            <w:r>
              <w:rPr>
                <w:rFonts w:hint="eastAsia" w:ascii="方正小标宋_GBK" w:hAnsi="Times New Roman" w:eastAsia="方正小标宋_GBK" w:cs="Times New Roman"/>
                <w:b w:val="0"/>
                <w:bCs w:val="0"/>
                <w:color w:val="FF0000"/>
                <w:spacing w:val="-50"/>
                <w:w w:val="70"/>
                <w:sz w:val="56"/>
                <w:szCs w:val="56"/>
                <w:lang w:eastAsia="zh-CN"/>
              </w:rPr>
              <w:t>青岛市市场监督管理局</w:t>
            </w:r>
          </w:p>
        </w:tc>
        <w:tc>
          <w:tcPr>
            <w:tcW w:w="1383" w:type="dxa"/>
            <w:vMerge w:val="continue"/>
            <w:noWrap w:val="0"/>
            <w:vAlign w:val="top"/>
          </w:tcPr>
          <w:p w14:paraId="162A6AB2">
            <w:pPr>
              <w:spacing w:line="1200" w:lineRule="exact"/>
              <w:ind w:firstLine="0" w:firstLineChars="0"/>
              <w:rPr>
                <w:rFonts w:hint="eastAsia" w:ascii="方正小标宋_GBK" w:hAnsi="Times New Roman" w:eastAsia="方正小标宋_GBK" w:cs="Times New Roman"/>
                <w:b w:val="0"/>
                <w:bCs w:val="0"/>
                <w:sz w:val="21"/>
              </w:rPr>
            </w:pPr>
          </w:p>
        </w:tc>
      </w:tr>
      <w:tr w14:paraId="20163B34">
        <w:tblPrEx>
          <w:tblCellMar>
            <w:top w:w="0" w:type="dxa"/>
            <w:left w:w="108" w:type="dxa"/>
            <w:bottom w:w="0" w:type="dxa"/>
            <w:right w:w="108" w:type="dxa"/>
          </w:tblCellMar>
        </w:tblPrEx>
        <w:tc>
          <w:tcPr>
            <w:tcW w:w="8067" w:type="dxa"/>
            <w:noWrap w:val="0"/>
            <w:vAlign w:val="top"/>
          </w:tcPr>
          <w:p w14:paraId="1475F4D5">
            <w:pPr>
              <w:keepNext w:val="0"/>
              <w:keepLines w:val="0"/>
              <w:pageBreakBefore w:val="0"/>
              <w:widowControl w:val="0"/>
              <w:kinsoku/>
              <w:wordWrap/>
              <w:overflowPunct/>
              <w:topLinePunct w:val="0"/>
              <w:autoSpaceDE/>
              <w:autoSpaceDN/>
              <w:bidi w:val="0"/>
              <w:adjustRightInd w:val="0"/>
              <w:snapToGrid/>
              <w:spacing w:line="560" w:lineRule="exact"/>
              <w:ind w:right="86" w:rightChars="27" w:firstLine="0" w:firstLineChars="0"/>
              <w:jc w:val="distribute"/>
              <w:textAlignment w:val="baseline"/>
              <w:rPr>
                <w:rFonts w:hint="eastAsia" w:ascii="方正小标宋_GBK" w:hAnsi="Times New Roman" w:eastAsia="方正小标宋_GBK" w:cs="Times New Roman"/>
                <w:b w:val="0"/>
                <w:bCs w:val="0"/>
                <w:color w:val="FF0000"/>
                <w:spacing w:val="-50"/>
                <w:w w:val="70"/>
                <w:sz w:val="56"/>
                <w:szCs w:val="56"/>
                <w:lang w:eastAsia="zh-CN"/>
              </w:rPr>
            </w:pPr>
            <w:r>
              <w:rPr>
                <w:rFonts w:hint="eastAsia" w:ascii="方正小标宋_GBK" w:hAnsi="Times New Roman" w:eastAsia="方正小标宋_GBK" w:cs="Times New Roman"/>
                <w:b w:val="0"/>
                <w:bCs w:val="0"/>
                <w:color w:val="FF0000"/>
                <w:spacing w:val="-50"/>
                <w:w w:val="70"/>
                <w:sz w:val="56"/>
                <w:szCs w:val="56"/>
              </w:rPr>
              <w:t>青岛市</w:t>
            </w:r>
            <w:r>
              <w:rPr>
                <w:rFonts w:hint="eastAsia" w:ascii="方正小标宋_GBK" w:hAnsi="Times New Roman" w:eastAsia="方正小标宋_GBK" w:cs="Times New Roman"/>
                <w:b w:val="0"/>
                <w:bCs w:val="0"/>
                <w:color w:val="FF0000"/>
                <w:spacing w:val="-50"/>
                <w:w w:val="70"/>
                <w:sz w:val="56"/>
                <w:szCs w:val="56"/>
                <w:lang w:eastAsia="zh-CN"/>
              </w:rPr>
              <w:t>行政审批服务局</w:t>
            </w:r>
          </w:p>
        </w:tc>
        <w:tc>
          <w:tcPr>
            <w:tcW w:w="1383" w:type="dxa"/>
            <w:vMerge w:val="continue"/>
            <w:noWrap w:val="0"/>
            <w:vAlign w:val="top"/>
          </w:tcPr>
          <w:p w14:paraId="1E419DD9">
            <w:pPr>
              <w:spacing w:line="1200" w:lineRule="exact"/>
              <w:ind w:firstLine="0" w:firstLineChars="0"/>
              <w:rPr>
                <w:rFonts w:hint="eastAsia" w:ascii="方正小标宋_GBK" w:hAnsi="Times New Roman" w:eastAsia="方正小标宋_GBK" w:cs="Times New Roman"/>
                <w:b w:val="0"/>
                <w:bCs w:val="0"/>
                <w:sz w:val="21"/>
              </w:rPr>
            </w:pPr>
          </w:p>
        </w:tc>
      </w:tr>
      <w:tr w14:paraId="3DEA932F">
        <w:tblPrEx>
          <w:tblCellMar>
            <w:top w:w="0" w:type="dxa"/>
            <w:left w:w="108" w:type="dxa"/>
            <w:bottom w:w="0" w:type="dxa"/>
            <w:right w:w="108" w:type="dxa"/>
          </w:tblCellMar>
        </w:tblPrEx>
        <w:tc>
          <w:tcPr>
            <w:tcW w:w="8067" w:type="dxa"/>
            <w:noWrap w:val="0"/>
            <w:vAlign w:val="top"/>
          </w:tcPr>
          <w:p w14:paraId="301AA4DD">
            <w:pPr>
              <w:keepNext w:val="0"/>
              <w:keepLines w:val="0"/>
              <w:pageBreakBefore w:val="0"/>
              <w:widowControl w:val="0"/>
              <w:kinsoku/>
              <w:wordWrap/>
              <w:overflowPunct/>
              <w:topLinePunct w:val="0"/>
              <w:autoSpaceDE/>
              <w:autoSpaceDN/>
              <w:bidi w:val="0"/>
              <w:adjustRightInd w:val="0"/>
              <w:snapToGrid/>
              <w:spacing w:line="560" w:lineRule="exact"/>
              <w:ind w:right="102" w:rightChars="32" w:firstLine="0" w:firstLineChars="0"/>
              <w:jc w:val="distribute"/>
              <w:textAlignment w:val="baseline"/>
              <w:rPr>
                <w:rFonts w:hint="eastAsia" w:ascii="方正小标宋_GBK" w:hAnsi="Times New Roman" w:eastAsia="方正小标宋_GBK" w:cs="Times New Roman"/>
                <w:b w:val="0"/>
                <w:bCs w:val="0"/>
                <w:color w:val="FF0000"/>
                <w:spacing w:val="-50"/>
                <w:w w:val="70"/>
                <w:sz w:val="56"/>
                <w:szCs w:val="56"/>
                <w:lang w:eastAsia="zh-CN"/>
              </w:rPr>
            </w:pPr>
            <w:r>
              <w:rPr>
                <w:rFonts w:hint="eastAsia" w:ascii="方正小标宋_GBK" w:hAnsi="Times New Roman" w:eastAsia="方正小标宋_GBK" w:cs="Times New Roman"/>
                <w:b w:val="0"/>
                <w:bCs w:val="0"/>
                <w:color w:val="FF0000"/>
                <w:spacing w:val="-50"/>
                <w:w w:val="70"/>
                <w:sz w:val="56"/>
                <w:szCs w:val="56"/>
                <w:lang w:eastAsia="zh-CN"/>
              </w:rPr>
              <w:t>国家税务总局青岛市税务局</w:t>
            </w:r>
          </w:p>
        </w:tc>
        <w:tc>
          <w:tcPr>
            <w:tcW w:w="1383" w:type="dxa"/>
            <w:vMerge w:val="continue"/>
            <w:noWrap w:val="0"/>
            <w:vAlign w:val="top"/>
          </w:tcPr>
          <w:p w14:paraId="2504D5B9">
            <w:pPr>
              <w:spacing w:line="1200" w:lineRule="exact"/>
              <w:ind w:firstLine="0" w:firstLineChars="0"/>
              <w:rPr>
                <w:rFonts w:hint="eastAsia" w:ascii="方正小标宋_GBK" w:hAnsi="Times New Roman" w:eastAsia="方正小标宋_GBK" w:cs="Times New Roman"/>
                <w:b w:val="0"/>
                <w:bCs w:val="0"/>
                <w:sz w:val="21"/>
              </w:rPr>
            </w:pPr>
          </w:p>
        </w:tc>
      </w:tr>
    </w:tbl>
    <w:p w14:paraId="137AF469">
      <w:pPr>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baseline"/>
        <w:rPr>
          <w:rFonts w:hint="eastAsia" w:ascii="仿宋_GB2312" w:hAnsi="Times New Roman" w:eastAsia="仿宋_GB2312" w:cs="Times New Roman"/>
          <w:b w:val="0"/>
          <w:bCs w:val="0"/>
          <w:spacing w:val="16"/>
          <w:kern w:val="0"/>
          <w:sz w:val="32"/>
          <w:szCs w:val="32"/>
        </w:rPr>
      </w:pPr>
    </w:p>
    <w:p w14:paraId="57DF94BB">
      <w:pPr>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baseline"/>
        <w:rPr>
          <w:rFonts w:hint="eastAsia" w:ascii="仿宋_GB2312" w:hAnsi="Times New Roman" w:eastAsia="仿宋_GB2312" w:cs="Times New Roman"/>
          <w:b w:val="0"/>
          <w:bCs w:val="0"/>
          <w:spacing w:val="16"/>
          <w:kern w:val="0"/>
          <w:sz w:val="32"/>
          <w:szCs w:val="32"/>
        </w:rPr>
      </w:pPr>
      <w:r>
        <w:rPr>
          <w:rFonts w:hint="eastAsia" w:ascii="仿宋_GB2312" w:hAnsi="Times New Roman" w:eastAsia="仿宋_GB2312" w:cs="Times New Roman"/>
          <w:b w:val="0"/>
          <w:bCs w:val="0"/>
          <w:spacing w:val="16"/>
          <w:kern w:val="0"/>
          <w:sz w:val="32"/>
          <w:szCs w:val="32"/>
        </w:rPr>
        <w:t>青教通字〔202</w:t>
      </w:r>
      <w:r>
        <w:rPr>
          <w:rFonts w:hint="eastAsia" w:hAnsi="Times New Roman" w:cs="Times New Roman"/>
          <w:b w:val="0"/>
          <w:bCs w:val="0"/>
          <w:spacing w:val="16"/>
          <w:kern w:val="0"/>
          <w:sz w:val="32"/>
          <w:szCs w:val="32"/>
          <w:lang w:val="en-US" w:eastAsia="zh-CN"/>
        </w:rPr>
        <w:t>5</w:t>
      </w:r>
      <w:r>
        <w:rPr>
          <w:rFonts w:hint="eastAsia" w:ascii="仿宋_GB2312" w:hAnsi="Times New Roman" w:eastAsia="仿宋_GB2312" w:cs="Times New Roman"/>
          <w:b w:val="0"/>
          <w:bCs w:val="0"/>
          <w:spacing w:val="16"/>
          <w:kern w:val="0"/>
          <w:sz w:val="32"/>
          <w:szCs w:val="32"/>
        </w:rPr>
        <w:t>〕</w:t>
      </w:r>
      <w:r>
        <w:rPr>
          <w:rFonts w:hint="eastAsia" w:hAnsi="Times New Roman" w:cs="Times New Roman"/>
          <w:b w:val="0"/>
          <w:bCs w:val="0"/>
          <w:spacing w:val="16"/>
          <w:kern w:val="0"/>
          <w:sz w:val="32"/>
          <w:szCs w:val="32"/>
          <w:lang w:val="en-US" w:eastAsia="zh-CN"/>
        </w:rPr>
        <w:t>60</w:t>
      </w:r>
      <w:r>
        <w:rPr>
          <w:rFonts w:hint="eastAsia" w:ascii="仿宋_GB2312" w:hAnsi="Times New Roman" w:eastAsia="仿宋_GB2312" w:cs="Times New Roman"/>
          <w:b w:val="0"/>
          <w:bCs w:val="0"/>
          <w:spacing w:val="16"/>
          <w:kern w:val="0"/>
          <w:sz w:val="32"/>
          <w:szCs w:val="32"/>
        </w:rPr>
        <w:t>号</w:t>
      </w:r>
    </w:p>
    <w:p w14:paraId="110CF074">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baseline"/>
        <w:rPr>
          <w:rFonts w:hint="eastAsia" w:ascii="仿宋_GB2312" w:hAnsi="Times New Roman" w:eastAsia="仿宋_GB2312" w:cs="Times New Roman"/>
          <w:b w:val="0"/>
          <w:bCs w:val="0"/>
          <w:spacing w:val="8"/>
          <w:kern w:val="0"/>
          <w:sz w:val="32"/>
          <w:szCs w:val="20"/>
        </w:rPr>
      </w:pPr>
      <w:r>
        <w:rPr>
          <w:rFonts w:hint="eastAsia" w:ascii="仿宋_GB2312" w:hAnsi="Times New Roman" w:eastAsia="仿宋_GB2312" w:cs="Times New Roman"/>
          <w:b w:val="0"/>
          <w:bCs w:val="0"/>
          <w:color w:val="FF0000"/>
          <w:spacing w:val="-16"/>
          <w:kern w:val="0"/>
          <w:sz w:val="32"/>
          <w:szCs w:val="20"/>
        </w:rPr>
        <w:t>─────────────────────────────</w:t>
      </w:r>
    </w:p>
    <w:p w14:paraId="381C83D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52"/>
        </w:rPr>
      </w:pPr>
    </w:p>
    <w:p w14:paraId="0E04500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青岛市</w:t>
      </w:r>
      <w:r>
        <w:rPr>
          <w:rFonts w:hint="eastAsia" w:ascii="方正小标宋简体" w:hAnsi="方正小标宋简体" w:eastAsia="方正小标宋简体" w:cs="方正小标宋简体"/>
          <w:sz w:val="44"/>
          <w:szCs w:val="52"/>
          <w:lang w:eastAsia="zh-CN"/>
        </w:rPr>
        <w:t>教育局等</w:t>
      </w:r>
      <w:r>
        <w:rPr>
          <w:rFonts w:hint="eastAsia" w:ascii="方正小标宋简体" w:hAnsi="方正小标宋简体" w:eastAsia="方正小标宋简体" w:cs="方正小标宋简体"/>
          <w:sz w:val="44"/>
          <w:szCs w:val="52"/>
          <w:lang w:val="en-US" w:eastAsia="zh-CN"/>
        </w:rPr>
        <w:t>12部门</w:t>
      </w:r>
    </w:p>
    <w:p w14:paraId="3ED6E27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关于贯彻落实《支持幼儿园开设托班的</w:t>
      </w:r>
    </w:p>
    <w:p w14:paraId="565D323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40"/>
        </w:rPr>
      </w:pPr>
      <w:r>
        <w:rPr>
          <w:rFonts w:hint="eastAsia" w:ascii="方正小标宋简体" w:hAnsi="方正小标宋简体" w:eastAsia="方正小标宋简体" w:cs="方正小标宋简体"/>
          <w:sz w:val="44"/>
          <w:szCs w:val="52"/>
        </w:rPr>
        <w:t>若干措施（试行）》有关问题的通知</w:t>
      </w:r>
    </w:p>
    <w:p w14:paraId="5D473AD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40"/>
        </w:rPr>
      </w:pPr>
    </w:p>
    <w:p w14:paraId="70EA2A7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w:t>
      </w:r>
      <w:r>
        <w:rPr>
          <w:rFonts w:eastAsia="仿宋_GB2312"/>
          <w:sz w:val="32"/>
          <w:szCs w:val="32"/>
        </w:rPr>
        <w:t>区（市）</w:t>
      </w:r>
      <w:r>
        <w:rPr>
          <w:rFonts w:hint="eastAsia"/>
          <w:sz w:val="32"/>
          <w:szCs w:val="32"/>
          <w:lang w:eastAsia="zh-CN"/>
        </w:rPr>
        <w:t>党委</w:t>
      </w:r>
      <w:r>
        <w:rPr>
          <w:rFonts w:hint="eastAsia" w:eastAsia="仿宋_GB2312"/>
          <w:sz w:val="32"/>
          <w:szCs w:val="32"/>
          <w:lang w:eastAsia="zh-CN"/>
        </w:rPr>
        <w:t>编办、发展改革局、教体局、民政局、财政局、人力资源社会保障局、自然资源规划局、住房城乡建设局、卫生健康局、市场监管局、行政审批局、税务局</w:t>
      </w:r>
      <w:r>
        <w:rPr>
          <w:rFonts w:hint="eastAsia" w:ascii="仿宋_GB2312" w:hAnsi="仿宋_GB2312" w:eastAsia="仿宋_GB2312" w:cs="仿宋_GB2312"/>
          <w:sz w:val="32"/>
          <w:szCs w:val="40"/>
        </w:rPr>
        <w:t>：</w:t>
      </w:r>
    </w:p>
    <w:p w14:paraId="10224052">
      <w:pPr>
        <w:spacing w:line="560" w:lineRule="exact"/>
        <w:ind w:firstLine="640" w:firstLineChars="200"/>
        <w:rPr>
          <w:rFonts w:hint="eastAsia" w:eastAsia="仿宋_GB2312"/>
          <w:sz w:val="32"/>
          <w:szCs w:val="32"/>
          <w:lang w:eastAsia="zh-CN"/>
        </w:rPr>
      </w:pPr>
      <w:r>
        <w:rPr>
          <w:rFonts w:eastAsia="仿宋_GB2312"/>
          <w:sz w:val="32"/>
          <w:szCs w:val="32"/>
        </w:rPr>
        <w:t>为认真贯彻</w:t>
      </w:r>
      <w:r>
        <w:rPr>
          <w:rFonts w:hint="eastAsia" w:eastAsia="仿宋_GB2312"/>
          <w:sz w:val="32"/>
          <w:szCs w:val="32"/>
          <w:lang w:eastAsia="zh-CN"/>
        </w:rPr>
        <w:t>落实《中华人民共和国学前教育法》</w:t>
      </w:r>
      <w:r>
        <w:rPr>
          <w:rFonts w:hint="eastAsia" w:ascii="仿宋_GB2312" w:hAnsi="仿宋_GB2312" w:eastAsia="仿宋_GB2312" w:cs="仿宋_GB2312"/>
          <w:sz w:val="32"/>
          <w:szCs w:val="40"/>
          <w:lang w:eastAsia="zh-CN"/>
        </w:rPr>
        <w:t>《山东省人民政府办公厅关于印发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支持幼儿园开设托班的若干措施（试行）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的通知》（鲁政办字〔2025〕13号）（以下简称《若干措施》），充分发挥幼儿园资源优势，完善生育支持政策体系，推动建设生育友好型社会，</w:t>
      </w:r>
      <w:r>
        <w:rPr>
          <w:rFonts w:eastAsia="仿宋_GB2312"/>
          <w:sz w:val="32"/>
          <w:szCs w:val="32"/>
        </w:rPr>
        <w:t>结合我市实际，现就我市</w:t>
      </w:r>
      <w:r>
        <w:rPr>
          <w:rFonts w:hint="eastAsia" w:eastAsia="仿宋_GB2312"/>
          <w:sz w:val="32"/>
          <w:szCs w:val="32"/>
          <w:lang w:eastAsia="zh-CN"/>
        </w:rPr>
        <w:t>幼儿园开设托班</w:t>
      </w:r>
      <w:r>
        <w:rPr>
          <w:rFonts w:eastAsia="仿宋_GB2312"/>
          <w:sz w:val="32"/>
          <w:szCs w:val="32"/>
        </w:rPr>
        <w:t>有关问题通知如下</w:t>
      </w:r>
      <w:r>
        <w:rPr>
          <w:rFonts w:hint="eastAsia" w:eastAsia="仿宋_GB2312"/>
          <w:sz w:val="32"/>
          <w:szCs w:val="32"/>
          <w:lang w:eastAsia="zh-CN"/>
        </w:rPr>
        <w:t>。</w:t>
      </w:r>
    </w:p>
    <w:p w14:paraId="53B5E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一、开展登记备案</w:t>
      </w:r>
    </w:p>
    <w:p w14:paraId="7764C1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cs="仿宋_GB2312"/>
          <w:sz w:val="32"/>
          <w:szCs w:val="40"/>
          <w:lang w:eastAsia="zh-CN"/>
        </w:rPr>
        <w:t>（一）拟开设托班的幼儿园，向所在</w:t>
      </w:r>
      <w:r>
        <w:rPr>
          <w:rFonts w:eastAsia="仿宋_GB2312"/>
          <w:sz w:val="32"/>
          <w:szCs w:val="32"/>
        </w:rPr>
        <w:t>区（市）</w:t>
      </w:r>
      <w:r>
        <w:rPr>
          <w:rFonts w:hint="eastAsia" w:ascii="仿宋_GB2312" w:hAnsi="仿宋_GB2312" w:eastAsia="仿宋_GB2312" w:cs="仿宋_GB2312"/>
          <w:sz w:val="32"/>
          <w:szCs w:val="40"/>
        </w:rPr>
        <w:t>教育部门</w:t>
      </w:r>
      <w:r>
        <w:rPr>
          <w:rFonts w:hint="eastAsia" w:ascii="仿宋_GB2312" w:hAnsi="仿宋_GB2312" w:eastAsia="仿宋_GB2312" w:cs="仿宋_GB2312"/>
          <w:sz w:val="32"/>
          <w:szCs w:val="40"/>
          <w:lang w:eastAsia="zh-CN"/>
        </w:rPr>
        <w:t>提交《青岛市幼儿园开设托班申请表》（附件</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），各</w:t>
      </w:r>
      <w:r>
        <w:rPr>
          <w:rFonts w:eastAsia="仿宋_GB2312"/>
          <w:sz w:val="32"/>
          <w:szCs w:val="32"/>
        </w:rPr>
        <w:t>区（市）</w:t>
      </w:r>
      <w:r>
        <w:rPr>
          <w:rFonts w:hint="eastAsia" w:ascii="仿宋_GB2312" w:hAnsi="仿宋_GB2312" w:eastAsia="仿宋_GB2312" w:cs="仿宋_GB2312"/>
          <w:sz w:val="32"/>
          <w:szCs w:val="40"/>
        </w:rPr>
        <w:t>教育部门</w:t>
      </w:r>
      <w:r>
        <w:rPr>
          <w:rFonts w:hint="eastAsia" w:ascii="仿宋_GB2312" w:hAnsi="仿宋_GB2312" w:eastAsia="仿宋_GB2312" w:cs="仿宋_GB2312"/>
          <w:sz w:val="32"/>
          <w:szCs w:val="40"/>
          <w:lang w:eastAsia="zh-CN"/>
        </w:rPr>
        <w:t>结合学前教育资源配置、幼儿园应设班级数、托班服务群众需求等情况，统筹规划幼儿园托班设置，于</w:t>
      </w:r>
      <w:r>
        <w:rPr>
          <w:rFonts w:hint="eastAsia" w:ascii="仿宋_GB2312" w:hAnsi="仿宋_GB2312" w:eastAsia="仿宋_GB2312" w:cs="仿宋_GB2312"/>
          <w:sz w:val="32"/>
          <w:szCs w:val="40"/>
          <w:lang w:val="en-US" w:eastAsia="zh-CN"/>
        </w:rPr>
        <w:t>5个工作日内</w:t>
      </w:r>
      <w:r>
        <w:rPr>
          <w:rFonts w:hint="eastAsia" w:ascii="仿宋_GB2312" w:hAnsi="仿宋_GB2312" w:eastAsia="仿宋_GB2312" w:cs="仿宋_GB2312"/>
          <w:sz w:val="32"/>
          <w:szCs w:val="40"/>
          <w:lang w:eastAsia="zh-CN"/>
        </w:rPr>
        <w:t>审核确认。</w:t>
      </w:r>
    </w:p>
    <w:p w14:paraId="197C66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cs="仿宋_GB2312"/>
          <w:sz w:val="32"/>
          <w:szCs w:val="40"/>
          <w:highlight w:val="none"/>
          <w:lang w:val="en-US" w:eastAsia="zh-CN"/>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rPr>
        <w:t>登记为事业单位法人的公办幼儿园，</w:t>
      </w:r>
      <w:r>
        <w:rPr>
          <w:rFonts w:hint="eastAsia" w:ascii="仿宋_GB2312" w:hAnsi="仿宋_GB2312" w:eastAsia="仿宋_GB2312" w:cs="仿宋_GB2312"/>
          <w:sz w:val="32"/>
          <w:szCs w:val="40"/>
          <w:lang w:eastAsia="zh-CN"/>
        </w:rPr>
        <w:t>由教育部门按程序</w:t>
      </w:r>
      <w:r>
        <w:rPr>
          <w:rFonts w:hint="eastAsia" w:ascii="仿宋_GB2312" w:hAnsi="仿宋_GB2312" w:eastAsia="仿宋_GB2312" w:cs="仿宋_GB2312"/>
          <w:sz w:val="32"/>
          <w:szCs w:val="40"/>
        </w:rPr>
        <w:t>统一向</w:t>
      </w:r>
      <w:r>
        <w:rPr>
          <w:rFonts w:hint="eastAsia" w:ascii="仿宋_GB2312" w:hAnsi="仿宋_GB2312" w:eastAsia="仿宋_GB2312" w:cs="仿宋_GB2312"/>
          <w:sz w:val="32"/>
          <w:szCs w:val="40"/>
          <w:lang w:eastAsia="zh-CN"/>
        </w:rPr>
        <w:t>同级</w:t>
      </w:r>
      <w:r>
        <w:rPr>
          <w:rFonts w:hint="eastAsia" w:ascii="仿宋_GB2312" w:hAnsi="仿宋_GB2312" w:eastAsia="仿宋_GB2312" w:cs="仿宋_GB2312"/>
          <w:sz w:val="32"/>
          <w:szCs w:val="40"/>
        </w:rPr>
        <w:t>机构编制部门申请调整主要职责、变更《事业单位法人证书》的宗旨和业务范围</w:t>
      </w:r>
      <w:r>
        <w:rPr>
          <w:rFonts w:hint="eastAsia" w:cs="仿宋_GB2312"/>
          <w:sz w:val="32"/>
          <w:szCs w:val="40"/>
          <w:lang w:eastAsia="zh-CN"/>
        </w:rPr>
        <w:t>。</w:t>
      </w:r>
      <w:r>
        <w:rPr>
          <w:rFonts w:hint="eastAsia" w:ascii="仿宋_GB2312" w:hAnsi="仿宋_GB2312" w:eastAsia="仿宋_GB2312" w:cs="仿宋_GB2312"/>
          <w:sz w:val="32"/>
          <w:szCs w:val="40"/>
          <w:lang w:eastAsia="zh-CN"/>
        </w:rPr>
        <w:t>非营利性民办幼儿园</w:t>
      </w:r>
      <w:r>
        <w:rPr>
          <w:rFonts w:hint="eastAsia" w:ascii="仿宋_GB2312" w:hAnsi="仿宋_GB2312" w:eastAsia="仿宋_GB2312" w:cs="仿宋_GB2312"/>
          <w:sz w:val="32"/>
          <w:szCs w:val="40"/>
          <w:highlight w:val="none"/>
          <w:lang w:eastAsia="zh-CN"/>
        </w:rPr>
        <w:t>证照的业务范围未明确托育服务内容的，可凭教育部门盖章的《</w:t>
      </w:r>
      <w:r>
        <w:rPr>
          <w:rFonts w:hint="eastAsia" w:cs="仿宋_GB2312"/>
          <w:sz w:val="32"/>
          <w:szCs w:val="40"/>
          <w:highlight w:val="none"/>
          <w:lang w:eastAsia="zh-CN"/>
        </w:rPr>
        <w:t>青岛市</w:t>
      </w:r>
      <w:r>
        <w:rPr>
          <w:rFonts w:hint="eastAsia" w:ascii="仿宋_GB2312" w:hAnsi="仿宋_GB2312" w:eastAsia="仿宋_GB2312" w:cs="仿宋_GB2312"/>
          <w:sz w:val="32"/>
          <w:szCs w:val="40"/>
          <w:highlight w:val="none"/>
          <w:lang w:eastAsia="zh-CN"/>
        </w:rPr>
        <w:t>幼儿园开设托班申请表》向原登记机关申请增加业务范围</w:t>
      </w:r>
      <w:r>
        <w:rPr>
          <w:rFonts w:hint="eastAsia" w:cs="仿宋_GB2312"/>
          <w:sz w:val="32"/>
          <w:szCs w:val="40"/>
          <w:highlight w:val="none"/>
          <w:lang w:eastAsia="zh-CN"/>
        </w:rPr>
        <w:t>。</w:t>
      </w:r>
      <w:r>
        <w:rPr>
          <w:rFonts w:hint="eastAsia" w:ascii="仿宋_GB2312" w:hAnsi="仿宋_GB2312" w:eastAsia="仿宋_GB2312" w:cs="仿宋_GB2312"/>
          <w:sz w:val="32"/>
          <w:szCs w:val="40"/>
          <w:lang w:eastAsia="zh-CN"/>
        </w:rPr>
        <w:t>新审批</w:t>
      </w:r>
      <w:r>
        <w:rPr>
          <w:rFonts w:hint="eastAsia" w:cs="仿宋_GB2312"/>
          <w:sz w:val="32"/>
          <w:szCs w:val="40"/>
          <w:lang w:eastAsia="zh-CN"/>
        </w:rPr>
        <w:t>的公办和非营利性民办</w:t>
      </w:r>
      <w:r>
        <w:rPr>
          <w:rFonts w:hint="eastAsia" w:ascii="仿宋_GB2312" w:hAnsi="仿宋_GB2312" w:eastAsia="仿宋_GB2312" w:cs="仿宋_GB2312"/>
          <w:sz w:val="32"/>
          <w:szCs w:val="40"/>
          <w:lang w:eastAsia="zh-CN"/>
        </w:rPr>
        <w:t>幼儿园如符合托班开设条件，由相应部门在证照办理时直接增加托育业务范围</w:t>
      </w:r>
      <w:r>
        <w:rPr>
          <w:rFonts w:hint="eastAsia" w:cs="仿宋_GB2312"/>
          <w:sz w:val="32"/>
          <w:szCs w:val="40"/>
          <w:lang w:eastAsia="zh-CN"/>
        </w:rPr>
        <w:t>。</w:t>
      </w:r>
      <w:r>
        <w:rPr>
          <w:rFonts w:hint="eastAsia" w:cs="仿宋_GB2312"/>
          <w:sz w:val="32"/>
          <w:szCs w:val="40"/>
          <w:highlight w:val="none"/>
          <w:lang w:eastAsia="zh-CN"/>
        </w:rPr>
        <w:t>在营和新设立的营利性民办幼儿园开展托育业务，可直接向经营主体登记机关申请增加“托育服务”经营范围。</w:t>
      </w:r>
    </w:p>
    <w:p w14:paraId="1AEE4B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40"/>
          <w:lang w:eastAsia="zh-CN"/>
        </w:rPr>
        <w:t>（三）幼儿园按照</w:t>
      </w:r>
      <w:r>
        <w:rPr>
          <w:rFonts w:hint="eastAsia" w:ascii="仿宋_GB2312" w:hAnsi="仿宋_GB2312" w:eastAsia="仿宋_GB2312" w:cs="仿宋_GB2312"/>
          <w:sz w:val="32"/>
          <w:szCs w:val="40"/>
          <w:highlight w:val="none"/>
          <w:lang w:eastAsia="zh-CN"/>
        </w:rPr>
        <w:t>《青岛市3岁以下婴幼儿照护服务机构登记和备案办法（试行）》（青卫人口字〔2020〕1号）要求，到</w:t>
      </w:r>
      <w:r>
        <w:rPr>
          <w:rFonts w:eastAsia="仿宋_GB2312"/>
          <w:sz w:val="32"/>
          <w:szCs w:val="32"/>
          <w:highlight w:val="none"/>
        </w:rPr>
        <w:t>区（市）</w:t>
      </w:r>
      <w:r>
        <w:rPr>
          <w:rFonts w:hint="eastAsia" w:ascii="仿宋_GB2312" w:hAnsi="仿宋_GB2312" w:eastAsia="仿宋_GB2312" w:cs="仿宋_GB2312"/>
          <w:sz w:val="32"/>
          <w:szCs w:val="40"/>
          <w:highlight w:val="none"/>
          <w:lang w:eastAsia="zh-CN"/>
        </w:rPr>
        <w:t>卫生健康部门办理托班备案。</w:t>
      </w:r>
    </w:p>
    <w:p w14:paraId="3000C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二、规范托班招生</w:t>
      </w:r>
    </w:p>
    <w:p w14:paraId="46CD6B15">
      <w:pPr>
        <w:keepNext w:val="0"/>
        <w:keepLines w:val="0"/>
        <w:pageBreakBefore w:val="0"/>
        <w:kinsoku/>
        <w:wordWrap/>
        <w:overflowPunct/>
        <w:topLinePunct w:val="0"/>
        <w:autoSpaceDE/>
        <w:autoSpaceDN/>
        <w:bidi w:val="0"/>
        <w:snapToGrid/>
        <w:spacing w:line="560" w:lineRule="exact"/>
        <w:ind w:firstLine="640" w:firstLineChars="200"/>
        <w:rPr>
          <w:rFonts w:hint="eastAsia" w:ascii="方正黑体_GBK" w:hAnsi="方正黑体_GBK" w:eastAsia="方正黑体_GBK" w:cs="方正黑体_GBK"/>
          <w:sz w:val="32"/>
          <w:szCs w:val="40"/>
          <w:lang w:eastAsia="zh-CN"/>
        </w:rPr>
      </w:pPr>
      <w:r>
        <w:rPr>
          <w:rFonts w:hint="eastAsia" w:ascii="仿宋_GB2312" w:hAnsi="仿宋_GB2312" w:eastAsia="仿宋_GB2312" w:cs="仿宋_GB2312"/>
          <w:sz w:val="32"/>
          <w:szCs w:val="40"/>
          <w:lang w:eastAsia="zh-CN"/>
        </w:rPr>
        <w:t>通过登记备案的幼儿园方可开展托班招生，</w:t>
      </w:r>
      <w:r>
        <w:rPr>
          <w:rFonts w:hint="eastAsia" w:ascii="仿宋_GB2312" w:hAnsi="仿宋_GB2312" w:eastAsia="仿宋_GB2312" w:cs="仿宋_GB2312"/>
          <w:spacing w:val="8"/>
          <w:kern w:val="0"/>
          <w:sz w:val="32"/>
          <w:szCs w:val="32"/>
          <w:lang w:eastAsia="zh-CN"/>
        </w:rPr>
        <w:t>幼儿园托班招生应在小班统一招生结束后开展</w:t>
      </w:r>
      <w:r>
        <w:rPr>
          <w:rFonts w:hint="eastAsia" w:ascii="仿宋_GB2312" w:hAnsi="仿宋_GB2312" w:eastAsia="仿宋_GB2312" w:cs="仿宋_GB2312"/>
          <w:spacing w:val="8"/>
          <w:kern w:val="0"/>
          <w:sz w:val="32"/>
          <w:szCs w:val="32"/>
          <w:lang w:val="en-US" w:eastAsia="zh-CN"/>
        </w:rPr>
        <w:t>。</w:t>
      </w:r>
      <w:r>
        <w:rPr>
          <w:rFonts w:hint="eastAsia" w:ascii="仿宋_GB2312" w:hAnsi="仿宋_GB2312" w:eastAsia="仿宋_GB2312" w:cs="仿宋_GB2312"/>
          <w:spacing w:val="8"/>
          <w:kern w:val="0"/>
          <w:sz w:val="32"/>
          <w:szCs w:val="32"/>
          <w:lang w:eastAsia="zh-CN"/>
        </w:rPr>
        <w:t>入托年龄为当年8月31日年满2周岁不满3周岁的幼儿，</w:t>
      </w:r>
      <w:r>
        <w:rPr>
          <w:rFonts w:hint="eastAsia" w:ascii="仿宋_GB2312" w:hAnsi="仿宋_GB2312" w:eastAsia="仿宋_GB2312" w:cs="仿宋_GB2312"/>
          <w:spacing w:val="8"/>
          <w:kern w:val="0"/>
          <w:sz w:val="32"/>
          <w:szCs w:val="32"/>
          <w:lang w:val="en-US" w:eastAsia="zh-CN"/>
        </w:rPr>
        <w:t>招生相关要求参照幼儿园小班。</w:t>
      </w:r>
      <w:r>
        <w:rPr>
          <w:rFonts w:hint="eastAsia" w:ascii="仿宋_GB2312" w:hAnsi="仿宋" w:eastAsia="仿宋_GB2312" w:cs="仿宋_GB2312"/>
          <w:sz w:val="32"/>
          <w:szCs w:val="32"/>
        </w:rPr>
        <w:t>平日如有空余</w:t>
      </w:r>
      <w:r>
        <w:rPr>
          <w:rFonts w:hint="eastAsia" w:ascii="仿宋_GB2312" w:hAnsi="仿宋" w:eastAsia="仿宋_GB2312" w:cs="仿宋_GB2312"/>
          <w:sz w:val="32"/>
          <w:szCs w:val="32"/>
          <w:lang w:eastAsia="zh-CN"/>
        </w:rPr>
        <w:t>托位</w:t>
      </w:r>
      <w:r>
        <w:rPr>
          <w:rFonts w:hint="eastAsia" w:ascii="仿宋_GB2312" w:hAnsi="仿宋" w:eastAsia="仿宋_GB2312" w:cs="仿宋_GB2312"/>
          <w:sz w:val="32"/>
          <w:szCs w:val="32"/>
        </w:rPr>
        <w:t>，随补随招。</w:t>
      </w:r>
    </w:p>
    <w:p w14:paraId="3515D7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lang w:eastAsia="zh-CN"/>
        </w:rPr>
        <w:t>三、</w:t>
      </w:r>
      <w:r>
        <w:rPr>
          <w:rFonts w:hint="eastAsia" w:ascii="方正黑体_GBK" w:hAnsi="方正黑体_GBK" w:eastAsia="方正黑体_GBK" w:cs="方正黑体_GBK"/>
          <w:sz w:val="32"/>
          <w:szCs w:val="40"/>
          <w:lang w:eastAsia="zh-CN"/>
        </w:rPr>
        <w:t>严格收费和经费管理</w:t>
      </w:r>
    </w:p>
    <w:p w14:paraId="21CA4AA0">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i w:val="0"/>
          <w:caps w:val="0"/>
          <w:color w:val="000000"/>
          <w:spacing w:val="0"/>
          <w:sz w:val="31"/>
          <w:szCs w:val="31"/>
        </w:rPr>
        <w:t>公办</w:t>
      </w:r>
      <w:r>
        <w:rPr>
          <w:rFonts w:hint="eastAsia" w:hAnsi="Times New Roman" w:cs="仿宋_GB2312"/>
          <w:i w:val="0"/>
          <w:caps w:val="0"/>
          <w:color w:val="000000"/>
          <w:spacing w:val="0"/>
          <w:sz w:val="31"/>
          <w:szCs w:val="31"/>
          <w:lang w:eastAsia="zh-CN"/>
        </w:rPr>
        <w:t>幼儿园和</w:t>
      </w:r>
      <w:r>
        <w:rPr>
          <w:rFonts w:hint="eastAsia" w:ascii="仿宋_GB2312" w:hAnsi="Times New Roman" w:eastAsia="仿宋_GB2312" w:cs="仿宋_GB2312"/>
          <w:i w:val="0"/>
          <w:caps w:val="0"/>
          <w:color w:val="000000"/>
          <w:spacing w:val="0"/>
          <w:sz w:val="31"/>
          <w:szCs w:val="31"/>
        </w:rPr>
        <w:t>普惠性民办幼儿园</w:t>
      </w:r>
      <w:r>
        <w:rPr>
          <w:rFonts w:hint="eastAsia" w:hAnsi="Times New Roman" w:cs="仿宋_GB2312"/>
          <w:i w:val="0"/>
          <w:caps w:val="0"/>
          <w:color w:val="000000"/>
          <w:spacing w:val="0"/>
          <w:sz w:val="31"/>
          <w:szCs w:val="31"/>
          <w:lang w:eastAsia="zh-CN"/>
        </w:rPr>
        <w:t>开设的托班，应提供普惠性托育服务，托育费收费标准实行政府指导价管理，按照我市公办和普惠性民办托育机构托育服务收费标准执行，收费周期、退费办法、收费公示等按照托育机构要求执行。</w:t>
      </w:r>
      <w:r>
        <w:rPr>
          <w:rFonts w:hint="eastAsia" w:ascii="仿宋_GB2312" w:hAnsi="仿宋_GB2312" w:eastAsia="仿宋_GB2312" w:cs="仿宋_GB2312"/>
          <w:sz w:val="32"/>
          <w:szCs w:val="40"/>
          <w:lang w:val="en-US" w:eastAsia="zh-CN"/>
        </w:rPr>
        <w:t>幼儿园托班收取的托育费收入幼儿园自有资金账户，</w:t>
      </w:r>
      <w:r>
        <w:rPr>
          <w:rFonts w:hint="eastAsia" w:cs="仿宋_GB2312"/>
          <w:sz w:val="32"/>
          <w:szCs w:val="40"/>
          <w:lang w:val="en-US" w:eastAsia="zh-CN"/>
        </w:rPr>
        <w:t>按照规定开具发票</w:t>
      </w:r>
      <w:r>
        <w:rPr>
          <w:rFonts w:hint="eastAsia" w:ascii="仿宋_GB2312" w:hAnsi="仿宋_GB2312" w:eastAsia="仿宋_GB2312" w:cs="仿宋_GB2312"/>
          <w:sz w:val="32"/>
          <w:szCs w:val="40"/>
          <w:lang w:val="en-US" w:eastAsia="zh-CN"/>
        </w:rPr>
        <w:t>。</w:t>
      </w:r>
      <w:r>
        <w:rPr>
          <w:rFonts w:hint="eastAsia" w:ascii="仿宋_GB2312" w:hAnsi="Times New Roman" w:eastAsia="仿宋_GB2312" w:cs="仿宋_GB2312"/>
          <w:i w:val="0"/>
          <w:caps w:val="0"/>
          <w:color w:val="000000"/>
          <w:spacing w:val="0"/>
          <w:sz w:val="31"/>
          <w:szCs w:val="31"/>
        </w:rPr>
        <w:t>幼儿园托育费收费标准</w:t>
      </w:r>
      <w:r>
        <w:rPr>
          <w:rFonts w:hint="eastAsia" w:ascii="仿宋_GB2312" w:hAnsi="Times New Roman" w:eastAsia="仿宋_GB2312" w:cs="仿宋_GB2312"/>
          <w:i w:val="0"/>
          <w:caps w:val="0"/>
          <w:color w:val="000000"/>
          <w:spacing w:val="0"/>
          <w:sz w:val="31"/>
          <w:szCs w:val="31"/>
          <w:lang w:eastAsia="zh-CN"/>
        </w:rPr>
        <w:t>和生均运行经费</w:t>
      </w:r>
      <w:r>
        <w:rPr>
          <w:rFonts w:hint="eastAsia" w:ascii="仿宋_GB2312" w:hAnsi="Times New Roman" w:eastAsia="仿宋_GB2312" w:cs="仿宋_GB2312"/>
          <w:i w:val="0"/>
          <w:caps w:val="0"/>
          <w:color w:val="000000"/>
          <w:spacing w:val="0"/>
          <w:sz w:val="31"/>
          <w:szCs w:val="31"/>
        </w:rPr>
        <w:t>，</w:t>
      </w:r>
      <w:r>
        <w:rPr>
          <w:rFonts w:hint="eastAsia" w:ascii="仿宋_GB2312" w:hAnsi="仿宋_GB2312" w:eastAsia="仿宋_GB2312" w:cs="仿宋_GB2312"/>
          <w:sz w:val="32"/>
          <w:szCs w:val="40"/>
          <w:lang w:val="en-US" w:eastAsia="zh-CN"/>
        </w:rPr>
        <w:t>从2025年秋季学期开始执行，</w:t>
      </w:r>
      <w:r>
        <w:rPr>
          <w:rFonts w:hint="eastAsia" w:ascii="仿宋_GB2312" w:hAnsi="仿宋_GB2312" w:cs="仿宋_GB2312"/>
          <w:sz w:val="32"/>
          <w:szCs w:val="40"/>
          <w:highlight w:val="none"/>
          <w:lang w:val="en-US" w:eastAsia="zh-CN"/>
        </w:rPr>
        <w:t>2025年的</w:t>
      </w:r>
      <w:r>
        <w:rPr>
          <w:rFonts w:hint="eastAsia" w:ascii="仿宋_GB2312" w:hAnsi="Times New Roman" w:eastAsia="仿宋_GB2312" w:cs="仿宋_GB2312"/>
          <w:i w:val="0"/>
          <w:caps w:val="0"/>
          <w:color w:val="000000"/>
          <w:spacing w:val="0"/>
          <w:sz w:val="31"/>
          <w:szCs w:val="31"/>
          <w:lang w:eastAsia="zh-CN"/>
        </w:rPr>
        <w:t>生均运行经费</w:t>
      </w:r>
      <w:r>
        <w:rPr>
          <w:rFonts w:hint="eastAsia" w:ascii="仿宋_GB2312" w:hAnsi="仿宋_GB2312" w:cs="仿宋_GB2312"/>
          <w:sz w:val="32"/>
          <w:szCs w:val="40"/>
          <w:highlight w:val="none"/>
          <w:lang w:val="en-US" w:eastAsia="zh-CN"/>
        </w:rPr>
        <w:t>可通过2025年预算调整或列入2026年预算予以保障</w:t>
      </w:r>
      <w:r>
        <w:rPr>
          <w:rFonts w:hint="eastAsia" w:ascii="仿宋_GB2312" w:hAnsi="Times New Roman" w:eastAsia="仿宋_GB2312" w:cs="仿宋_GB2312"/>
          <w:i w:val="0"/>
          <w:caps w:val="0"/>
          <w:color w:val="000000"/>
          <w:spacing w:val="0"/>
          <w:sz w:val="31"/>
          <w:szCs w:val="31"/>
        </w:rPr>
        <w:t>。</w:t>
      </w:r>
    </w:p>
    <w:p w14:paraId="735CD5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lang w:eastAsia="zh-CN"/>
        </w:rPr>
      </w:pPr>
      <w:r>
        <w:rPr>
          <w:rFonts w:hint="eastAsia" w:ascii="方正黑体_GBK" w:hAnsi="方正黑体_GBK" w:eastAsia="方正黑体_GBK" w:cs="方正黑体_GBK"/>
          <w:sz w:val="32"/>
          <w:lang w:eastAsia="zh-CN"/>
        </w:rPr>
        <w:t>四、加强监督管理</w:t>
      </w:r>
    </w:p>
    <w:p w14:paraId="11EB4A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sz w:val="32"/>
          <w:szCs w:val="40"/>
          <w:lang w:eastAsia="zh-CN"/>
        </w:rPr>
      </w:pPr>
      <w:r>
        <w:rPr>
          <w:rFonts w:hint="eastAsia" w:ascii="仿宋_GB2312" w:hAnsi="仿宋_GB2312" w:eastAsia="仿宋_GB2312" w:cs="仿宋_GB2312"/>
          <w:sz w:val="32"/>
          <w:szCs w:val="40"/>
          <w:lang w:eastAsia="zh-CN"/>
        </w:rPr>
        <w:t>在幼儿园地址上注册的托育机构，</w:t>
      </w:r>
      <w:r>
        <w:rPr>
          <w:rFonts w:hint="eastAsia" w:ascii="仿宋_GB2312" w:hAnsi="仿宋_GB2312" w:eastAsia="仿宋_GB2312" w:cs="仿宋_GB2312"/>
          <w:color w:val="auto"/>
          <w:sz w:val="32"/>
          <w:szCs w:val="40"/>
          <w:lang w:val="en-US" w:eastAsia="zh-CN"/>
        </w:rPr>
        <w:t>根据《</w:t>
      </w:r>
      <w:r>
        <w:rPr>
          <w:rFonts w:hint="eastAsia" w:ascii="仿宋_GB2312" w:hAnsi="仿宋_GB2312" w:eastAsia="仿宋_GB2312" w:cs="仿宋_GB2312"/>
          <w:color w:val="auto"/>
          <w:sz w:val="32"/>
          <w:szCs w:val="40"/>
          <w:lang w:eastAsia="zh-CN"/>
        </w:rPr>
        <w:t>若干措施</w:t>
      </w:r>
      <w:r>
        <w:rPr>
          <w:rFonts w:hint="eastAsia" w:ascii="仿宋_GB2312" w:hAnsi="仿宋_GB2312" w:eastAsia="仿宋_GB2312" w:cs="仿宋_GB2312"/>
          <w:color w:val="auto"/>
          <w:sz w:val="32"/>
          <w:szCs w:val="40"/>
          <w:lang w:val="en-US" w:eastAsia="zh-CN"/>
        </w:rPr>
        <w:t>》的相关要求重新核定</w:t>
      </w:r>
      <w:r>
        <w:rPr>
          <w:rFonts w:hint="eastAsia" w:cs="仿宋_GB2312"/>
          <w:color w:val="auto"/>
          <w:sz w:val="32"/>
          <w:szCs w:val="40"/>
          <w:lang w:val="en-US" w:eastAsia="zh-CN"/>
        </w:rPr>
        <w:t>托班数和</w:t>
      </w:r>
      <w:r>
        <w:rPr>
          <w:rFonts w:hint="eastAsia" w:ascii="仿宋_GB2312" w:hAnsi="仿宋_GB2312" w:eastAsia="仿宋_GB2312" w:cs="仿宋_GB2312"/>
          <w:color w:val="auto"/>
          <w:sz w:val="32"/>
          <w:szCs w:val="40"/>
          <w:lang w:val="en-US" w:eastAsia="zh-CN"/>
        </w:rPr>
        <w:t>托位数，</w:t>
      </w:r>
      <w:r>
        <w:rPr>
          <w:rFonts w:hint="eastAsia" w:ascii="仿宋_GB2312" w:hAnsi="仿宋_GB2312" w:eastAsia="仿宋_GB2312" w:cs="仿宋_GB2312"/>
          <w:sz w:val="32"/>
          <w:szCs w:val="40"/>
          <w:lang w:eastAsia="zh-CN"/>
        </w:rPr>
        <w:t>统一开展业务变更，全部纳入托班管理体系，招生、收费等各项管理按照《若干措施》和本通知执行。</w:t>
      </w:r>
      <w:r>
        <w:rPr>
          <w:rFonts w:hint="eastAsia" w:cs="仿宋_GB2312"/>
          <w:sz w:val="32"/>
          <w:szCs w:val="40"/>
          <w:lang w:eastAsia="zh-CN"/>
        </w:rPr>
        <w:t>此前已在幼儿园地址上注册的托育机构，应在该幼儿园增加托育证照业务或经营范围后申请注销；今后，幼儿园地址上原则上不再新设立托育机构。</w:t>
      </w:r>
    </w:p>
    <w:p w14:paraId="134318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lang w:val="en-US" w:eastAsia="zh-CN"/>
        </w:rPr>
      </w:pPr>
      <w:r>
        <w:rPr>
          <w:rFonts w:hint="eastAsia" w:ascii="仿宋_GB2312" w:hAnsi="仿宋_GB2312" w:eastAsia="仿宋_GB2312" w:cs="仿宋_GB2312"/>
          <w:sz w:val="32"/>
          <w:lang w:eastAsia="zh-CN"/>
        </w:rPr>
        <w:t>其他未尽事宜严格按照</w:t>
      </w:r>
      <w:r>
        <w:rPr>
          <w:rFonts w:hint="eastAsia" w:ascii="仿宋_GB2312" w:hAnsi="仿宋_GB2312" w:eastAsia="仿宋_GB2312" w:cs="仿宋_GB2312"/>
          <w:sz w:val="32"/>
          <w:szCs w:val="40"/>
          <w:lang w:eastAsia="zh-CN"/>
        </w:rPr>
        <w:t>《若干措施》</w:t>
      </w:r>
      <w:r>
        <w:rPr>
          <w:rFonts w:hint="eastAsia" w:ascii="仿宋_GB2312" w:hAnsi="仿宋_GB2312" w:eastAsia="仿宋_GB2312" w:cs="仿宋_GB2312"/>
          <w:sz w:val="32"/>
          <w:lang w:eastAsia="zh-CN"/>
        </w:rPr>
        <w:t>执行，各有关部门、各区（市）要按照各自职责，加强对幼儿园托班的指导、监督和管理，确保相应的配套政策措施落实到位，保障幼儿园开设托班工作取得实效。</w:t>
      </w:r>
    </w:p>
    <w:p w14:paraId="714207B0">
      <w:pPr>
        <w:pStyle w:val="4"/>
        <w:rPr>
          <w:rFonts w:hint="eastAsia"/>
          <w:lang w:eastAsia="zh-CN"/>
        </w:rPr>
      </w:pPr>
    </w:p>
    <w:p w14:paraId="402B47E4">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仿宋_GB2312" w:hAnsi="仿宋_GB2312" w:cs="仿宋_GB2312"/>
          <w:sz w:val="32"/>
          <w:lang w:eastAsia="zh-CN"/>
        </w:rPr>
      </w:pPr>
      <w:r>
        <w:rPr>
          <w:rFonts w:hint="eastAsia" w:ascii="仿宋_GB2312" w:hAnsi="仿宋_GB2312" w:cs="仿宋_GB2312"/>
          <w:sz w:val="32"/>
          <w:lang w:eastAsia="zh-CN"/>
        </w:rPr>
        <w:t>附件：</w:t>
      </w:r>
      <w:r>
        <w:rPr>
          <w:rFonts w:hint="eastAsia" w:ascii="仿宋_GB2312" w:hAnsi="仿宋_GB2312" w:cs="仿宋_GB2312"/>
          <w:sz w:val="32"/>
          <w:lang w:val="en-US" w:eastAsia="zh-CN"/>
        </w:rPr>
        <w:t>1.</w:t>
      </w:r>
      <w:r>
        <w:rPr>
          <w:rFonts w:hint="eastAsia" w:ascii="仿宋_GB2312" w:hAnsi="仿宋_GB2312" w:cs="仿宋_GB2312"/>
          <w:sz w:val="32"/>
          <w:lang w:eastAsia="zh-CN"/>
        </w:rPr>
        <w:t>山东省人民政府办公厅关于印发《支持幼儿园开设托班的若干措施（试行）》的通知</w:t>
      </w:r>
    </w:p>
    <w:p w14:paraId="4497FE07">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cs="仿宋_GB2312"/>
          <w:sz w:val="32"/>
          <w:lang w:eastAsia="zh-CN"/>
        </w:rPr>
      </w:pPr>
      <w:r>
        <w:rPr>
          <w:rFonts w:hint="eastAsia" w:ascii="仿宋_GB2312" w:hAnsi="仿宋_GB2312" w:cs="仿宋_GB2312"/>
          <w:sz w:val="32"/>
          <w:lang w:val="en-US" w:eastAsia="zh-CN"/>
        </w:rPr>
        <w:t>2.青岛市</w:t>
      </w:r>
      <w:r>
        <w:rPr>
          <w:rFonts w:hint="eastAsia" w:ascii="仿宋_GB2312" w:hAnsi="仿宋_GB2312" w:cs="仿宋_GB2312"/>
          <w:sz w:val="32"/>
          <w:lang w:eastAsia="zh-CN"/>
        </w:rPr>
        <w:t>幼儿园开设托班申请表</w:t>
      </w:r>
    </w:p>
    <w:p w14:paraId="74E1E6A2">
      <w:pPr>
        <w:pStyle w:val="4"/>
        <w:rPr>
          <w:rFonts w:hint="eastAsia" w:ascii="仿宋_GB2312" w:hAnsi="仿宋_GB2312" w:cs="仿宋_GB2312"/>
          <w:sz w:val="32"/>
          <w:lang w:val="en-US" w:eastAsia="zh-CN"/>
        </w:rPr>
      </w:pPr>
      <w:r>
        <w:rPr>
          <w:rFonts w:hint="eastAsia" w:ascii="仿宋_GB2312" w:hAnsi="仿宋_GB2312" w:cs="仿宋_GB2312"/>
          <w:sz w:val="32"/>
          <w:lang w:val="en-US" w:eastAsia="zh-CN"/>
        </w:rPr>
        <w:t xml:space="preserve"> </w:t>
      </w:r>
    </w:p>
    <w:p w14:paraId="6CBD9365">
      <w:pPr>
        <w:rPr>
          <w:rFonts w:hint="eastAsia"/>
          <w:lang w:eastAsia="zh-CN"/>
        </w:rPr>
      </w:pPr>
    </w:p>
    <w:tbl>
      <w:tblPr>
        <w:tblStyle w:val="10"/>
        <w:tblW w:w="83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2857"/>
        <w:gridCol w:w="2671"/>
      </w:tblGrid>
      <w:tr w14:paraId="6A67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jc w:val="center"/>
        </w:trPr>
        <w:tc>
          <w:tcPr>
            <w:tcW w:w="2800" w:type="dxa"/>
            <w:noWrap w:val="0"/>
            <w:vAlign w:val="center"/>
          </w:tcPr>
          <w:p w14:paraId="2A9C3572">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青岛市教育局</w:t>
            </w:r>
          </w:p>
        </w:tc>
        <w:tc>
          <w:tcPr>
            <w:tcW w:w="2857" w:type="dxa"/>
            <w:noWrap w:val="0"/>
            <w:vAlign w:val="center"/>
          </w:tcPr>
          <w:p w14:paraId="22596D8C">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中共青岛市委</w:t>
            </w:r>
          </w:p>
          <w:p w14:paraId="6475034D">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机构编制委员会</w:t>
            </w:r>
          </w:p>
          <w:p w14:paraId="6D3EEC00">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办公室</w:t>
            </w:r>
          </w:p>
        </w:tc>
        <w:tc>
          <w:tcPr>
            <w:tcW w:w="2671" w:type="dxa"/>
            <w:noWrap w:val="0"/>
            <w:vAlign w:val="center"/>
          </w:tcPr>
          <w:p w14:paraId="4F9B1D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青岛市发展和</w:t>
            </w:r>
          </w:p>
          <w:p w14:paraId="15CA125C">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改革委员会</w:t>
            </w:r>
          </w:p>
        </w:tc>
      </w:tr>
      <w:tr w14:paraId="3627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2800" w:type="dxa"/>
            <w:noWrap w:val="0"/>
            <w:vAlign w:val="center"/>
          </w:tcPr>
          <w:p w14:paraId="37608F10">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青岛市民政局</w:t>
            </w:r>
          </w:p>
        </w:tc>
        <w:tc>
          <w:tcPr>
            <w:tcW w:w="2857" w:type="dxa"/>
            <w:noWrap w:val="0"/>
            <w:vAlign w:val="center"/>
          </w:tcPr>
          <w:p w14:paraId="2ACB203B">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青岛市财政局</w:t>
            </w:r>
          </w:p>
        </w:tc>
        <w:tc>
          <w:tcPr>
            <w:tcW w:w="2671" w:type="dxa"/>
            <w:noWrap w:val="0"/>
            <w:vAlign w:val="center"/>
          </w:tcPr>
          <w:p w14:paraId="3D68BFE7">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青岛市人力资源</w:t>
            </w:r>
          </w:p>
          <w:p w14:paraId="4AB67453">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和社会保障局</w:t>
            </w:r>
          </w:p>
        </w:tc>
      </w:tr>
      <w:tr w14:paraId="5DEF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2800" w:type="dxa"/>
            <w:noWrap w:val="0"/>
            <w:vAlign w:val="center"/>
          </w:tcPr>
          <w:p w14:paraId="4BB85719">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青岛市自然资源</w:t>
            </w:r>
          </w:p>
          <w:p w14:paraId="6229C440">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和规划局</w:t>
            </w:r>
          </w:p>
        </w:tc>
        <w:tc>
          <w:tcPr>
            <w:tcW w:w="2857" w:type="dxa"/>
            <w:noWrap w:val="0"/>
            <w:vAlign w:val="center"/>
          </w:tcPr>
          <w:p w14:paraId="05030EF9">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青岛市住房和</w:t>
            </w:r>
          </w:p>
          <w:p w14:paraId="2FD315DF">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城乡建设局</w:t>
            </w:r>
          </w:p>
        </w:tc>
        <w:tc>
          <w:tcPr>
            <w:tcW w:w="2671" w:type="dxa"/>
            <w:noWrap w:val="0"/>
            <w:vAlign w:val="center"/>
          </w:tcPr>
          <w:p w14:paraId="58814F95">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青岛市卫生</w:t>
            </w:r>
          </w:p>
          <w:p w14:paraId="31CA1290">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健康委员会</w:t>
            </w:r>
          </w:p>
        </w:tc>
      </w:tr>
      <w:tr w14:paraId="016C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2800" w:type="dxa"/>
            <w:noWrap w:val="0"/>
            <w:vAlign w:val="center"/>
          </w:tcPr>
          <w:p w14:paraId="6E087F44">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青岛市市场</w:t>
            </w:r>
          </w:p>
          <w:p w14:paraId="33D6F0E6">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监督管理局</w:t>
            </w:r>
          </w:p>
        </w:tc>
        <w:tc>
          <w:tcPr>
            <w:tcW w:w="2857" w:type="dxa"/>
            <w:noWrap w:val="0"/>
            <w:vAlign w:val="center"/>
          </w:tcPr>
          <w:p w14:paraId="2E8DDA3B">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青岛市行政</w:t>
            </w:r>
          </w:p>
          <w:p w14:paraId="0441C3A0">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审批服务局</w:t>
            </w:r>
          </w:p>
        </w:tc>
        <w:tc>
          <w:tcPr>
            <w:tcW w:w="2671" w:type="dxa"/>
            <w:noWrap w:val="0"/>
            <w:vAlign w:val="center"/>
          </w:tcPr>
          <w:p w14:paraId="6BA81674">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国家税务总局</w:t>
            </w:r>
          </w:p>
          <w:p w14:paraId="31B35D90">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青岛市税务局</w:t>
            </w:r>
          </w:p>
        </w:tc>
      </w:tr>
    </w:tbl>
    <w:p w14:paraId="38DD05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p>
    <w:p w14:paraId="4CDB1D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cs="仿宋_GB2312"/>
          <w:sz w:val="32"/>
          <w:szCs w:val="40"/>
          <w:lang w:val="en-US" w:eastAsia="zh-CN"/>
        </w:rPr>
        <w:t xml:space="preserve">                             </w:t>
      </w:r>
      <w:r>
        <w:rPr>
          <w:rFonts w:hint="eastAsia" w:ascii="仿宋_GB2312" w:hAnsi="仿宋_GB2312" w:eastAsia="仿宋_GB2312" w:cs="仿宋_GB2312"/>
          <w:sz w:val="32"/>
          <w:szCs w:val="40"/>
        </w:rPr>
        <w:t>2025年</w:t>
      </w:r>
      <w:r>
        <w:rPr>
          <w:rFonts w:hint="eastAsia" w:cs="仿宋_GB2312"/>
          <w:sz w:val="32"/>
          <w:szCs w:val="40"/>
          <w:lang w:val="en-US" w:eastAsia="zh-CN"/>
        </w:rPr>
        <w:t>7</w:t>
      </w:r>
      <w:r>
        <w:rPr>
          <w:rFonts w:hint="eastAsia" w:ascii="仿宋_GB2312" w:hAnsi="仿宋_GB2312" w:eastAsia="仿宋_GB2312" w:cs="仿宋_GB2312"/>
          <w:sz w:val="32"/>
          <w:szCs w:val="40"/>
        </w:rPr>
        <w:t>月</w:t>
      </w:r>
      <w:r>
        <w:rPr>
          <w:rFonts w:hint="eastAsia" w:cs="仿宋_GB2312"/>
          <w:sz w:val="32"/>
          <w:szCs w:val="40"/>
          <w:lang w:val="en-US" w:eastAsia="zh-CN"/>
        </w:rPr>
        <w:t>23</w:t>
      </w:r>
      <w:r>
        <w:rPr>
          <w:rFonts w:hint="eastAsia" w:ascii="仿宋_GB2312" w:hAnsi="仿宋_GB2312" w:eastAsia="仿宋_GB2312" w:cs="仿宋_GB2312"/>
          <w:sz w:val="32"/>
          <w:szCs w:val="40"/>
        </w:rPr>
        <w:t>日</w:t>
      </w:r>
    </w:p>
    <w:p w14:paraId="54066425">
      <w:pPr>
        <w:keepNext w:val="0"/>
        <w:keepLines w:val="0"/>
        <w:pageBreakBefore w:val="0"/>
        <w:widowControl w:val="0"/>
        <w:kinsoku/>
        <w:wordWrap/>
        <w:overflowPunct/>
        <w:topLinePunct w:val="0"/>
        <w:autoSpaceDE/>
        <w:autoSpaceDN/>
        <w:bidi w:val="0"/>
        <w:adjustRightInd/>
        <w:snapToGrid/>
        <w:spacing w:before="200" w:line="400" w:lineRule="exact"/>
        <w:ind w:left="0" w:leftChars="0" w:firstLine="0" w:firstLineChars="0"/>
        <w:jc w:val="both"/>
        <w:textAlignment w:val="auto"/>
        <w:outlineLvl w:val="2"/>
        <w:rPr>
          <w:rFonts w:hint="default" w:ascii="方正黑体_GBK" w:hAnsi="方正黑体_GBK" w:eastAsia="方正黑体_GBK" w:cs="方正黑体_GBK"/>
          <w:sz w:val="32"/>
          <w:szCs w:val="40"/>
          <w:lang w:val="en-US" w:eastAsia="zh-CN"/>
        </w:rPr>
      </w:pPr>
      <w:r>
        <w:rPr>
          <w:rFonts w:hint="eastAsia" w:ascii="仿宋_GB2312" w:hAnsi="仿宋_GB2312" w:eastAsia="仿宋_GB2312" w:cs="仿宋_GB2312"/>
          <w:sz w:val="32"/>
          <w:szCs w:val="40"/>
        </w:rPr>
        <w:br w:type="page"/>
      </w:r>
      <w:r>
        <w:rPr>
          <w:rFonts w:hint="eastAsia" w:ascii="方正黑体_GBK" w:hAnsi="方正黑体_GBK" w:eastAsia="方正黑体_GBK" w:cs="方正黑体_GBK"/>
          <w:sz w:val="32"/>
          <w:szCs w:val="40"/>
          <w:lang w:eastAsia="zh-CN"/>
        </w:rPr>
        <w:t>附件</w:t>
      </w:r>
      <w:r>
        <w:rPr>
          <w:rFonts w:hint="eastAsia" w:ascii="方正黑体_GBK" w:hAnsi="方正黑体_GBK" w:eastAsia="方正黑体_GBK" w:cs="方正黑体_GBK"/>
          <w:sz w:val="32"/>
          <w:szCs w:val="40"/>
          <w:lang w:val="en-US" w:eastAsia="zh-CN"/>
        </w:rPr>
        <w:t>1</w:t>
      </w:r>
    </w:p>
    <w:p w14:paraId="20533E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40"/>
          <w:lang w:eastAsia="zh-CN"/>
        </w:rPr>
      </w:pPr>
    </w:p>
    <w:p w14:paraId="3DF1BC8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山东省人民政府办公厅</w:t>
      </w:r>
    </w:p>
    <w:p w14:paraId="4E8C9D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关于印发《支持幼儿园开设托班的</w:t>
      </w:r>
    </w:p>
    <w:p w14:paraId="4D33402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若干措施（试行）》的通知</w:t>
      </w:r>
    </w:p>
    <w:p w14:paraId="42EBB3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鲁政办字〔2025〕13号</w:t>
      </w:r>
    </w:p>
    <w:p w14:paraId="75C787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5931CF9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各市人民政府，各县（市、区）人民政府，省政府各部门、各直属机构：</w:t>
      </w:r>
    </w:p>
    <w:p w14:paraId="07119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《支持幼儿园开设托班的若干措施（试行）》已经省政府同意，现印发给你们，请认真贯彻落实。</w:t>
      </w:r>
    </w:p>
    <w:p w14:paraId="4D42AA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485A3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373F1D5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山东省人民政府办公厅</w:t>
      </w:r>
    </w:p>
    <w:p w14:paraId="4951939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2025年1月21日</w:t>
      </w:r>
    </w:p>
    <w:p w14:paraId="309E05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567E1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（此件公开发布）</w:t>
      </w:r>
    </w:p>
    <w:p w14:paraId="0B44A7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7B2F45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070968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468C4D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7CD00F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14:paraId="313A1F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支持幼儿园开设托班的若干措施（试行）</w:t>
      </w:r>
    </w:p>
    <w:p w14:paraId="64151E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1665A6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根据《中华人民共和国学前教育法》《中共中央 国务院关于优化生育政策促进人口长期均衡发展的决定》和《国务院办公厅关于促进3岁以下婴幼儿照护服务发展的指导意见》精神，为促进人口长期均衡发展，优化出生人口支持政策，充分发挥幼儿园资源优势，现就支持幼儿园开设托班制定如下措施。</w:t>
      </w:r>
    </w:p>
    <w:p w14:paraId="6004E9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一、合理规划托位供给。</w:t>
      </w:r>
      <w:r>
        <w:rPr>
          <w:rFonts w:hint="eastAsia" w:ascii="仿宋_GB2312" w:hAnsi="仿宋_GB2312" w:eastAsia="仿宋_GB2312" w:cs="仿宋_GB2312"/>
          <w:sz w:val="32"/>
          <w:szCs w:val="40"/>
        </w:rPr>
        <w:t>教育部门应当结合幼儿园的现有布局和学位供给情况，统筹规划幼儿园托班设置。在满足3-6岁适龄幼儿入园需求，仍有空余单独活动用房的幼儿园，要坚持应招尽招原则招收2-3岁幼儿入园，普惠性幼儿园开设托班应提供普惠性托育服务。幼儿园开设托班数原则上不得超过该幼儿园审批规划班级数的30%，开设托班数和现有班级数总数应不超过审批规划班级数。新建居住区配套幼儿园规划和建设要统筹考虑托育需求，与居住区同步规划、同步建设、同步交付。托班招生应坚持就近自愿原则，每年秋季学期统一开展招生工作。（责任单位：省教育厅、省自然资源厅、省住房城乡建设厅按各自职责分工负责（下同））</w:t>
      </w:r>
    </w:p>
    <w:p w14:paraId="4F69E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二、加强环境设施改造。</w:t>
      </w:r>
      <w:r>
        <w:rPr>
          <w:rFonts w:hint="eastAsia" w:ascii="仿宋_GB2312" w:hAnsi="仿宋_GB2312" w:eastAsia="仿宋_GB2312" w:cs="仿宋_GB2312"/>
          <w:sz w:val="32"/>
          <w:szCs w:val="40"/>
        </w:rPr>
        <w:t>开设托班的幼儿园应按照《托育机构设置标准》要求对办园条件进行改造优化，为托班幼儿提供适宜的室内外游戏和生活活动场所。室内活动场地应采用软质地坪，墙面有安全防护。托班班级活动用房原则上设置在一层，不应设置在地下室或半地下室。要配备适应2-3岁幼儿发展特点，符合国家相关安全质量标准和环保标准的设施设备、玩教具、图书和游戏材料等。（责任单位：省教育厅、省卫生健康委）</w:t>
      </w:r>
    </w:p>
    <w:p w14:paraId="722890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三、优化登记备案程序。</w:t>
      </w:r>
      <w:r>
        <w:rPr>
          <w:rFonts w:hint="eastAsia" w:ascii="仿宋_GB2312" w:hAnsi="仿宋_GB2312" w:eastAsia="仿宋_GB2312" w:cs="仿宋_GB2312"/>
          <w:sz w:val="32"/>
          <w:szCs w:val="40"/>
        </w:rPr>
        <w:t>坚持便捷高效的原则，各有关部门按照工作职责对符合托班开设条件的幼儿园组织登记备案。经同级教育部门审核确认后，登记为事业单位法人的公办幼儿园，统一向机构编制部门申请调整主要职责、变更《事业单位法人证书》的宗旨和业务范围；非营利性民办幼儿园统一向民政部门或行政审批部门申请变更《民办非企业单位登记证书》的业务范围和修改章程核准。营利性民办幼儿园由市场监管部门或行政审批部门负责变更《营业执照》的经营范围。各幼儿园要将托班幼儿信息纳入“全国学前教育管理信息系统”管理。各县（市、区）教育部门定期汇总开设托班幼儿园和托班幼儿信息，由卫生健康部门统一备案。（责任单位：省委编办、省教育厅、省民政厅、省卫生健康委、省市场监管局）</w:t>
      </w:r>
    </w:p>
    <w:p w14:paraId="56C2C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四、健全经费保障机制。</w:t>
      </w:r>
      <w:r>
        <w:rPr>
          <w:rFonts w:hint="eastAsia" w:ascii="仿宋_GB2312" w:hAnsi="仿宋_GB2312" w:eastAsia="仿宋_GB2312" w:cs="仿宋_GB2312"/>
          <w:sz w:val="32"/>
          <w:szCs w:val="40"/>
        </w:rPr>
        <w:t>公办幼儿园招收的托班幼儿，一并纳入学前教育生均公用经费财政拨款保障范围；普惠性民办幼儿园招收的托班幼儿，一并纳入学前教育生均财政补助保障范围。各级政府为普惠性托育机构安排建设补贴的，对符合规定条件的普惠性幼儿园托班也应一并安排。各级政府为普惠性托育机构安排的生均运行经费，高于学前教育生均公用经费标准的，由卫生健康部门安排生均运行经费，教育部门不再安排生均公用经费；生均运行经费低于生均公用经费标准的，由教育部门按照学前教育公用经费标准补齐。幼儿园统筹保障好托班幼儿校方责任险支出。用水、用电、用气、采暖等执行居民生活类价格标准。单位职工子女入托可按一定比例报销托育费，标准不高于幼儿园报销比例的2倍。（责任单位：省发展改革委、省教育厅、省财政厅、省卫生健康委）</w:t>
      </w:r>
    </w:p>
    <w:p w14:paraId="2B444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五、严格规范收费管理。</w:t>
      </w:r>
      <w:r>
        <w:rPr>
          <w:rFonts w:hint="eastAsia" w:ascii="仿宋_GB2312" w:hAnsi="仿宋_GB2312" w:eastAsia="仿宋_GB2312" w:cs="仿宋_GB2312"/>
          <w:sz w:val="32"/>
          <w:szCs w:val="40"/>
        </w:rPr>
        <w:t>幼儿园托班按照《山东省学前教育与托育服务收费管理办法》规范收取托育费、服务性收费、代收费。托育费原则上按月、季度或学期收取，具体收取方式和退费办法可参照当地幼儿园保教费执行。普惠性幼儿园开设托班收取的托育费、住宿费（仅限寄宿制）收费标准，参照公办幼儿园和普惠性民办幼儿园收费标准制定办法，根据当地经济社会发展水平、运行成本、财政投入和群众承受能力等实际情况制定或调整。幼儿园开设托班提供的托育服务，按规定享受增值税等税收优惠政策。（责任单位：省发展改革委、省教育厅、省财政厅、省卫生健康委、省税务局）</w:t>
      </w:r>
    </w:p>
    <w:p w14:paraId="7AF81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六、加大师资队伍配备。</w:t>
      </w:r>
      <w:r>
        <w:rPr>
          <w:rFonts w:hint="eastAsia" w:ascii="仿宋_GB2312" w:hAnsi="仿宋_GB2312" w:eastAsia="仿宋_GB2312" w:cs="仿宋_GB2312"/>
          <w:sz w:val="32"/>
          <w:szCs w:val="40"/>
        </w:rPr>
        <w:t>托班班额人数应不超过20人。公办幼儿园参照山东省公办幼儿园编制标准，配齐配强托班保教人员，将托班幼儿数量纳入公办幼儿园教职工编制核定、岗位设置基数。民办幼儿园参照山东省幼儿园办园条件标准，配足配齐托班保教人员。托班教师应取得幼儿园教师资格证，保育员应取得岗位培训合格证。鼓励托班教师和保育员积极取得婴幼儿发展引导员、保育师等资格。托班保教人员与幼儿园其他同类教职工按规定享有同等激励保障待遇。（责任单位：省委编办、省教育厅、省人力资源社会保障厅）</w:t>
      </w:r>
    </w:p>
    <w:p w14:paraId="07C594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七、开展科学保教服务。</w:t>
      </w:r>
      <w:r>
        <w:rPr>
          <w:rFonts w:hint="eastAsia" w:ascii="仿宋_GB2312" w:hAnsi="仿宋_GB2312" w:eastAsia="仿宋_GB2312" w:cs="仿宋_GB2312"/>
          <w:sz w:val="32"/>
          <w:szCs w:val="40"/>
        </w:rPr>
        <w:t>幼儿园应按照《托育机构保育指导大纲（试行）》，遵循2-3岁幼儿发展的年龄特点与个体差异，制订科学的托班保育方案，合理安排一日活动，为幼儿提供生活照料、安全看护、营养膳食、健康管理等照护服务，以游戏为基本活动，促进幼儿身心全面发展。充分发挥家委会作用，鼓励支持有条件的幼儿园探索开展家长轮值陪护照料机制，做好家园社协同共育，宣传科学的育儿理念，形成育人合力。将幼儿园托班管理纳入幼儿园保育教育质量评价体系。强化幼儿园卫生保健人员专业能力建设，建立定点医院、专家团队应急响应机制。（责任单位：省教育厅、省卫生健康委）</w:t>
      </w:r>
    </w:p>
    <w:p w14:paraId="07FBC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八、持续加强专业建设。</w:t>
      </w:r>
      <w:r>
        <w:rPr>
          <w:rFonts w:hint="eastAsia" w:ascii="仿宋_GB2312" w:hAnsi="仿宋_GB2312" w:eastAsia="仿宋_GB2312" w:cs="仿宋_GB2312"/>
          <w:sz w:val="32"/>
          <w:szCs w:val="40"/>
        </w:rPr>
        <w:t>鼓励有条件的高等院校、职业（技工）院校开设托育相关专业，加快专业人才培养。将托班教职工纳入幼儿园教师培训计划，提升照护服务能力和水平。加强托班教科研工作，深入开展理论研究和实践探索。（责任单位：省教育厅、省人力资源社会保障厅、省卫生健康委）</w:t>
      </w:r>
    </w:p>
    <w:p w14:paraId="71251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九、健全组织领导机制。</w:t>
      </w:r>
      <w:r>
        <w:rPr>
          <w:rFonts w:hint="eastAsia" w:ascii="仿宋_GB2312" w:hAnsi="仿宋_GB2312" w:eastAsia="仿宋_GB2312" w:cs="仿宋_GB2312"/>
          <w:sz w:val="32"/>
          <w:szCs w:val="40"/>
        </w:rPr>
        <w:t>幼儿园开设托班工作，按照属地管理和分工负责的原则，由教育部门牵头，各有关部门按照各自职责，加强对幼儿园托班的指导、监督和管理，确保相应的配套政策措施落实到位。机构编制部门负责落实公办幼儿园开设托班的教职工编制核定；发展改革部门负责争取中央预算内投资等政策性资金，支持符合条件的幼儿园托班项目；财政部门负责加大对普惠性幼儿园开设托班经费支持力度；人力资源社会保障部门会同有关行业部门共同完善幼儿园托班专业技术人员职称评审政策；卫生健康部门负责督促落实幼儿园托班相关托育服务支持政策，协助教育部门做好幼儿园托班托育服务管理；税务部门负责落实支持幼儿园托班服务发展的税费优惠政策。幼儿园负责落实主体责任，幼儿园园长是第一责任人，不断强化安全管理，持续提高保育教育质量。（责任单位：省委编办、省发展改革委、省教育厅、省财政厅、省人力资源社会保障厅、省卫生健康委、省税务局）</w:t>
      </w:r>
    </w:p>
    <w:p w14:paraId="13DB1CE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lang w:val="en-US" w:eastAsia="zh-CN"/>
        </w:rPr>
      </w:pPr>
      <w:r>
        <w:rPr>
          <w:rFonts w:hint="eastAsia" w:ascii="方正黑体_GBK" w:hAnsi="方正黑体_GBK" w:eastAsia="方正黑体_GBK" w:cs="方正黑体_GBK"/>
          <w:color w:val="auto"/>
          <w:kern w:val="0"/>
          <w:sz w:val="32"/>
          <w:szCs w:val="32"/>
        </w:rPr>
        <w:br w:type="page"/>
      </w:r>
      <w:r>
        <w:rPr>
          <w:rFonts w:hint="eastAsia" w:ascii="方正黑体_GBK" w:hAnsi="方正黑体_GBK" w:eastAsia="方正黑体_GBK" w:cs="方正黑体_GBK"/>
          <w:color w:val="auto"/>
          <w:kern w:val="0"/>
          <w:sz w:val="32"/>
          <w:szCs w:val="32"/>
        </w:rPr>
        <w:t>附件</w:t>
      </w:r>
      <w:r>
        <w:rPr>
          <w:rFonts w:hint="eastAsia" w:ascii="方正黑体_GBK" w:hAnsi="方正黑体_GBK" w:eastAsia="方正黑体_GBK" w:cs="方正黑体_GBK"/>
          <w:color w:val="auto"/>
          <w:kern w:val="0"/>
          <w:sz w:val="32"/>
          <w:szCs w:val="32"/>
          <w:lang w:val="en-US" w:eastAsia="zh-CN"/>
        </w:rPr>
        <w:t>2</w:t>
      </w:r>
    </w:p>
    <w:p w14:paraId="6D65AE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青岛市</w:t>
      </w:r>
      <w:r>
        <w:rPr>
          <w:rFonts w:hint="eastAsia" w:ascii="方正小标宋简体" w:hAnsi="方正小标宋简体" w:eastAsia="方正小标宋简体" w:cs="方正小标宋简体"/>
          <w:b w:val="0"/>
          <w:bCs w:val="0"/>
          <w:color w:val="auto"/>
          <w:sz w:val="44"/>
          <w:szCs w:val="44"/>
        </w:rPr>
        <w:t>幼儿园开设托班</w:t>
      </w:r>
      <w:r>
        <w:rPr>
          <w:rFonts w:hint="eastAsia" w:ascii="方正小标宋简体" w:hAnsi="方正小标宋简体" w:eastAsia="方正小标宋简体" w:cs="方正小标宋简体"/>
          <w:b w:val="0"/>
          <w:bCs w:val="0"/>
          <w:color w:val="auto"/>
          <w:sz w:val="44"/>
          <w:szCs w:val="44"/>
          <w:lang w:eastAsia="zh-CN"/>
        </w:rPr>
        <w:t>申请</w:t>
      </w:r>
      <w:r>
        <w:rPr>
          <w:rFonts w:hint="eastAsia" w:ascii="方正小标宋简体" w:hAnsi="方正小标宋简体" w:eastAsia="方正小标宋简体" w:cs="方正小标宋简体"/>
          <w:b w:val="0"/>
          <w:bCs w:val="0"/>
          <w:color w:val="auto"/>
          <w:sz w:val="44"/>
          <w:szCs w:val="44"/>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085"/>
        <w:gridCol w:w="2190"/>
        <w:gridCol w:w="2220"/>
      </w:tblGrid>
      <w:tr w14:paraId="58C2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24A35F8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default" w:ascii="方正黑体_GBK" w:hAnsi="方正黑体_GBK" w:eastAsia="方正黑体_GBK" w:cs="方正黑体_GBK"/>
                <w:b w:val="0"/>
                <w:bCs w:val="0"/>
                <w:color w:val="auto"/>
                <w:kern w:val="2"/>
                <w:sz w:val="28"/>
                <w:szCs w:val="28"/>
                <w:lang w:val="en-US" w:eastAsia="zh-CN" w:bidi="ar-SA"/>
              </w:rPr>
            </w:pPr>
            <w:r>
              <w:rPr>
                <w:rFonts w:hint="eastAsia" w:ascii="方正黑体_GBK" w:hAnsi="方正黑体_GBK" w:eastAsia="方正黑体_GBK" w:cs="方正黑体_GBK"/>
                <w:b w:val="0"/>
                <w:bCs w:val="0"/>
                <w:color w:val="auto"/>
                <w:kern w:val="2"/>
                <w:sz w:val="28"/>
                <w:szCs w:val="28"/>
                <w:lang w:val="en" w:eastAsia="zh-CN" w:bidi="ar-SA"/>
              </w:rPr>
              <w:t>幼儿园名称</w:t>
            </w:r>
            <w:r>
              <w:rPr>
                <w:rFonts w:hint="eastAsia" w:ascii="方正黑体_GBK" w:hAnsi="方正黑体_GBK" w:eastAsia="方正黑体_GBK" w:cs="方正黑体_GBK"/>
                <w:b w:val="0"/>
                <w:bCs w:val="0"/>
                <w:color w:val="auto"/>
                <w:kern w:val="2"/>
                <w:sz w:val="28"/>
                <w:szCs w:val="28"/>
                <w:lang w:val="en-US" w:eastAsia="zh-CN" w:bidi="ar-SA"/>
              </w:rPr>
              <w:t>(</w:t>
            </w:r>
            <w:r>
              <w:rPr>
                <w:rFonts w:hint="eastAsia" w:ascii="方正黑体_GBK" w:hAnsi="方正黑体_GBK" w:eastAsia="方正黑体_GBK" w:cs="方正黑体_GBK"/>
                <w:b w:val="0"/>
                <w:bCs w:val="0"/>
                <w:color w:val="auto"/>
                <w:kern w:val="2"/>
                <w:sz w:val="28"/>
                <w:szCs w:val="28"/>
                <w:lang w:val="en" w:eastAsia="zh-CN" w:bidi="ar-SA"/>
              </w:rPr>
              <w:t>盖章</w:t>
            </w:r>
            <w:r>
              <w:rPr>
                <w:rFonts w:hint="eastAsia" w:ascii="方正黑体_GBK" w:hAnsi="方正黑体_GBK" w:eastAsia="方正黑体_GBK" w:cs="方正黑体_GBK"/>
                <w:b w:val="0"/>
                <w:bCs w:val="0"/>
                <w:color w:val="auto"/>
                <w:kern w:val="2"/>
                <w:sz w:val="28"/>
                <w:szCs w:val="28"/>
                <w:lang w:val="en-US" w:eastAsia="zh-CN" w:bidi="ar-SA"/>
              </w:rPr>
              <w:t>)</w:t>
            </w:r>
          </w:p>
        </w:tc>
        <w:tc>
          <w:tcPr>
            <w:tcW w:w="6495" w:type="dxa"/>
            <w:gridSpan w:val="3"/>
            <w:noWrap w:val="0"/>
            <w:vAlign w:val="center"/>
          </w:tcPr>
          <w:p w14:paraId="542E233D">
            <w:pPr>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b w:val="0"/>
                <w:bCs w:val="0"/>
                <w:color w:val="auto"/>
                <w:kern w:val="2"/>
                <w:sz w:val="28"/>
                <w:szCs w:val="28"/>
                <w:lang w:val="en" w:eastAsia="zh-CN" w:bidi="ar-SA"/>
              </w:rPr>
            </w:pPr>
          </w:p>
        </w:tc>
      </w:tr>
      <w:tr w14:paraId="0312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2A5088F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注册地址</w:t>
            </w:r>
          </w:p>
        </w:tc>
        <w:tc>
          <w:tcPr>
            <w:tcW w:w="6495" w:type="dxa"/>
            <w:gridSpan w:val="3"/>
            <w:noWrap w:val="0"/>
            <w:vAlign w:val="center"/>
          </w:tcPr>
          <w:p w14:paraId="5CEFCD69">
            <w:pPr>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b w:val="0"/>
                <w:bCs w:val="0"/>
                <w:color w:val="auto"/>
                <w:kern w:val="2"/>
                <w:sz w:val="28"/>
                <w:szCs w:val="28"/>
                <w:lang w:val="en" w:eastAsia="zh-CN" w:bidi="ar-SA"/>
              </w:rPr>
            </w:pPr>
          </w:p>
        </w:tc>
      </w:tr>
      <w:tr w14:paraId="755B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0211934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园长姓名</w:t>
            </w:r>
          </w:p>
        </w:tc>
        <w:tc>
          <w:tcPr>
            <w:tcW w:w="2085" w:type="dxa"/>
            <w:noWrap w:val="0"/>
            <w:vAlign w:val="center"/>
          </w:tcPr>
          <w:p w14:paraId="6E24A498">
            <w:pPr>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b w:val="0"/>
                <w:bCs w:val="0"/>
                <w:color w:val="auto"/>
                <w:kern w:val="2"/>
                <w:sz w:val="28"/>
                <w:szCs w:val="28"/>
                <w:lang w:val="en" w:eastAsia="zh-CN" w:bidi="ar-SA"/>
              </w:rPr>
            </w:pPr>
          </w:p>
        </w:tc>
        <w:tc>
          <w:tcPr>
            <w:tcW w:w="2190" w:type="dxa"/>
            <w:noWrap w:val="0"/>
            <w:vAlign w:val="center"/>
          </w:tcPr>
          <w:p w14:paraId="73FA38F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仿宋_GB2312" w:hAnsi="仿宋_GB2312" w:eastAsia="仿宋_GB2312" w:cs="仿宋_GB2312"/>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联系方式</w:t>
            </w:r>
          </w:p>
        </w:tc>
        <w:tc>
          <w:tcPr>
            <w:tcW w:w="2220" w:type="dxa"/>
            <w:noWrap w:val="0"/>
            <w:vAlign w:val="center"/>
          </w:tcPr>
          <w:p w14:paraId="16DA8346">
            <w:pPr>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default" w:ascii="仿宋_GB2312" w:hAnsi="仿宋_GB2312" w:eastAsia="仿宋_GB2312" w:cs="仿宋_GB2312"/>
                <w:b w:val="0"/>
                <w:bCs w:val="0"/>
                <w:color w:val="auto"/>
                <w:kern w:val="2"/>
                <w:sz w:val="28"/>
                <w:szCs w:val="28"/>
                <w:lang w:val="en-US" w:eastAsia="zh-CN" w:bidi="ar-SA"/>
              </w:rPr>
            </w:pPr>
          </w:p>
        </w:tc>
      </w:tr>
      <w:tr w14:paraId="0FDB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3214635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幼儿园性质</w:t>
            </w:r>
          </w:p>
        </w:tc>
        <w:tc>
          <w:tcPr>
            <w:tcW w:w="6495" w:type="dxa"/>
            <w:gridSpan w:val="3"/>
            <w:noWrap w:val="0"/>
            <w:vAlign w:val="center"/>
          </w:tcPr>
          <w:p w14:paraId="02F1992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 w:eastAsia="zh-CN" w:bidi="ar-SA"/>
              </w:rPr>
              <w:sym w:font="Wingdings 2" w:char="00A3"/>
            </w:r>
            <w:r>
              <w:rPr>
                <w:rFonts w:hint="eastAsia" w:ascii="仿宋_GB2312" w:hAnsi="仿宋_GB2312" w:eastAsia="仿宋_GB2312" w:cs="仿宋_GB2312"/>
                <w:b w:val="0"/>
                <w:bCs w:val="0"/>
                <w:color w:val="auto"/>
                <w:kern w:val="2"/>
                <w:sz w:val="28"/>
                <w:szCs w:val="28"/>
                <w:lang w:val="en" w:eastAsia="zh-CN" w:bidi="ar-SA"/>
              </w:rPr>
              <w:t>公办</w:t>
            </w:r>
            <w:r>
              <w:rPr>
                <w:rFonts w:hint="eastAsia" w:ascii="仿宋_GB2312" w:hAnsi="仿宋_GB2312" w:eastAsia="仿宋_GB2312" w:cs="仿宋_GB2312"/>
                <w:b w:val="0"/>
                <w:bCs w:val="0"/>
                <w:color w:val="auto"/>
                <w:kern w:val="2"/>
                <w:sz w:val="28"/>
                <w:szCs w:val="28"/>
                <w:lang w:val="en-US" w:eastAsia="zh-CN" w:bidi="ar-SA"/>
              </w:rPr>
              <w:t xml:space="preserve">  </w:t>
            </w:r>
            <w:r>
              <w:rPr>
                <w:rFonts w:hint="eastAsia" w:ascii="仿宋_GB2312" w:hAnsi="仿宋_GB2312" w:eastAsia="仿宋_GB2312" w:cs="仿宋_GB2312"/>
                <w:b w:val="0"/>
                <w:bCs w:val="0"/>
                <w:color w:val="auto"/>
                <w:kern w:val="2"/>
                <w:sz w:val="28"/>
                <w:szCs w:val="28"/>
                <w:lang w:val="en" w:eastAsia="zh-CN" w:bidi="ar-SA"/>
              </w:rPr>
              <w:sym w:font="Wingdings 2" w:char="00A3"/>
            </w:r>
            <w:r>
              <w:rPr>
                <w:rFonts w:hint="eastAsia" w:ascii="仿宋_GB2312" w:hAnsi="仿宋_GB2312" w:eastAsia="仿宋_GB2312" w:cs="仿宋_GB2312"/>
                <w:b w:val="0"/>
                <w:bCs w:val="0"/>
                <w:color w:val="auto"/>
                <w:kern w:val="2"/>
                <w:sz w:val="28"/>
                <w:szCs w:val="28"/>
                <w:lang w:val="en" w:eastAsia="zh-CN" w:bidi="ar-SA"/>
              </w:rPr>
              <w:t>普惠性民办</w:t>
            </w:r>
            <w:r>
              <w:rPr>
                <w:rFonts w:hint="eastAsia" w:ascii="仿宋_GB2312" w:hAnsi="仿宋_GB2312" w:eastAsia="仿宋_GB2312" w:cs="仿宋_GB2312"/>
                <w:b w:val="0"/>
                <w:bCs w:val="0"/>
                <w:color w:val="auto"/>
                <w:kern w:val="2"/>
                <w:sz w:val="28"/>
                <w:szCs w:val="28"/>
                <w:lang w:val="en-US" w:eastAsia="zh-CN" w:bidi="ar-SA"/>
              </w:rPr>
              <w:t xml:space="preserve">  </w:t>
            </w:r>
            <w:r>
              <w:rPr>
                <w:rFonts w:hint="eastAsia" w:ascii="仿宋_GB2312" w:hAnsi="仿宋_GB2312" w:eastAsia="仿宋_GB2312" w:cs="仿宋_GB2312"/>
                <w:b w:val="0"/>
                <w:bCs w:val="0"/>
                <w:color w:val="auto"/>
                <w:kern w:val="2"/>
                <w:sz w:val="28"/>
                <w:szCs w:val="28"/>
                <w:lang w:val="en" w:eastAsia="zh-CN" w:bidi="ar-SA"/>
              </w:rPr>
              <w:sym w:font="Wingdings 2" w:char="00A3"/>
            </w:r>
            <w:r>
              <w:rPr>
                <w:rFonts w:hint="eastAsia" w:ascii="仿宋_GB2312" w:hAnsi="仿宋_GB2312" w:eastAsia="仿宋_GB2312" w:cs="仿宋_GB2312"/>
                <w:b w:val="0"/>
                <w:bCs w:val="0"/>
                <w:color w:val="auto"/>
                <w:kern w:val="2"/>
                <w:sz w:val="28"/>
                <w:szCs w:val="28"/>
                <w:lang w:val="en" w:eastAsia="zh-CN" w:bidi="ar-SA"/>
              </w:rPr>
              <w:t>营利性民办</w:t>
            </w:r>
            <w:r>
              <w:rPr>
                <w:rFonts w:hint="eastAsia" w:ascii="仿宋_GB2312" w:hAnsi="仿宋_GB2312" w:eastAsia="仿宋_GB2312" w:cs="仿宋_GB2312"/>
                <w:b w:val="0"/>
                <w:bCs w:val="0"/>
                <w:color w:val="auto"/>
                <w:kern w:val="2"/>
                <w:sz w:val="28"/>
                <w:szCs w:val="28"/>
                <w:lang w:val="en-US" w:eastAsia="zh-CN" w:bidi="ar-SA"/>
              </w:rPr>
              <w:t xml:space="preserve">  </w:t>
            </w:r>
          </w:p>
          <w:p w14:paraId="218EA12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eastAsia" w:ascii="仿宋_GB2312" w:hAnsi="仿宋_GB2312" w:eastAsia="仿宋_GB2312" w:cs="仿宋_GB2312"/>
                <w:b w:val="0"/>
                <w:bCs w:val="0"/>
                <w:color w:val="auto"/>
                <w:kern w:val="2"/>
                <w:sz w:val="28"/>
                <w:szCs w:val="28"/>
                <w:lang w:val="en" w:eastAsia="zh-CN" w:bidi="ar-SA"/>
              </w:rPr>
            </w:pPr>
            <w:r>
              <w:rPr>
                <w:rFonts w:hint="eastAsia" w:ascii="仿宋_GB2312" w:hAnsi="仿宋_GB2312" w:eastAsia="仿宋_GB2312" w:cs="仿宋_GB2312"/>
                <w:b w:val="0"/>
                <w:bCs w:val="0"/>
                <w:color w:val="auto"/>
                <w:kern w:val="2"/>
                <w:sz w:val="28"/>
                <w:szCs w:val="28"/>
                <w:lang w:val="en" w:eastAsia="zh-CN" w:bidi="ar-SA"/>
              </w:rPr>
              <w:sym w:font="Wingdings 2" w:char="00A3"/>
            </w:r>
            <w:r>
              <w:rPr>
                <w:rFonts w:hint="eastAsia" w:ascii="仿宋_GB2312" w:hAnsi="仿宋_GB2312" w:eastAsia="仿宋_GB2312" w:cs="仿宋_GB2312"/>
                <w:b w:val="0"/>
                <w:bCs w:val="0"/>
                <w:color w:val="auto"/>
                <w:kern w:val="2"/>
                <w:sz w:val="28"/>
                <w:szCs w:val="28"/>
                <w:lang w:val="en" w:eastAsia="zh-CN" w:bidi="ar-SA"/>
              </w:rPr>
              <w:t>非普惠非营利性民办</w:t>
            </w:r>
          </w:p>
        </w:tc>
      </w:tr>
      <w:tr w14:paraId="493D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1300D4C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教职工</w:t>
            </w:r>
          </w:p>
        </w:tc>
        <w:tc>
          <w:tcPr>
            <w:tcW w:w="6495" w:type="dxa"/>
            <w:gridSpan w:val="3"/>
            <w:noWrap w:val="0"/>
            <w:vAlign w:val="center"/>
          </w:tcPr>
          <w:p w14:paraId="44ACB77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 w:eastAsia="zh-CN" w:bidi="ar-SA"/>
              </w:rPr>
              <w:t>现有教职工</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人，其中专任教师</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人。</w:t>
            </w:r>
          </w:p>
        </w:tc>
      </w:tr>
      <w:tr w14:paraId="1650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4383438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收费标准</w:t>
            </w:r>
          </w:p>
        </w:tc>
        <w:tc>
          <w:tcPr>
            <w:tcW w:w="6495" w:type="dxa"/>
            <w:gridSpan w:val="3"/>
            <w:noWrap w:val="0"/>
            <w:vAlign w:val="center"/>
          </w:tcPr>
          <w:p w14:paraId="24F770A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托育费</w:t>
            </w:r>
            <w:r>
              <w:rPr>
                <w:rFonts w:hint="eastAsia" w:cs="仿宋_GB2312"/>
                <w:b w:val="0"/>
                <w:bCs w:val="0"/>
                <w:color w:val="auto"/>
                <w:kern w:val="2"/>
                <w:sz w:val="28"/>
                <w:szCs w:val="28"/>
                <w:lang w:val="en-US" w:eastAsia="zh-CN" w:bidi="ar-SA"/>
              </w:rPr>
              <w:t>（全日托）</w:t>
            </w:r>
            <w:r>
              <w:rPr>
                <w:rFonts w:hint="eastAsia" w:ascii="仿宋_GB2312" w:hAnsi="仿宋_GB2312" w:eastAsia="仿宋_GB2312" w:cs="仿宋_GB2312"/>
                <w:b w:val="0"/>
                <w:bCs w:val="0"/>
                <w:color w:val="auto"/>
                <w:kern w:val="2"/>
                <w:sz w:val="28"/>
                <w:szCs w:val="28"/>
                <w:lang w:val="en-US" w:eastAsia="zh-CN" w:bidi="ar-SA"/>
              </w:rPr>
              <w:t>：</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元/生·月，</w:t>
            </w:r>
          </w:p>
          <w:p w14:paraId="142D3A7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伙食费：</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元/生·</w:t>
            </w:r>
            <w:r>
              <w:rPr>
                <w:rFonts w:hint="eastAsia" w:cs="仿宋_GB2312"/>
                <w:b w:val="0"/>
                <w:bCs w:val="0"/>
                <w:color w:val="auto"/>
                <w:kern w:val="2"/>
                <w:sz w:val="28"/>
                <w:szCs w:val="28"/>
                <w:lang w:val="en-US" w:eastAsia="zh-CN" w:bidi="ar-SA"/>
              </w:rPr>
              <w:t>天</w:t>
            </w:r>
            <w:r>
              <w:rPr>
                <w:rFonts w:hint="eastAsia" w:ascii="仿宋_GB2312" w:hAnsi="仿宋_GB2312" w:eastAsia="仿宋_GB2312" w:cs="仿宋_GB2312"/>
                <w:b w:val="0"/>
                <w:bCs w:val="0"/>
                <w:color w:val="auto"/>
                <w:kern w:val="2"/>
                <w:sz w:val="28"/>
                <w:szCs w:val="28"/>
                <w:lang w:val="en-US" w:eastAsia="zh-CN" w:bidi="ar-SA"/>
              </w:rPr>
              <w:t>，</w:t>
            </w:r>
            <w:r>
              <w:rPr>
                <w:rFonts w:hint="eastAsia" w:cs="仿宋_GB2312"/>
                <w:b w:val="0"/>
                <w:bCs w:val="0"/>
                <w:color w:val="auto"/>
                <w:kern w:val="2"/>
                <w:sz w:val="28"/>
                <w:szCs w:val="28"/>
                <w:lang w:val="en-US" w:eastAsia="zh-CN" w:bidi="ar-SA"/>
              </w:rPr>
              <w:t>其他：</w:t>
            </w:r>
            <w:r>
              <w:rPr>
                <w:rFonts w:hint="eastAsia" w:cs="仿宋_GB2312"/>
                <w:b w:val="0"/>
                <w:bCs w:val="0"/>
                <w:color w:val="auto"/>
                <w:kern w:val="2"/>
                <w:sz w:val="28"/>
                <w:szCs w:val="28"/>
                <w:u w:val="single"/>
                <w:lang w:val="en-US" w:eastAsia="zh-CN" w:bidi="ar-SA"/>
              </w:rPr>
              <w:t xml:space="preserve">       </w:t>
            </w:r>
          </w:p>
        </w:tc>
      </w:tr>
      <w:tr w14:paraId="4E96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44A4F73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幼儿园应设规模</w:t>
            </w:r>
          </w:p>
        </w:tc>
        <w:tc>
          <w:tcPr>
            <w:tcW w:w="2085" w:type="dxa"/>
            <w:noWrap w:val="0"/>
            <w:vAlign w:val="center"/>
          </w:tcPr>
          <w:p w14:paraId="3A0FCFC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eastAsia" w:ascii="仿宋_GB2312" w:hAnsi="仿宋_GB2312" w:eastAsia="仿宋_GB2312" w:cs="仿宋_GB2312"/>
                <w:b w:val="0"/>
                <w:bCs w:val="0"/>
                <w:color w:val="auto"/>
                <w:kern w:val="2"/>
                <w:sz w:val="28"/>
                <w:szCs w:val="28"/>
                <w:lang w:val="en" w:eastAsia="zh-CN" w:bidi="ar-SA"/>
              </w:rPr>
            </w:pP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 w:eastAsia="zh-CN" w:bidi="ar-SA"/>
              </w:rPr>
              <w:t>个班，</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人</w:t>
            </w:r>
          </w:p>
        </w:tc>
        <w:tc>
          <w:tcPr>
            <w:tcW w:w="2190" w:type="dxa"/>
            <w:noWrap w:val="0"/>
            <w:vAlign w:val="center"/>
          </w:tcPr>
          <w:p w14:paraId="0974688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eastAsia" w:ascii="仿宋_GB2312" w:hAnsi="仿宋_GB2312" w:eastAsia="仿宋_GB2312" w:cs="仿宋_GB2312"/>
                <w:b w:val="0"/>
                <w:bCs w:val="0"/>
                <w:color w:val="auto"/>
                <w:kern w:val="2"/>
                <w:sz w:val="28"/>
                <w:szCs w:val="28"/>
                <w:u w:val="single"/>
                <w:lang w:val="en-US" w:eastAsia="zh-CN" w:bidi="ar-SA"/>
              </w:rPr>
            </w:pPr>
            <w:r>
              <w:rPr>
                <w:rFonts w:hint="eastAsia" w:ascii="方正黑体_GBK" w:hAnsi="方正黑体_GBK" w:eastAsia="方正黑体_GBK" w:cs="方正黑体_GBK"/>
                <w:b w:val="0"/>
                <w:bCs w:val="0"/>
                <w:color w:val="auto"/>
                <w:kern w:val="2"/>
                <w:sz w:val="28"/>
                <w:szCs w:val="28"/>
                <w:lang w:val="en" w:eastAsia="zh-CN" w:bidi="ar-SA"/>
              </w:rPr>
              <w:t>幼儿园实际规模</w:t>
            </w:r>
          </w:p>
        </w:tc>
        <w:tc>
          <w:tcPr>
            <w:tcW w:w="2220" w:type="dxa"/>
            <w:noWrap w:val="0"/>
            <w:vAlign w:val="center"/>
          </w:tcPr>
          <w:p w14:paraId="29619D6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both"/>
              <w:textAlignment w:val="auto"/>
              <w:outlineLvl w:val="2"/>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 w:eastAsia="zh-CN" w:bidi="ar-SA"/>
              </w:rPr>
              <w:t>个班，</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人</w:t>
            </w:r>
          </w:p>
        </w:tc>
      </w:tr>
      <w:tr w14:paraId="159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2CB241F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拟开设托班数</w:t>
            </w:r>
          </w:p>
        </w:tc>
        <w:tc>
          <w:tcPr>
            <w:tcW w:w="6495" w:type="dxa"/>
            <w:gridSpan w:val="3"/>
            <w:noWrap w:val="0"/>
            <w:vAlign w:val="center"/>
          </w:tcPr>
          <w:p w14:paraId="0DC43D48">
            <w:pPr>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 w:eastAsia="zh-CN" w:bidi="ar-SA"/>
              </w:rPr>
              <w:t>个班，</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人</w:t>
            </w:r>
          </w:p>
        </w:tc>
      </w:tr>
      <w:tr w14:paraId="5015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57" w:type="dxa"/>
            <w:noWrap w:val="0"/>
            <w:vAlign w:val="center"/>
          </w:tcPr>
          <w:p w14:paraId="3FE57D9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托班保教人员配备</w:t>
            </w:r>
          </w:p>
        </w:tc>
        <w:tc>
          <w:tcPr>
            <w:tcW w:w="6495" w:type="dxa"/>
            <w:gridSpan w:val="3"/>
            <w:noWrap w:val="0"/>
            <w:vAlign w:val="center"/>
          </w:tcPr>
          <w:p w14:paraId="4275A196">
            <w:pPr>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default"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共</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人，其中：专任教师</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人，保育员</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人。</w:t>
            </w:r>
          </w:p>
        </w:tc>
      </w:tr>
      <w:tr w14:paraId="69FF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2457" w:type="dxa"/>
            <w:noWrap w:val="0"/>
            <w:vAlign w:val="center"/>
          </w:tcPr>
          <w:p w14:paraId="66B94C0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教育部门</w:t>
            </w:r>
          </w:p>
          <w:p w14:paraId="2DF4FB7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outlineLvl w:val="2"/>
              <w:rPr>
                <w:rFonts w:hint="eastAsia" w:ascii="方正黑体_GBK" w:hAnsi="方正黑体_GBK" w:eastAsia="方正黑体_GBK" w:cs="方正黑体_GBK"/>
                <w:b w:val="0"/>
                <w:bCs w:val="0"/>
                <w:color w:val="auto"/>
                <w:kern w:val="2"/>
                <w:sz w:val="28"/>
                <w:szCs w:val="28"/>
                <w:lang w:val="en" w:eastAsia="zh-CN" w:bidi="ar-SA"/>
              </w:rPr>
            </w:pPr>
            <w:r>
              <w:rPr>
                <w:rFonts w:hint="eastAsia" w:ascii="方正黑体_GBK" w:hAnsi="方正黑体_GBK" w:eastAsia="方正黑体_GBK" w:cs="方正黑体_GBK"/>
                <w:b w:val="0"/>
                <w:bCs w:val="0"/>
                <w:color w:val="auto"/>
                <w:kern w:val="2"/>
                <w:sz w:val="28"/>
                <w:szCs w:val="28"/>
                <w:lang w:val="en" w:eastAsia="zh-CN" w:bidi="ar-SA"/>
              </w:rPr>
              <w:t>审核意见</w:t>
            </w:r>
          </w:p>
        </w:tc>
        <w:tc>
          <w:tcPr>
            <w:tcW w:w="6495" w:type="dxa"/>
            <w:gridSpan w:val="3"/>
            <w:noWrap w:val="0"/>
            <w:vAlign w:val="center"/>
          </w:tcPr>
          <w:p w14:paraId="212DAB3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left"/>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同意该幼儿园开设托班</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个，招收2-3岁幼儿</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名，同意该幼儿园申请托班登记备案。</w:t>
            </w:r>
          </w:p>
          <w:p w14:paraId="47D04853">
            <w:pPr>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p>
          <w:p w14:paraId="37FD35BB">
            <w:pPr>
              <w:keepNext w:val="0"/>
              <w:keepLines w:val="0"/>
              <w:pageBreakBefore w:val="0"/>
              <w:widowControl w:val="0"/>
              <w:kinsoku/>
              <w:wordWrap/>
              <w:overflowPunct/>
              <w:topLinePunct w:val="0"/>
              <w:autoSpaceDE/>
              <w:autoSpaceDN/>
              <w:bidi w:val="0"/>
              <w:adjustRightInd/>
              <w:snapToGrid/>
              <w:spacing w:before="0" w:after="0" w:line="500" w:lineRule="exact"/>
              <w:ind w:firstLine="4200" w:firstLineChars="1500"/>
              <w:jc w:val="both"/>
              <w:textAlignment w:val="auto"/>
              <w:outlineLvl w:val="2"/>
              <w:rPr>
                <w:rFonts w:hint="eastAsia" w:ascii="仿宋_GB2312" w:hAnsi="仿宋_GB2312" w:eastAsia="仿宋_GB2312" w:cs="仿宋_GB2312"/>
                <w:b w:val="0"/>
                <w:bCs w:val="0"/>
                <w:color w:val="auto"/>
                <w:kern w:val="2"/>
                <w:sz w:val="28"/>
                <w:szCs w:val="28"/>
                <w:lang w:val="en" w:eastAsia="zh-CN" w:bidi="ar-SA"/>
              </w:rPr>
            </w:pPr>
            <w:r>
              <w:rPr>
                <w:rFonts w:hint="eastAsia" w:ascii="仿宋_GB2312" w:hAnsi="仿宋_GB2312" w:eastAsia="仿宋_GB2312" w:cs="仿宋_GB2312"/>
                <w:b w:val="0"/>
                <w:bCs w:val="0"/>
                <w:color w:val="auto"/>
                <w:kern w:val="2"/>
                <w:sz w:val="28"/>
                <w:szCs w:val="28"/>
                <w:lang w:val="en" w:eastAsia="zh-CN" w:bidi="ar-SA"/>
              </w:rPr>
              <w:t>（公章）</w:t>
            </w:r>
          </w:p>
          <w:p w14:paraId="069C3093">
            <w:pPr>
              <w:keepNext w:val="0"/>
              <w:keepLines w:val="0"/>
              <w:pageBreakBefore w:val="0"/>
              <w:widowControl w:val="0"/>
              <w:kinsoku/>
              <w:wordWrap/>
              <w:overflowPunct/>
              <w:topLinePunct w:val="0"/>
              <w:autoSpaceDE/>
              <w:autoSpaceDN/>
              <w:bidi w:val="0"/>
              <w:adjustRightInd/>
              <w:snapToGrid/>
              <w:spacing w:before="0" w:after="0" w:line="500" w:lineRule="exact"/>
              <w:ind w:firstLine="4200" w:firstLineChars="150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 w:eastAsia="zh-CN" w:bidi="ar-SA"/>
              </w:rPr>
              <w:t>年</w:t>
            </w:r>
            <w:r>
              <w:rPr>
                <w:rFonts w:hint="eastAsia" w:ascii="仿宋_GB2312" w:hAnsi="仿宋_GB2312" w:eastAsia="仿宋_GB2312" w:cs="仿宋_GB2312"/>
                <w:b w:val="0"/>
                <w:bCs w:val="0"/>
                <w:color w:val="auto"/>
                <w:kern w:val="2"/>
                <w:sz w:val="28"/>
                <w:szCs w:val="28"/>
                <w:lang w:val="en-US" w:eastAsia="zh-CN" w:bidi="ar-SA"/>
              </w:rPr>
              <w:t xml:space="preserve">  </w:t>
            </w:r>
            <w:r>
              <w:rPr>
                <w:rFonts w:hint="eastAsia" w:ascii="仿宋_GB2312" w:hAnsi="仿宋_GB2312" w:eastAsia="仿宋_GB2312" w:cs="仿宋_GB2312"/>
                <w:b w:val="0"/>
                <w:bCs w:val="0"/>
                <w:color w:val="auto"/>
                <w:kern w:val="2"/>
                <w:sz w:val="28"/>
                <w:szCs w:val="28"/>
                <w:lang w:val="en" w:eastAsia="zh-CN" w:bidi="ar-SA"/>
              </w:rPr>
              <w:t>月</w:t>
            </w:r>
            <w:r>
              <w:rPr>
                <w:rFonts w:hint="eastAsia" w:ascii="仿宋_GB2312" w:hAnsi="仿宋_GB2312" w:eastAsia="仿宋_GB2312" w:cs="仿宋_GB2312"/>
                <w:b w:val="0"/>
                <w:bCs w:val="0"/>
                <w:color w:val="auto"/>
                <w:kern w:val="2"/>
                <w:sz w:val="28"/>
                <w:szCs w:val="28"/>
                <w:lang w:val="en-US" w:eastAsia="zh-CN" w:bidi="ar-SA"/>
              </w:rPr>
              <w:t xml:space="preserve">  </w:t>
            </w:r>
            <w:r>
              <w:rPr>
                <w:rFonts w:hint="eastAsia" w:ascii="仿宋_GB2312" w:hAnsi="仿宋_GB2312" w:eastAsia="仿宋_GB2312" w:cs="仿宋_GB2312"/>
                <w:b w:val="0"/>
                <w:bCs w:val="0"/>
                <w:color w:val="auto"/>
                <w:kern w:val="2"/>
                <w:sz w:val="28"/>
                <w:szCs w:val="28"/>
                <w:lang w:val="en" w:eastAsia="zh-CN" w:bidi="ar-SA"/>
              </w:rPr>
              <w:t>日</w:t>
            </w:r>
          </w:p>
        </w:tc>
      </w:tr>
    </w:tbl>
    <w:p w14:paraId="2A0BF21A">
      <w:pPr>
        <w:tabs>
          <w:tab w:val="left" w:pos="5220"/>
        </w:tabs>
        <w:spacing w:line="300" w:lineRule="exact"/>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kern w:val="2"/>
          <w:sz w:val="24"/>
          <w:szCs w:val="24"/>
          <w:lang w:val="en" w:eastAsia="zh-CN" w:bidi="ar-SA"/>
        </w:rPr>
        <w:t>备注：本表以园区为单位填写，公办园有多个园区的，每个拟开设托班的园区应单独填写本表。本表一式</w:t>
      </w:r>
      <w:r>
        <w:rPr>
          <w:rFonts w:hint="eastAsia" w:cs="仿宋_GB2312"/>
          <w:b w:val="0"/>
          <w:bCs w:val="0"/>
          <w:color w:val="auto"/>
          <w:kern w:val="2"/>
          <w:sz w:val="24"/>
          <w:szCs w:val="24"/>
          <w:lang w:val="en" w:eastAsia="zh-CN" w:bidi="ar-SA"/>
        </w:rPr>
        <w:t>四</w:t>
      </w:r>
      <w:r>
        <w:rPr>
          <w:rFonts w:hint="eastAsia" w:ascii="仿宋_GB2312" w:hAnsi="仿宋_GB2312" w:eastAsia="仿宋_GB2312" w:cs="仿宋_GB2312"/>
          <w:b w:val="0"/>
          <w:bCs w:val="0"/>
          <w:color w:val="auto"/>
          <w:kern w:val="2"/>
          <w:sz w:val="24"/>
          <w:szCs w:val="24"/>
          <w:lang w:val="en" w:eastAsia="zh-CN" w:bidi="ar-SA"/>
        </w:rPr>
        <w:t>份，幼儿园、教育部门、卫生健康部门、证照登记</w:t>
      </w:r>
      <w:r>
        <w:rPr>
          <w:rFonts w:hint="eastAsia" w:cs="仿宋_GB2312"/>
          <w:b w:val="0"/>
          <w:bCs w:val="0"/>
          <w:color w:val="auto"/>
          <w:kern w:val="2"/>
          <w:sz w:val="24"/>
          <w:szCs w:val="24"/>
          <w:lang w:val="en" w:eastAsia="zh-CN" w:bidi="ar-SA"/>
        </w:rPr>
        <w:t>部门</w:t>
      </w:r>
      <w:r>
        <w:rPr>
          <w:rFonts w:hint="eastAsia" w:ascii="仿宋_GB2312" w:hAnsi="仿宋_GB2312" w:eastAsia="仿宋_GB2312" w:cs="仿宋_GB2312"/>
          <w:b w:val="0"/>
          <w:bCs w:val="0"/>
          <w:color w:val="auto"/>
          <w:kern w:val="2"/>
          <w:sz w:val="24"/>
          <w:szCs w:val="24"/>
          <w:lang w:val="en" w:eastAsia="zh-CN" w:bidi="ar-SA"/>
        </w:rPr>
        <w:t>各存一份。</w:t>
      </w:r>
    </w:p>
    <w:p w14:paraId="7C6AE22C">
      <w:pPr>
        <w:tabs>
          <w:tab w:val="left" w:pos="5220"/>
        </w:tabs>
        <w:spacing w:line="300" w:lineRule="exact"/>
        <w:ind w:left="0" w:leftChars="0" w:firstLine="0" w:firstLineChars="0"/>
        <w:rPr>
          <w:rFonts w:hint="eastAsia" w:ascii="仿宋_GB2312" w:hAnsi="宋体" w:eastAsia="仿宋_GB2312" w:cs="仿宋_GB2312"/>
          <w:b w:val="0"/>
          <w:bCs w:val="0"/>
        </w:rPr>
      </w:pPr>
    </w:p>
    <w:p w14:paraId="316F9C1F">
      <w:pPr>
        <w:tabs>
          <w:tab w:val="left" w:pos="5220"/>
        </w:tabs>
        <w:spacing w:line="300" w:lineRule="exact"/>
        <w:ind w:left="0" w:leftChars="0" w:firstLine="0" w:firstLineChars="0"/>
        <w:rPr>
          <w:rFonts w:ascii="仿宋_GB2312" w:hAnsi="宋体" w:eastAsia="仿宋_GB2312"/>
          <w:b w:val="0"/>
          <w:bCs w:val="0"/>
        </w:rPr>
      </w:pPr>
      <w:r>
        <w:rPr>
          <w:rFonts w:hint="eastAsia" w:ascii="仿宋_GB2312" w:hAnsi="宋体" w:eastAsia="仿宋_GB2312" w:cs="仿宋_GB2312"/>
          <w:b w:val="0"/>
          <w:bCs w:val="0"/>
        </w:rPr>
        <w:t>───────────────────────────</w:t>
      </w:r>
    </w:p>
    <w:p w14:paraId="64EF5B03">
      <w:pPr>
        <w:tabs>
          <w:tab w:val="left" w:pos="5220"/>
        </w:tabs>
        <w:spacing w:line="300" w:lineRule="exact"/>
        <w:ind w:firstLine="280" w:firstLineChars="100"/>
        <w:rPr>
          <w:rFonts w:ascii="仿宋_GB2312" w:hAnsi="宋体" w:eastAsia="仿宋_GB2312"/>
          <w:b w:val="0"/>
          <w:bCs w:val="0"/>
          <w:sz w:val="28"/>
          <w:szCs w:val="28"/>
        </w:rPr>
      </w:pPr>
      <w:r>
        <w:rPr>
          <w:rFonts w:hint="eastAsia" w:ascii="仿宋_GB2312" w:hAnsi="宋体" w:eastAsia="仿宋_GB2312" w:cs="仿宋_GB2312"/>
          <w:b w:val="0"/>
          <w:bCs w:val="0"/>
          <w:sz w:val="28"/>
          <w:szCs w:val="28"/>
        </w:rPr>
        <w:t xml:space="preserve">青岛市教育局办公室    </w:t>
      </w:r>
      <w:r>
        <w:rPr>
          <w:rFonts w:hint="default" w:ascii="仿宋_GB2312" w:hAnsi="宋体" w:eastAsia="仿宋_GB2312" w:cs="仿宋_GB2312"/>
          <w:b w:val="0"/>
          <w:bCs w:val="0"/>
          <w:sz w:val="28"/>
          <w:szCs w:val="28"/>
          <w:lang w:val="en-US"/>
        </w:rPr>
        <w:t xml:space="preserve">  </w:t>
      </w:r>
      <w:r>
        <w:rPr>
          <w:rFonts w:hint="eastAsia" w:hAnsi="宋体" w:cs="仿宋_GB2312"/>
          <w:b w:val="0"/>
          <w:bCs w:val="0"/>
          <w:sz w:val="28"/>
          <w:szCs w:val="28"/>
          <w:lang w:val="en-US" w:eastAsia="zh-CN"/>
        </w:rPr>
        <w:t xml:space="preserve">       </w:t>
      </w:r>
      <w:r>
        <w:rPr>
          <w:rFonts w:hint="default" w:ascii="仿宋_GB2312" w:hAnsi="宋体" w:eastAsia="仿宋_GB2312" w:cs="仿宋_GB2312"/>
          <w:b w:val="0"/>
          <w:bCs w:val="0"/>
          <w:sz w:val="28"/>
          <w:szCs w:val="28"/>
          <w:lang w:val="en-US"/>
        </w:rPr>
        <w:t xml:space="preserve">   </w:t>
      </w:r>
      <w:r>
        <w:rPr>
          <w:rFonts w:hint="default" w:ascii="仿宋_GB2312" w:hAnsi="宋体" w:eastAsia="仿宋_GB2312" w:cs="仿宋_GB2312"/>
          <w:b w:val="0"/>
          <w:bCs w:val="0"/>
          <w:sz w:val="28"/>
          <w:szCs w:val="28"/>
          <w:lang w:val="en-US" w:eastAsia="zh-CN"/>
        </w:rPr>
        <w:t xml:space="preserve"> </w:t>
      </w:r>
      <w:r>
        <w:rPr>
          <w:rFonts w:ascii="仿宋_GB2312" w:hAnsi="宋体" w:eastAsia="仿宋_GB2312" w:cs="仿宋_GB2312"/>
          <w:b w:val="0"/>
          <w:bCs w:val="0"/>
          <w:sz w:val="28"/>
          <w:szCs w:val="28"/>
        </w:rPr>
        <w:t xml:space="preserve"> 202</w:t>
      </w:r>
      <w:r>
        <w:rPr>
          <w:rFonts w:hint="eastAsia" w:hAnsi="宋体" w:cs="仿宋_GB2312"/>
          <w:b w:val="0"/>
          <w:bCs w:val="0"/>
          <w:sz w:val="28"/>
          <w:szCs w:val="28"/>
          <w:lang w:val="en-US" w:eastAsia="zh-CN"/>
        </w:rPr>
        <w:t>5</w:t>
      </w:r>
      <w:r>
        <w:rPr>
          <w:rFonts w:hint="eastAsia" w:ascii="仿宋_GB2312" w:hAnsi="宋体" w:eastAsia="仿宋_GB2312" w:cs="仿宋_GB2312"/>
          <w:b w:val="0"/>
          <w:bCs w:val="0"/>
          <w:sz w:val="28"/>
          <w:szCs w:val="28"/>
        </w:rPr>
        <w:t>年</w:t>
      </w:r>
      <w:r>
        <w:rPr>
          <w:rFonts w:hint="eastAsia" w:hAnsi="宋体" w:cs="仿宋_GB2312"/>
          <w:b w:val="0"/>
          <w:bCs w:val="0"/>
          <w:sz w:val="28"/>
          <w:szCs w:val="28"/>
          <w:lang w:val="en-US" w:eastAsia="zh-CN"/>
        </w:rPr>
        <w:t>7</w:t>
      </w:r>
      <w:r>
        <w:rPr>
          <w:rFonts w:hint="eastAsia" w:ascii="仿宋_GB2312" w:hAnsi="宋体" w:eastAsia="仿宋_GB2312" w:cs="仿宋_GB2312"/>
          <w:b w:val="0"/>
          <w:bCs w:val="0"/>
          <w:sz w:val="28"/>
          <w:szCs w:val="28"/>
        </w:rPr>
        <w:t>月</w:t>
      </w:r>
      <w:r>
        <w:rPr>
          <w:rFonts w:hint="default" w:ascii="仿宋_GB2312" w:hAnsi="宋体" w:eastAsia="仿宋_GB2312" w:cs="仿宋_GB2312"/>
          <w:b w:val="0"/>
          <w:bCs w:val="0"/>
          <w:sz w:val="28"/>
          <w:szCs w:val="28"/>
          <w:lang w:val="en-US"/>
        </w:rPr>
        <w:t>2</w:t>
      </w:r>
      <w:r>
        <w:rPr>
          <w:rFonts w:hint="eastAsia" w:hAnsi="宋体" w:cs="仿宋_GB2312"/>
          <w:b w:val="0"/>
          <w:bCs w:val="0"/>
          <w:sz w:val="28"/>
          <w:szCs w:val="28"/>
          <w:lang w:val="en-US" w:eastAsia="zh-CN"/>
        </w:rPr>
        <w:t>3</w:t>
      </w:r>
      <w:bookmarkStart w:id="0" w:name="_GoBack"/>
      <w:bookmarkEnd w:id="0"/>
      <w:r>
        <w:rPr>
          <w:rFonts w:hint="eastAsia" w:ascii="仿宋_GB2312" w:hAnsi="宋体" w:eastAsia="仿宋_GB2312" w:cs="仿宋_GB2312"/>
          <w:b w:val="0"/>
          <w:bCs w:val="0"/>
          <w:sz w:val="28"/>
          <w:szCs w:val="28"/>
        </w:rPr>
        <w:t>日印发</w:t>
      </w:r>
    </w:p>
    <w:p w14:paraId="5F0628B7">
      <w:pPr>
        <w:tabs>
          <w:tab w:val="left" w:pos="5220"/>
        </w:tabs>
        <w:spacing w:line="300" w:lineRule="exact"/>
        <w:ind w:left="0" w:leftChars="0" w:firstLine="0" w:firstLineChars="0"/>
        <w:rPr>
          <w:rFonts w:hint="eastAsia"/>
        </w:rPr>
      </w:pPr>
      <w:r>
        <w:rPr>
          <w:rFonts w:hint="eastAsia" w:ascii="仿宋_GB2312" w:hAnsi="宋体" w:eastAsia="仿宋_GB2312" w:cs="仿宋_GB2312"/>
          <w:b w:val="0"/>
          <w:bCs w:val="0"/>
        </w:rPr>
        <w:t>───────────────────────────</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1952">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6757A">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F6757A">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2ZjNzAzOTQ3ZWRhNDcyZjVlMTFmYzVhOWE4MjIifQ=="/>
  </w:docVars>
  <w:rsids>
    <w:rsidRoot w:val="7773D497"/>
    <w:rsid w:val="0BD709F6"/>
    <w:rsid w:val="17614C51"/>
    <w:rsid w:val="1C7F3375"/>
    <w:rsid w:val="1DEB76A1"/>
    <w:rsid w:val="239E1EFB"/>
    <w:rsid w:val="2D214A86"/>
    <w:rsid w:val="2FDFF477"/>
    <w:rsid w:val="3969094F"/>
    <w:rsid w:val="3BC7519C"/>
    <w:rsid w:val="3BFF6A04"/>
    <w:rsid w:val="3DDF00BB"/>
    <w:rsid w:val="3DEF759D"/>
    <w:rsid w:val="3EFF25A1"/>
    <w:rsid w:val="3F838975"/>
    <w:rsid w:val="3FBF8B16"/>
    <w:rsid w:val="42735D9F"/>
    <w:rsid w:val="43EA8DC3"/>
    <w:rsid w:val="45511F61"/>
    <w:rsid w:val="487E07D3"/>
    <w:rsid w:val="4BFB47D0"/>
    <w:rsid w:val="4F185D8D"/>
    <w:rsid w:val="54FF542A"/>
    <w:rsid w:val="55FA9C36"/>
    <w:rsid w:val="5AFF6E61"/>
    <w:rsid w:val="5BAE2D24"/>
    <w:rsid w:val="5BF652C2"/>
    <w:rsid w:val="5BF9CE1E"/>
    <w:rsid w:val="5CF98E25"/>
    <w:rsid w:val="5E6AC6DA"/>
    <w:rsid w:val="5ED788C5"/>
    <w:rsid w:val="5FF74855"/>
    <w:rsid w:val="5FFF2BDD"/>
    <w:rsid w:val="5FFFF159"/>
    <w:rsid w:val="65B93618"/>
    <w:rsid w:val="65FE256A"/>
    <w:rsid w:val="6A6FBB30"/>
    <w:rsid w:val="6BF9626B"/>
    <w:rsid w:val="6CAC2201"/>
    <w:rsid w:val="6DD7EA45"/>
    <w:rsid w:val="6FFF04E6"/>
    <w:rsid w:val="7773D497"/>
    <w:rsid w:val="779B69D0"/>
    <w:rsid w:val="785C1314"/>
    <w:rsid w:val="792F153B"/>
    <w:rsid w:val="796F99DF"/>
    <w:rsid w:val="79763241"/>
    <w:rsid w:val="7C6C58D3"/>
    <w:rsid w:val="7CFB2240"/>
    <w:rsid w:val="7D7EE7C3"/>
    <w:rsid w:val="7D9784B2"/>
    <w:rsid w:val="7DBDC46D"/>
    <w:rsid w:val="7EDE95B7"/>
    <w:rsid w:val="7EF7FE6C"/>
    <w:rsid w:val="7EFF5D7D"/>
    <w:rsid w:val="7FAF94B1"/>
    <w:rsid w:val="7FB9FB8E"/>
    <w:rsid w:val="7FEF2006"/>
    <w:rsid w:val="7FF9059F"/>
    <w:rsid w:val="9FD67BC3"/>
    <w:rsid w:val="9FDF8138"/>
    <w:rsid w:val="9FFF1BE1"/>
    <w:rsid w:val="A7F7C113"/>
    <w:rsid w:val="B49FD8C7"/>
    <w:rsid w:val="B7BB554C"/>
    <w:rsid w:val="B9BAF6D1"/>
    <w:rsid w:val="BF1A637F"/>
    <w:rsid w:val="CBFF56E3"/>
    <w:rsid w:val="D3F42DFE"/>
    <w:rsid w:val="DBBF93C2"/>
    <w:rsid w:val="DDEDD8FD"/>
    <w:rsid w:val="DF75C389"/>
    <w:rsid w:val="E59FA24B"/>
    <w:rsid w:val="E5F568C4"/>
    <w:rsid w:val="EBDB5352"/>
    <w:rsid w:val="EBFFE36A"/>
    <w:rsid w:val="EF77949B"/>
    <w:rsid w:val="EF9E3F47"/>
    <w:rsid w:val="EFDD3E8B"/>
    <w:rsid w:val="F4BEFE3D"/>
    <w:rsid w:val="F5AAD562"/>
    <w:rsid w:val="F77331ED"/>
    <w:rsid w:val="F7DF3FCA"/>
    <w:rsid w:val="F7F4BEF9"/>
    <w:rsid w:val="F8F7BD1D"/>
    <w:rsid w:val="F98D41DD"/>
    <w:rsid w:val="F9BEDC56"/>
    <w:rsid w:val="F9CE9C63"/>
    <w:rsid w:val="FBED981C"/>
    <w:rsid w:val="FBF765A2"/>
    <w:rsid w:val="FCCD1DA2"/>
    <w:rsid w:val="FD169C88"/>
    <w:rsid w:val="FE6F0FEC"/>
    <w:rsid w:val="FE7B3CFF"/>
    <w:rsid w:val="FEFF5C91"/>
    <w:rsid w:val="FF72FAD1"/>
    <w:rsid w:val="FF7F8C63"/>
    <w:rsid w:val="FF9FC7AC"/>
    <w:rsid w:val="FF9FCFD4"/>
    <w:rsid w:val="FFABB146"/>
    <w:rsid w:val="FFFEC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ascii="黑体" w:hAnsi="黑体" w:eastAsia="黑体"/>
      <w:kern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楷体_GB2312" w:hAnsi="楷体_GB2312" w:eastAsia="楷体_GB2312"/>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spacing w:line="500" w:lineRule="exact"/>
      <w:ind w:firstLine="576" w:firstLineChars="200"/>
      <w:jc w:val="left"/>
      <w:textAlignment w:val="auto"/>
    </w:pPr>
    <w:rPr>
      <w:rFonts w:ascii="仿宋_GB2312" w:eastAsia="仿宋_GB2312"/>
      <w:color w:val="000000"/>
      <w:spacing w:val="-16"/>
      <w:kern w:val="2"/>
      <w:szCs w:val="24"/>
    </w:rPr>
  </w:style>
  <w:style w:type="paragraph" w:styleId="6">
    <w:name w:val="Body Text"/>
    <w:basedOn w:val="1"/>
    <w:next w:val="1"/>
    <w:qFormat/>
    <w:uiPriority w:val="0"/>
    <w:pPr>
      <w:spacing w:before="0" w:after="140" w:line="276" w:lineRule="auto"/>
    </w:pPr>
  </w:style>
  <w:style w:type="paragraph" w:styleId="7">
    <w:name w:val="footer"/>
    <w:basedOn w:val="1"/>
    <w:qFormat/>
    <w:uiPriority w:val="0"/>
    <w:pPr>
      <w:tabs>
        <w:tab w:val="center" w:pos="4153"/>
        <w:tab w:val="right" w:pos="8306"/>
      </w:tabs>
      <w:snapToGrid w:val="0"/>
      <w:ind w:firstLine="0" w:firstLineChars="0"/>
      <w:jc w:val="left"/>
    </w:pPr>
    <w:rPr>
      <w:rFonts w:ascii="SimSun-ExtB" w:hAnsi="SimSun-ExtB" w:eastAsia="SimSun-ExtB"/>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公文标题"/>
    <w:basedOn w:val="1"/>
    <w:next w:val="1"/>
    <w:qFormat/>
    <w:uiPriority w:val="0"/>
    <w:pPr>
      <w:pageBreakBefore w:val="0"/>
      <w:spacing w:line="560" w:lineRule="exact"/>
      <w:ind w:firstLine="0" w:firstLineChars="0"/>
      <w:jc w:val="center"/>
    </w:pPr>
    <w:rPr>
      <w:rFonts w:ascii="方正小标宋_GBK" w:hAnsi="方正小标宋_GBK" w:eastAsia="方正小标宋_GBK" w:cs="方正小标宋_GBK"/>
      <w:sz w:val="44"/>
      <w:szCs w:val="44"/>
    </w:rPr>
  </w:style>
  <w:style w:type="paragraph" w:customStyle="1" w:styleId="13">
    <w:name w:val="公文单位"/>
    <w:basedOn w:val="1"/>
    <w:next w:val="1"/>
    <w:qFormat/>
    <w:uiPriority w:val="0"/>
    <w:pPr>
      <w:spacing w:line="560" w:lineRule="exact"/>
      <w:ind w:firstLine="0" w:firstLineChars="0"/>
      <w:jc w:val="center"/>
    </w:pPr>
    <w:rPr>
      <w:rFonts w:ascii="楷体_GB2312" w:hAnsi="楷体_GB2312" w:eastAsia="楷体_GB2312"/>
      <w:szCs w:val="32"/>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2024-11-14T17:10:00Z</dcterms:created>
  <dc:creator>不知道叫什么</dc:creator>
  <cp:lastModifiedBy>user</cp:lastModifiedBy>
  <cp:lastPrinted>2025-07-11T06:28:00Z</cp:lastPrinted>
  <dcterms:modified xsi:type="dcterms:W3CDTF">2025-07-23T02:50:55Z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E41624F2CB93AD1E9DD865686B682053_43</vt:lpwstr>
  </property>
</Properties>
</file>