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00" w:lineRule="exact"/>
        <w:ind w:firstLine="420"/>
        <w:jc w:val="center"/>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 xml:space="preserve">青岛市海洋发展局 </w:t>
      </w:r>
    </w:p>
    <w:p>
      <w:pPr>
        <w:pStyle w:val="4"/>
        <w:widowControl/>
        <w:spacing w:beforeAutospacing="0" w:afterAutospacing="0" w:line="500" w:lineRule="exact"/>
        <w:ind w:firstLine="420"/>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2022年</w:t>
      </w:r>
      <w:r>
        <w:rPr>
          <w:rFonts w:hint="eastAsia" w:ascii="方正小标宋_GBK" w:hAnsi="方正小标宋_GBK" w:eastAsia="方正小标宋_GBK" w:cs="方正小标宋_GBK"/>
          <w:color w:val="333333"/>
          <w:sz w:val="44"/>
          <w:szCs w:val="44"/>
          <w:lang w:val="en-US" w:eastAsia="zh-CN"/>
        </w:rPr>
        <w:t>6</w:t>
      </w:r>
      <w:r>
        <w:rPr>
          <w:rFonts w:hint="eastAsia" w:ascii="方正小标宋_GBK" w:hAnsi="方正小标宋_GBK" w:eastAsia="方正小标宋_GBK" w:cs="方正小标宋_GBK"/>
          <w:color w:val="333333"/>
          <w:sz w:val="44"/>
          <w:szCs w:val="44"/>
          <w:lang w:eastAsia="zh-CN"/>
        </w:rPr>
        <w:t>月</w:t>
      </w:r>
      <w:r>
        <w:rPr>
          <w:rFonts w:hint="eastAsia" w:ascii="方正小标宋_GBK" w:hAnsi="方正小标宋_GBK" w:eastAsia="方正小标宋_GBK" w:cs="方正小标宋_GBK"/>
          <w:color w:val="333333"/>
          <w:sz w:val="44"/>
          <w:szCs w:val="44"/>
        </w:rPr>
        <w:t>至</w:t>
      </w:r>
      <w:r>
        <w:rPr>
          <w:rFonts w:hint="eastAsia" w:ascii="方正小标宋_GBK" w:hAnsi="方正小标宋_GBK" w:eastAsia="方正小标宋_GBK" w:cs="方正小标宋_GBK"/>
          <w:color w:val="333333"/>
          <w:sz w:val="44"/>
          <w:szCs w:val="44"/>
          <w:lang w:val="en-US" w:eastAsia="zh-CN"/>
        </w:rPr>
        <w:t>7</w:t>
      </w:r>
      <w:r>
        <w:rPr>
          <w:rFonts w:hint="eastAsia" w:ascii="方正小标宋_GBK" w:hAnsi="方正小标宋_GBK" w:eastAsia="方正小标宋_GBK" w:cs="方正小标宋_GBK"/>
          <w:color w:val="333333"/>
          <w:sz w:val="44"/>
          <w:szCs w:val="44"/>
        </w:rPr>
        <w:t>月政府采购意向</w:t>
      </w:r>
    </w:p>
    <w:p>
      <w:pPr>
        <w:pStyle w:val="4"/>
        <w:widowControl/>
        <w:spacing w:beforeAutospacing="0" w:afterAutospacing="0" w:line="560" w:lineRule="exact"/>
        <w:ind w:firstLine="420"/>
        <w:jc w:val="center"/>
        <w:rPr>
          <w:rFonts w:ascii="方正小标宋_GBK" w:hAnsi="方正小标宋_GBK" w:eastAsia="方正小标宋_GBK" w:cs="方正小标宋_GBK"/>
          <w:color w:val="333333"/>
          <w:sz w:val="44"/>
          <w:szCs w:val="44"/>
        </w:rPr>
      </w:pPr>
    </w:p>
    <w:p>
      <w:pPr>
        <w:pStyle w:val="4"/>
        <w:widowControl/>
        <w:spacing w:beforeAutospacing="0" w:afterAutospacing="0" w:line="520" w:lineRule="exact"/>
        <w:ind w:firstLine="420"/>
        <w:rPr>
          <w:rFonts w:ascii="仿宋" w:hAnsi="仿宋" w:eastAsia="仿宋" w:cs="仿宋_GB2312"/>
          <w:color w:val="333333"/>
          <w:sz w:val="32"/>
          <w:szCs w:val="32"/>
        </w:rPr>
      </w:pPr>
      <w:r>
        <w:rPr>
          <w:rFonts w:hint="eastAsia" w:ascii="仿宋" w:hAnsi="仿宋" w:eastAsia="仿宋" w:cs="仿宋_GB2312"/>
          <w:color w:val="333333"/>
          <w:sz w:val="32"/>
          <w:szCs w:val="32"/>
        </w:rPr>
        <w:t>为便于供应商及时了解政府采购信息，根据《财政部关于开展政府采购意向公开工作的通知》（财库〔2020〕10号）等有关规定，现将青岛市海洋发展局</w:t>
      </w:r>
      <w:r>
        <w:rPr>
          <w:rFonts w:hint="eastAsia" w:ascii="仿宋" w:hAnsi="仿宋" w:eastAsia="仿宋" w:cs="方正小标宋_GBK"/>
          <w:color w:val="333333"/>
          <w:sz w:val="32"/>
          <w:szCs w:val="32"/>
        </w:rPr>
        <w:t>2022</w:t>
      </w:r>
      <w:r>
        <w:rPr>
          <w:rFonts w:hint="eastAsia" w:ascii="仿宋" w:hAnsi="仿宋" w:eastAsia="仿宋" w:cs="仿宋_GB2312"/>
          <w:color w:val="333333"/>
          <w:sz w:val="32"/>
          <w:szCs w:val="32"/>
        </w:rPr>
        <w:t>年</w:t>
      </w:r>
      <w:r>
        <w:rPr>
          <w:rFonts w:hint="eastAsia" w:ascii="仿宋" w:hAnsi="仿宋" w:eastAsia="仿宋" w:cs="方正小标宋_GBK"/>
          <w:color w:val="333333"/>
          <w:sz w:val="32"/>
          <w:szCs w:val="32"/>
          <w:lang w:val="en-US" w:eastAsia="zh-CN"/>
        </w:rPr>
        <w:t>6</w:t>
      </w:r>
      <w:r>
        <w:rPr>
          <w:rFonts w:hint="eastAsia" w:ascii="仿宋" w:hAnsi="仿宋" w:eastAsia="仿宋" w:cs="方正小标宋_GBK"/>
          <w:color w:val="333333"/>
          <w:sz w:val="32"/>
          <w:szCs w:val="32"/>
          <w:lang w:eastAsia="zh-CN"/>
        </w:rPr>
        <w:t>月</w:t>
      </w:r>
      <w:r>
        <w:rPr>
          <w:rFonts w:hint="eastAsia" w:ascii="仿宋" w:hAnsi="仿宋" w:eastAsia="仿宋" w:cs="仿宋_GB2312"/>
          <w:color w:val="333333"/>
          <w:sz w:val="32"/>
          <w:szCs w:val="32"/>
        </w:rPr>
        <w:t>至</w:t>
      </w:r>
      <w:r>
        <w:rPr>
          <w:rFonts w:hint="eastAsia" w:ascii="仿宋" w:hAnsi="仿宋" w:eastAsia="仿宋" w:cs="方正小标宋_GBK"/>
          <w:color w:val="333333"/>
          <w:sz w:val="32"/>
          <w:szCs w:val="32"/>
          <w:lang w:val="en-US" w:eastAsia="zh-CN"/>
        </w:rPr>
        <w:t>7</w:t>
      </w:r>
      <w:r>
        <w:rPr>
          <w:rFonts w:hint="eastAsia" w:ascii="仿宋" w:hAnsi="仿宋" w:eastAsia="仿宋" w:cs="仿宋_GB2312"/>
          <w:color w:val="333333"/>
          <w:sz w:val="32"/>
          <w:szCs w:val="32"/>
        </w:rPr>
        <w:t>月采购意向公开如下：</w:t>
      </w:r>
    </w:p>
    <w:tbl>
      <w:tblPr>
        <w:tblStyle w:val="5"/>
        <w:tblW w:w="10307" w:type="dxa"/>
        <w:jc w:val="center"/>
        <w:tblLayout w:type="fixed"/>
        <w:tblCellMar>
          <w:top w:w="0" w:type="dxa"/>
          <w:left w:w="0" w:type="dxa"/>
          <w:bottom w:w="0" w:type="dxa"/>
          <w:right w:w="0" w:type="dxa"/>
        </w:tblCellMar>
      </w:tblPr>
      <w:tblGrid>
        <w:gridCol w:w="488"/>
        <w:gridCol w:w="883"/>
        <w:gridCol w:w="5869"/>
        <w:gridCol w:w="1183"/>
        <w:gridCol w:w="1340"/>
        <w:gridCol w:w="544"/>
      </w:tblGrid>
      <w:tr>
        <w:tblPrEx>
          <w:tblCellMar>
            <w:top w:w="0" w:type="dxa"/>
            <w:left w:w="0" w:type="dxa"/>
            <w:bottom w:w="0" w:type="dxa"/>
            <w:right w:w="0" w:type="dxa"/>
          </w:tblCellMar>
        </w:tblPrEx>
        <w:trPr>
          <w:trHeight w:val="1192" w:hRule="atLeast"/>
          <w:jc w:val="center"/>
        </w:trPr>
        <w:tc>
          <w:tcPr>
            <w:tcW w:w="48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4"/>
              <w:widowControl/>
              <w:spacing w:beforeAutospacing="0" w:afterAutospacing="0" w:line="360" w:lineRule="exact"/>
              <w:rPr>
                <w:rFonts w:ascii="仿宋" w:hAnsi="仿宋" w:eastAsia="仿宋" w:cs="仿宋_GB2312"/>
                <w:color w:val="333333"/>
                <w:sz w:val="28"/>
                <w:szCs w:val="28"/>
              </w:rPr>
            </w:pPr>
            <w:r>
              <w:rPr>
                <w:rFonts w:hint="eastAsia" w:ascii="仿宋" w:hAnsi="仿宋" w:eastAsia="仿宋" w:cs="仿宋_GB2312"/>
                <w:color w:val="333333"/>
                <w:sz w:val="28"/>
                <w:szCs w:val="28"/>
              </w:rPr>
              <w:t>序号</w:t>
            </w:r>
          </w:p>
        </w:tc>
        <w:tc>
          <w:tcPr>
            <w:tcW w:w="883" w:type="dxa"/>
            <w:tcBorders>
              <w:top w:val="single" w:color="auto" w:sz="6" w:space="0"/>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360" w:lineRule="exact"/>
              <w:rPr>
                <w:rFonts w:ascii="仿宋" w:hAnsi="仿宋" w:eastAsia="仿宋" w:cs="仿宋_GB2312"/>
                <w:color w:val="333333"/>
                <w:sz w:val="28"/>
                <w:szCs w:val="28"/>
              </w:rPr>
            </w:pPr>
            <w:r>
              <w:rPr>
                <w:rFonts w:hint="eastAsia" w:ascii="仿宋" w:hAnsi="仿宋" w:eastAsia="仿宋" w:cs="仿宋_GB2312"/>
                <w:color w:val="333333"/>
                <w:sz w:val="28"/>
                <w:szCs w:val="28"/>
              </w:rPr>
              <w:t>采购项目名称</w:t>
            </w:r>
          </w:p>
        </w:tc>
        <w:tc>
          <w:tcPr>
            <w:tcW w:w="5869" w:type="dxa"/>
            <w:tcBorders>
              <w:top w:val="single" w:color="auto" w:sz="6" w:space="0"/>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360" w:lineRule="exact"/>
              <w:jc w:val="center"/>
              <w:rPr>
                <w:rFonts w:ascii="仿宋" w:hAnsi="仿宋" w:eastAsia="仿宋" w:cs="仿宋_GB2312"/>
                <w:color w:val="333333"/>
                <w:sz w:val="28"/>
                <w:szCs w:val="28"/>
              </w:rPr>
            </w:pPr>
            <w:r>
              <w:rPr>
                <w:rFonts w:hint="eastAsia" w:ascii="仿宋" w:hAnsi="仿宋" w:eastAsia="仿宋" w:cs="仿宋_GB2312"/>
                <w:color w:val="333333"/>
                <w:sz w:val="28"/>
                <w:szCs w:val="28"/>
              </w:rPr>
              <w:t>采购需求概况</w:t>
            </w:r>
          </w:p>
        </w:tc>
        <w:tc>
          <w:tcPr>
            <w:tcW w:w="1183" w:type="dxa"/>
            <w:tcBorders>
              <w:top w:val="single" w:color="auto" w:sz="6" w:space="0"/>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360" w:lineRule="exact"/>
              <w:rPr>
                <w:rFonts w:ascii="仿宋" w:hAnsi="仿宋" w:eastAsia="仿宋" w:cs="仿宋_GB2312"/>
                <w:color w:val="333333"/>
                <w:sz w:val="28"/>
                <w:szCs w:val="28"/>
              </w:rPr>
            </w:pPr>
            <w:r>
              <w:rPr>
                <w:rFonts w:hint="eastAsia" w:ascii="仿宋" w:hAnsi="仿宋" w:eastAsia="仿宋" w:cs="仿宋_GB2312"/>
                <w:color w:val="333333"/>
                <w:sz w:val="28"/>
                <w:szCs w:val="28"/>
              </w:rPr>
              <w:t>预算金额（万元）</w:t>
            </w:r>
          </w:p>
        </w:tc>
        <w:tc>
          <w:tcPr>
            <w:tcW w:w="1340" w:type="dxa"/>
            <w:tcBorders>
              <w:top w:val="single" w:color="auto" w:sz="6" w:space="0"/>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360" w:lineRule="exact"/>
              <w:rPr>
                <w:rFonts w:ascii="仿宋" w:hAnsi="仿宋" w:eastAsia="仿宋" w:cs="仿宋_GB2312"/>
                <w:color w:val="333333"/>
                <w:sz w:val="28"/>
                <w:szCs w:val="28"/>
              </w:rPr>
            </w:pPr>
            <w:r>
              <w:rPr>
                <w:rFonts w:hint="eastAsia" w:ascii="仿宋" w:hAnsi="仿宋" w:eastAsia="仿宋" w:cs="仿宋_GB2312"/>
                <w:color w:val="333333"/>
                <w:sz w:val="28"/>
                <w:szCs w:val="28"/>
              </w:rPr>
              <w:t>预计采购时间（填写到月）</w:t>
            </w:r>
          </w:p>
        </w:tc>
        <w:tc>
          <w:tcPr>
            <w:tcW w:w="544" w:type="dxa"/>
            <w:tcBorders>
              <w:top w:val="single" w:color="auto" w:sz="6" w:space="0"/>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360" w:lineRule="exact"/>
              <w:rPr>
                <w:rFonts w:ascii="仿宋" w:hAnsi="仿宋" w:eastAsia="仿宋" w:cs="仿宋_GB2312"/>
                <w:color w:val="333333"/>
                <w:sz w:val="28"/>
                <w:szCs w:val="28"/>
              </w:rPr>
            </w:pPr>
            <w:r>
              <w:rPr>
                <w:rFonts w:hint="eastAsia" w:ascii="仿宋" w:hAnsi="仿宋" w:eastAsia="仿宋" w:cs="仿宋_GB2312"/>
                <w:color w:val="333333"/>
                <w:sz w:val="28"/>
                <w:szCs w:val="28"/>
              </w:rPr>
              <w:t>备注</w:t>
            </w:r>
          </w:p>
        </w:tc>
      </w:tr>
      <w:tr>
        <w:tblPrEx>
          <w:tblCellMar>
            <w:top w:w="0" w:type="dxa"/>
            <w:left w:w="0" w:type="dxa"/>
            <w:bottom w:w="0" w:type="dxa"/>
            <w:right w:w="0" w:type="dxa"/>
          </w:tblCellMar>
        </w:tblPrEx>
        <w:trPr>
          <w:trHeight w:val="1740" w:hRule="atLeast"/>
          <w:jc w:val="center"/>
        </w:trPr>
        <w:tc>
          <w:tcPr>
            <w:tcW w:w="488" w:type="dxa"/>
            <w:tcBorders>
              <w:top w:val="nil"/>
              <w:left w:val="single" w:color="auto" w:sz="6" w:space="0"/>
              <w:bottom w:val="single" w:color="auto" w:sz="6" w:space="0"/>
              <w:right w:val="single" w:color="auto" w:sz="6" w:space="0"/>
            </w:tcBorders>
            <w:tcMar>
              <w:left w:w="105" w:type="dxa"/>
              <w:right w:w="105" w:type="dxa"/>
            </w:tcMar>
            <w:vAlign w:val="center"/>
          </w:tcPr>
          <w:p>
            <w:pPr>
              <w:widowControl/>
              <w:jc w:val="left"/>
              <w:rPr>
                <w:rFonts w:ascii="仿宋" w:hAnsi="仿宋" w:eastAsia="仿宋" w:cs="仿宋_GB2312"/>
                <w:szCs w:val="21"/>
              </w:rPr>
            </w:pPr>
            <w:r>
              <w:rPr>
                <w:rFonts w:hint="eastAsia" w:ascii="仿宋" w:hAnsi="仿宋" w:eastAsia="仿宋" w:cs="仿宋_GB2312"/>
                <w:szCs w:val="21"/>
              </w:rPr>
              <w:t>1</w:t>
            </w:r>
          </w:p>
        </w:tc>
        <w:tc>
          <w:tcPr>
            <w:tcW w:w="883" w:type="dxa"/>
            <w:tcBorders>
              <w:top w:val="nil"/>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420" w:lineRule="atLeast"/>
              <w:rPr>
                <w:rFonts w:ascii="仿宋" w:hAnsi="仿宋" w:eastAsia="仿宋" w:cs="仿宋_GB2312"/>
                <w:color w:val="333333"/>
                <w:sz w:val="21"/>
                <w:szCs w:val="21"/>
              </w:rPr>
            </w:pPr>
            <w:r>
              <w:rPr>
                <w:rFonts w:hint="eastAsia" w:ascii="仿宋" w:hAnsi="仿宋" w:eastAsia="仿宋" w:cs="仿宋_GB2312"/>
                <w:color w:val="333333"/>
                <w:sz w:val="21"/>
                <w:szCs w:val="21"/>
              </w:rPr>
              <w:t>青岛渔业博览会平台矩阵运营维护服务</w:t>
            </w:r>
          </w:p>
        </w:tc>
        <w:tc>
          <w:tcPr>
            <w:tcW w:w="5869" w:type="dxa"/>
            <w:tcBorders>
              <w:top w:val="nil"/>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为加强青岛渔业博览会平台矩阵日常管理和常态化运营工作，对2022年度平台矩阵运维服务项目进行公开采购。服务项目包括向PC端网站、WAP端网站、微信公众号、微信小程序、百家号、百度小程序、抖音小店、度小店在内的平台矩阵提供：云服务器采购、服务器安全软件采购、CDN采购、平台日常安全运维等基础技术运维服务，以及网站栏目调整、专题更新、信息发布、商城店铺运维、搜索引擎优化、平台节点活动策划等平台运维服务。</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具体工作内容包括：</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A</w:t>
            </w:r>
            <w:r>
              <w:rPr>
                <w:rFonts w:ascii="仿宋" w:hAnsi="仿宋" w:eastAsia="仿宋"/>
                <w:sz w:val="21"/>
                <w:szCs w:val="21"/>
              </w:rPr>
              <w:t>-</w:t>
            </w:r>
            <w:r>
              <w:rPr>
                <w:rFonts w:hint="eastAsia" w:ascii="仿宋" w:hAnsi="仿宋" w:eastAsia="仿宋"/>
                <w:sz w:val="21"/>
                <w:szCs w:val="21"/>
              </w:rPr>
              <w:t>平台技术安全运维：</w:t>
            </w:r>
          </w:p>
          <w:p>
            <w:pPr>
              <w:pStyle w:val="4"/>
              <w:widowControl/>
              <w:spacing w:beforeAutospacing="0" w:afterAutospacing="0" w:line="240" w:lineRule="auto"/>
              <w:ind w:firstLine="420" w:firstLineChars="200"/>
              <w:jc w:val="both"/>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云服务器租赁（CPU:</w:t>
            </w:r>
            <w:r>
              <w:rPr>
                <w:rFonts w:ascii="仿宋" w:hAnsi="仿宋" w:eastAsia="仿宋"/>
                <w:sz w:val="21"/>
                <w:szCs w:val="21"/>
              </w:rPr>
              <w:t>8</w:t>
            </w:r>
            <w:r>
              <w:rPr>
                <w:rFonts w:hint="eastAsia" w:ascii="仿宋" w:hAnsi="仿宋" w:eastAsia="仿宋"/>
                <w:sz w:val="21"/>
                <w:szCs w:val="21"/>
              </w:rPr>
              <w:t>核 内存：64G 硬盘：2T 带宽：</w:t>
            </w:r>
            <w:r>
              <w:rPr>
                <w:rFonts w:ascii="仿宋" w:hAnsi="仿宋" w:eastAsia="仿宋"/>
                <w:sz w:val="21"/>
                <w:szCs w:val="21"/>
              </w:rPr>
              <w:t>100</w:t>
            </w:r>
            <w:r>
              <w:rPr>
                <w:rFonts w:hint="eastAsia" w:ascii="仿宋" w:hAnsi="仿宋" w:eastAsia="仿宋"/>
                <w:sz w:val="21"/>
                <w:szCs w:val="21"/>
              </w:rPr>
              <w:t>M）：</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w:t>
            </w:r>
            <w:r>
              <w:rPr>
                <w:rFonts w:hint="eastAsia" w:ascii="仿宋" w:hAnsi="仿宋" w:eastAsia="仿宋"/>
                <w:sz w:val="21"/>
                <w:szCs w:val="21"/>
              </w:rPr>
              <w:t>安全软件采购（包括但不限于主机安全、W</w:t>
            </w:r>
            <w:r>
              <w:rPr>
                <w:rFonts w:ascii="仿宋" w:hAnsi="仿宋" w:eastAsia="仿宋"/>
                <w:sz w:val="21"/>
                <w:szCs w:val="21"/>
              </w:rPr>
              <w:t>EB</w:t>
            </w:r>
            <w:r>
              <w:rPr>
                <w:rFonts w:hint="eastAsia" w:ascii="仿宋" w:hAnsi="仿宋" w:eastAsia="仿宋"/>
                <w:sz w:val="21"/>
                <w:szCs w:val="21"/>
              </w:rPr>
              <w:t>防火墙、D</w:t>
            </w:r>
            <w:r>
              <w:rPr>
                <w:rFonts w:ascii="仿宋" w:hAnsi="仿宋" w:eastAsia="仿宋"/>
                <w:sz w:val="21"/>
                <w:szCs w:val="21"/>
              </w:rPr>
              <w:t>D</w:t>
            </w:r>
            <w:r>
              <w:rPr>
                <w:rFonts w:hint="eastAsia" w:ascii="仿宋" w:hAnsi="仿宋" w:eastAsia="仿宋"/>
                <w:sz w:val="21"/>
                <w:szCs w:val="21"/>
              </w:rPr>
              <w:t>os攻击防护等）</w:t>
            </w:r>
          </w:p>
          <w:p>
            <w:pPr>
              <w:pStyle w:val="4"/>
              <w:widowControl/>
              <w:spacing w:beforeAutospacing="0" w:afterAutospacing="0" w:line="240" w:lineRule="auto"/>
              <w:ind w:firstLine="420" w:firstLineChars="200"/>
              <w:jc w:val="both"/>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C</w:t>
            </w:r>
            <w:r>
              <w:rPr>
                <w:rFonts w:ascii="仿宋" w:hAnsi="仿宋" w:eastAsia="仿宋"/>
                <w:sz w:val="21"/>
                <w:szCs w:val="21"/>
              </w:rPr>
              <w:t>DN</w:t>
            </w:r>
            <w:r>
              <w:rPr>
                <w:rFonts w:hint="eastAsia" w:ascii="仿宋" w:hAnsi="仿宋" w:eastAsia="仿宋"/>
                <w:sz w:val="21"/>
                <w:szCs w:val="21"/>
              </w:rPr>
              <w:t>采购（保证平台在不同地区访问速度控制在2秒及以内）</w:t>
            </w:r>
          </w:p>
          <w:p>
            <w:pPr>
              <w:pStyle w:val="4"/>
              <w:widowControl/>
              <w:spacing w:beforeAutospacing="0" w:afterAutospacing="0" w:line="240" w:lineRule="auto"/>
              <w:ind w:firstLine="420" w:firstLineChars="200"/>
              <w:jc w:val="both"/>
              <w:rPr>
                <w:rFonts w:hint="eastAsia" w:ascii="仿宋" w:hAnsi="仿宋" w:eastAsia="仿宋"/>
                <w:sz w:val="21"/>
                <w:szCs w:val="21"/>
              </w:rPr>
            </w:pPr>
            <w:r>
              <w:rPr>
                <w:rFonts w:hint="eastAsia" w:ascii="仿宋" w:hAnsi="仿宋" w:eastAsia="仿宋"/>
                <w:sz w:val="21"/>
                <w:szCs w:val="21"/>
              </w:rPr>
              <w:t>4</w:t>
            </w:r>
            <w:r>
              <w:rPr>
                <w:rFonts w:ascii="仿宋" w:hAnsi="仿宋" w:eastAsia="仿宋"/>
                <w:sz w:val="21"/>
                <w:szCs w:val="21"/>
              </w:rPr>
              <w:t>.</w:t>
            </w:r>
            <w:r>
              <w:rPr>
                <w:rFonts w:hint="eastAsia" w:ascii="仿宋" w:hAnsi="仿宋" w:eastAsia="仿宋"/>
                <w:sz w:val="21"/>
                <w:szCs w:val="21"/>
              </w:rPr>
              <w:t>日常运维服务（包括但不限于系统bug修复、系统数据备份等）</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B</w:t>
            </w:r>
            <w:r>
              <w:rPr>
                <w:rFonts w:ascii="仿宋" w:hAnsi="仿宋" w:eastAsia="仿宋"/>
                <w:sz w:val="21"/>
                <w:szCs w:val="21"/>
              </w:rPr>
              <w:t>-</w:t>
            </w:r>
            <w:r>
              <w:rPr>
                <w:rFonts w:hint="eastAsia" w:ascii="仿宋" w:hAnsi="仿宋" w:eastAsia="仿宋"/>
                <w:sz w:val="21"/>
                <w:szCs w:val="21"/>
              </w:rPr>
              <w:t>平台内容运维：</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网站栏目运维（基于平台现有内容架构分析，进行栏目运维优化）</w:t>
            </w:r>
          </w:p>
          <w:p>
            <w:pPr>
              <w:pStyle w:val="4"/>
              <w:widowControl/>
              <w:spacing w:beforeAutospacing="0" w:afterAutospacing="0" w:line="240" w:lineRule="auto"/>
              <w:ind w:firstLine="420" w:firstLineChars="200"/>
              <w:jc w:val="both"/>
              <w:rPr>
                <w:rFonts w:hint="eastAsia" w:ascii="仿宋" w:hAnsi="仿宋" w:eastAsia="仿宋"/>
                <w:sz w:val="21"/>
                <w:szCs w:val="21"/>
              </w:rPr>
            </w:pPr>
            <w:r>
              <w:rPr>
                <w:rFonts w:hint="eastAsia" w:ascii="仿宋" w:hAnsi="仿宋" w:eastAsia="仿宋"/>
                <w:sz w:val="21"/>
                <w:szCs w:val="21"/>
              </w:rPr>
              <w:t>2</w:t>
            </w:r>
            <w:r>
              <w:rPr>
                <w:rFonts w:ascii="仿宋" w:hAnsi="仿宋" w:eastAsia="仿宋"/>
                <w:sz w:val="21"/>
                <w:szCs w:val="21"/>
              </w:rPr>
              <w:t>.</w:t>
            </w:r>
            <w:r>
              <w:rPr>
                <w:rFonts w:hint="eastAsia" w:ascii="仿宋" w:hAnsi="仿宋" w:eastAsia="仿宋"/>
                <w:sz w:val="21"/>
                <w:szCs w:val="21"/>
              </w:rPr>
              <w:t>专题内容运维（根据行业节点进行专题版块内容设计与运维）</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w:t>
            </w:r>
            <w:r>
              <w:rPr>
                <w:rFonts w:hint="eastAsia" w:ascii="仿宋" w:hAnsi="仿宋" w:eastAsia="仿宋"/>
                <w:sz w:val="21"/>
                <w:szCs w:val="21"/>
              </w:rPr>
              <w:t>商城运维（商家、产品、订单、接口等信息运维）</w:t>
            </w:r>
          </w:p>
          <w:p>
            <w:pPr>
              <w:pStyle w:val="4"/>
              <w:widowControl/>
              <w:spacing w:beforeAutospacing="0" w:afterAutospacing="0" w:line="240" w:lineRule="auto"/>
              <w:ind w:firstLine="420" w:firstLineChars="200"/>
              <w:jc w:val="both"/>
              <w:rPr>
                <w:rFonts w:hint="eastAsia" w:ascii="仿宋" w:hAnsi="仿宋" w:eastAsia="仿宋"/>
                <w:sz w:val="21"/>
                <w:szCs w:val="21"/>
              </w:rPr>
            </w:pPr>
            <w:r>
              <w:rPr>
                <w:rFonts w:hint="eastAsia" w:ascii="仿宋" w:hAnsi="仿宋" w:eastAsia="仿宋"/>
                <w:sz w:val="21"/>
                <w:szCs w:val="21"/>
              </w:rPr>
              <w:t>4</w:t>
            </w:r>
            <w:r>
              <w:rPr>
                <w:rFonts w:ascii="仿宋" w:hAnsi="仿宋" w:eastAsia="仿宋"/>
                <w:sz w:val="21"/>
                <w:szCs w:val="21"/>
              </w:rPr>
              <w:t>.</w:t>
            </w:r>
            <w:r>
              <w:rPr>
                <w:rFonts w:hint="eastAsia" w:ascii="仿宋" w:hAnsi="仿宋" w:eastAsia="仿宋"/>
                <w:sz w:val="21"/>
                <w:szCs w:val="21"/>
              </w:rPr>
              <w:t>搜索引擎优化运维（全网搜索引擎上进行平台排名优化）</w:t>
            </w:r>
          </w:p>
          <w:p>
            <w:pPr>
              <w:pStyle w:val="4"/>
              <w:widowControl/>
              <w:spacing w:beforeAutospacing="0" w:afterAutospacing="0" w:line="240" w:lineRule="auto"/>
              <w:ind w:firstLine="420" w:firstLineChars="200"/>
              <w:jc w:val="both"/>
              <w:rPr>
                <w:rFonts w:hint="eastAsia" w:ascii="仿宋" w:hAnsi="仿宋" w:eastAsia="仿宋"/>
                <w:sz w:val="21"/>
                <w:szCs w:val="21"/>
              </w:rPr>
            </w:pPr>
            <w:r>
              <w:rPr>
                <w:rFonts w:hint="eastAsia" w:ascii="仿宋" w:hAnsi="仿宋" w:eastAsia="仿宋"/>
                <w:sz w:val="21"/>
                <w:szCs w:val="21"/>
              </w:rPr>
              <w:t>5</w:t>
            </w:r>
            <w:r>
              <w:rPr>
                <w:rFonts w:ascii="仿宋" w:hAnsi="仿宋" w:eastAsia="仿宋"/>
                <w:sz w:val="21"/>
                <w:szCs w:val="21"/>
              </w:rPr>
              <w:t>.</w:t>
            </w:r>
            <w:r>
              <w:rPr>
                <w:rFonts w:hint="eastAsia" w:ascii="仿宋" w:hAnsi="仿宋" w:eastAsia="仿宋"/>
                <w:sz w:val="21"/>
                <w:szCs w:val="21"/>
              </w:rPr>
              <w:t>平台活动运维（行业节点活动发起及活动运维）</w:t>
            </w:r>
          </w:p>
          <w:p>
            <w:pPr>
              <w:pStyle w:val="4"/>
              <w:widowControl/>
              <w:spacing w:beforeAutospacing="0" w:afterAutospacing="0" w:line="240" w:lineRule="auto"/>
              <w:ind w:firstLine="420" w:firstLineChars="200"/>
              <w:jc w:val="both"/>
              <w:rPr>
                <w:rFonts w:ascii="仿宋" w:hAnsi="仿宋" w:eastAsia="仿宋"/>
                <w:sz w:val="21"/>
                <w:szCs w:val="21"/>
              </w:rPr>
            </w:pPr>
            <w:r>
              <w:rPr>
                <w:rFonts w:hint="eastAsia" w:ascii="仿宋" w:hAnsi="仿宋" w:eastAsia="仿宋"/>
                <w:kern w:val="2"/>
                <w:sz w:val="21"/>
                <w:szCs w:val="21"/>
              </w:rPr>
              <w:t>投标人需具有：1.投标人应当是依法设立（注册）的机构，能够独立承担法律责任。2.具备履行投标项目所必需的软硬件设备和网站建设运营专业能力，要求投标人提供具备履行合同所必需的软硬件设备和网站建设运营专业能力的项目案例或证明材料。3.投标人须</w:t>
            </w:r>
            <w:r>
              <w:rPr>
                <w:rFonts w:hint="eastAsia" w:ascii="仿宋" w:hAnsi="仿宋" w:eastAsia="仿宋"/>
                <w:sz w:val="21"/>
                <w:szCs w:val="21"/>
              </w:rPr>
              <w:t>具有不低于30人的专业运营和技术团队。</w:t>
            </w:r>
            <w:r>
              <w:rPr>
                <w:rFonts w:hint="eastAsia" w:ascii="仿宋" w:hAnsi="仿宋" w:eastAsia="仿宋"/>
                <w:kern w:val="2"/>
                <w:sz w:val="21"/>
                <w:szCs w:val="21"/>
              </w:rPr>
              <w:t>4.投标人应当具有良好的社会信誉，近三年在经营活动中没有重大违法记录和重大事故记录。5.在中国政府采购网（www.ccgp.gov.cn）中未被列入政府采购严重违法失信行为记录名单，且在“信用中国”（www.creditchina.gov.cn）中未被列入失信被执行人、重大税收违法案件当事人名单。6.本项目不接受联合体投标。</w:t>
            </w:r>
          </w:p>
        </w:tc>
        <w:tc>
          <w:tcPr>
            <w:tcW w:w="1183" w:type="dxa"/>
            <w:tcBorders>
              <w:top w:val="nil"/>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420" w:lineRule="atLeast"/>
              <w:ind w:firstLine="420" w:firstLineChars="200"/>
              <w:rPr>
                <w:rFonts w:ascii="仿宋" w:hAnsi="仿宋" w:eastAsia="仿宋" w:cs="仿宋_GB2312"/>
                <w:color w:val="333333"/>
                <w:sz w:val="21"/>
                <w:szCs w:val="21"/>
              </w:rPr>
            </w:pPr>
            <w:r>
              <w:rPr>
                <w:rFonts w:hint="eastAsia" w:ascii="仿宋" w:hAnsi="仿宋" w:eastAsia="仿宋" w:cs="仿宋_GB2312"/>
                <w:color w:val="333333"/>
                <w:sz w:val="21"/>
                <w:szCs w:val="21"/>
              </w:rPr>
              <w:t>6</w:t>
            </w:r>
            <w:r>
              <w:rPr>
                <w:rFonts w:ascii="仿宋" w:hAnsi="仿宋" w:eastAsia="仿宋" w:cs="仿宋_GB2312"/>
                <w:color w:val="333333"/>
                <w:sz w:val="21"/>
                <w:szCs w:val="21"/>
              </w:rPr>
              <w:t>0</w:t>
            </w:r>
          </w:p>
        </w:tc>
        <w:tc>
          <w:tcPr>
            <w:tcW w:w="1340" w:type="dxa"/>
            <w:tcBorders>
              <w:top w:val="nil"/>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420" w:lineRule="atLeast"/>
              <w:rPr>
                <w:rFonts w:ascii="仿宋" w:hAnsi="仿宋" w:eastAsia="仿宋" w:cs="仿宋_GB2312"/>
                <w:color w:val="333333"/>
                <w:sz w:val="21"/>
                <w:szCs w:val="21"/>
              </w:rPr>
            </w:pPr>
            <w:r>
              <w:rPr>
                <w:rFonts w:hint="eastAsia" w:ascii="仿宋" w:hAnsi="仿宋" w:eastAsia="仿宋" w:cs="仿宋_GB2312"/>
                <w:color w:val="333333"/>
                <w:sz w:val="21"/>
                <w:szCs w:val="21"/>
              </w:rPr>
              <w:t>2022年</w:t>
            </w:r>
            <w:r>
              <w:rPr>
                <w:rFonts w:hint="eastAsia" w:ascii="仿宋" w:hAnsi="仿宋" w:eastAsia="仿宋" w:cs="仿宋_GB2312"/>
                <w:color w:val="333333"/>
                <w:sz w:val="21"/>
                <w:szCs w:val="21"/>
                <w:lang w:val="en-US" w:eastAsia="zh-CN"/>
              </w:rPr>
              <w:t>7</w:t>
            </w:r>
            <w:r>
              <w:rPr>
                <w:rFonts w:hint="eastAsia" w:ascii="仿宋" w:hAnsi="仿宋" w:eastAsia="仿宋" w:cs="仿宋_GB2312"/>
                <w:color w:val="333333"/>
                <w:sz w:val="21"/>
                <w:szCs w:val="21"/>
              </w:rPr>
              <w:t>月</w:t>
            </w:r>
          </w:p>
        </w:tc>
        <w:tc>
          <w:tcPr>
            <w:tcW w:w="544" w:type="dxa"/>
            <w:tcBorders>
              <w:top w:val="nil"/>
              <w:left w:val="nil"/>
              <w:bottom w:val="single" w:color="auto" w:sz="6" w:space="0"/>
              <w:right w:val="single" w:color="auto" w:sz="6" w:space="0"/>
            </w:tcBorders>
            <w:tcMar>
              <w:left w:w="105" w:type="dxa"/>
              <w:right w:w="105" w:type="dxa"/>
            </w:tcMar>
            <w:vAlign w:val="center"/>
          </w:tcPr>
          <w:p>
            <w:pPr>
              <w:pStyle w:val="4"/>
              <w:widowControl/>
              <w:spacing w:beforeAutospacing="0" w:afterAutospacing="0" w:line="420" w:lineRule="atLeast"/>
              <w:rPr>
                <w:rFonts w:ascii="仿宋" w:hAnsi="仿宋" w:eastAsia="仿宋" w:cs="仿宋_GB2312"/>
                <w:color w:val="333333"/>
                <w:sz w:val="21"/>
                <w:szCs w:val="21"/>
              </w:rPr>
            </w:pPr>
          </w:p>
        </w:tc>
      </w:tr>
    </w:tbl>
    <w:p>
      <w:pPr>
        <w:pStyle w:val="4"/>
        <w:widowControl/>
        <w:spacing w:beforeAutospacing="0" w:afterAutospacing="0" w:line="500" w:lineRule="exact"/>
        <w:ind w:firstLine="420"/>
        <w:rPr>
          <w:rFonts w:ascii="仿宋" w:hAnsi="仿宋" w:eastAsia="仿宋" w:cs="仿宋_GB2312"/>
          <w:color w:val="333333"/>
          <w:sz w:val="32"/>
          <w:szCs w:val="32"/>
        </w:rPr>
      </w:pPr>
      <w:r>
        <w:rPr>
          <w:rFonts w:hint="eastAsia" w:ascii="仿宋" w:hAnsi="仿宋" w:eastAsia="仿宋" w:cs="仿宋_GB2312"/>
          <w:color w:val="333333"/>
          <w:sz w:val="32"/>
          <w:szCs w:val="32"/>
        </w:rPr>
        <w:t>本次公开的采购意向是本单位政府采购工作的初步安排，具体采购项目情况以相关采购公告和采购文件为准。</w:t>
      </w:r>
    </w:p>
    <w:p>
      <w:pPr>
        <w:pStyle w:val="4"/>
        <w:widowControl/>
        <w:spacing w:beforeAutospacing="0" w:afterAutospacing="0" w:line="360" w:lineRule="exact"/>
        <w:jc w:val="both"/>
        <w:rPr>
          <w:rFonts w:ascii="仿宋" w:hAnsi="仿宋" w:eastAsia="仿宋" w:cs="微软雅黑"/>
          <w:color w:val="333333"/>
          <w:sz w:val="27"/>
          <w:szCs w:val="27"/>
        </w:rPr>
      </w:pPr>
    </w:p>
    <w:p>
      <w:pPr>
        <w:pStyle w:val="4"/>
        <w:widowControl/>
        <w:spacing w:beforeAutospacing="0" w:afterAutospacing="0" w:line="360" w:lineRule="exact"/>
        <w:jc w:val="both"/>
        <w:rPr>
          <w:rFonts w:ascii="仿宋" w:hAnsi="仿宋" w:eastAsia="仿宋" w:cs="微软雅黑"/>
          <w:color w:val="333333"/>
          <w:sz w:val="27"/>
          <w:szCs w:val="27"/>
        </w:rPr>
      </w:pPr>
    </w:p>
    <w:p>
      <w:pPr>
        <w:pStyle w:val="4"/>
        <w:widowControl/>
        <w:spacing w:beforeAutospacing="0" w:afterAutospacing="0" w:line="360" w:lineRule="exact"/>
        <w:jc w:val="both"/>
        <w:rPr>
          <w:rFonts w:ascii="仿宋" w:hAnsi="仿宋" w:eastAsia="仿宋" w:cs="微软雅黑"/>
          <w:color w:val="333333"/>
          <w:sz w:val="27"/>
          <w:szCs w:val="27"/>
        </w:rPr>
      </w:pPr>
    </w:p>
    <w:p>
      <w:pPr>
        <w:pStyle w:val="4"/>
        <w:widowControl/>
        <w:spacing w:beforeAutospacing="0" w:afterAutospacing="0" w:line="360" w:lineRule="exact"/>
        <w:ind w:firstLine="5120" w:firstLineChars="1600"/>
        <w:jc w:val="both"/>
        <w:rPr>
          <w:rFonts w:ascii="仿宋" w:hAnsi="仿宋" w:eastAsia="仿宋" w:cs="微软雅黑"/>
          <w:color w:val="333333"/>
          <w:sz w:val="32"/>
          <w:szCs w:val="32"/>
        </w:rPr>
      </w:pPr>
      <w:r>
        <w:rPr>
          <w:rFonts w:hint="eastAsia" w:ascii="仿宋" w:hAnsi="仿宋" w:eastAsia="仿宋" w:cs="微软雅黑"/>
          <w:color w:val="333333"/>
          <w:sz w:val="32"/>
          <w:szCs w:val="32"/>
        </w:rPr>
        <w:t>青岛市海洋发展局</w:t>
      </w:r>
    </w:p>
    <w:p>
      <w:pPr>
        <w:pStyle w:val="4"/>
        <w:widowControl/>
        <w:spacing w:beforeAutospacing="0" w:afterAutospacing="0" w:line="360" w:lineRule="exact"/>
        <w:ind w:firstLine="5280" w:firstLineChars="1650"/>
        <w:jc w:val="both"/>
        <w:rPr>
          <w:rFonts w:ascii="仿宋" w:hAnsi="仿宋" w:eastAsia="仿宋" w:cs="仿宋_GB2312"/>
          <w:color w:val="333333"/>
          <w:sz w:val="28"/>
          <w:szCs w:val="28"/>
        </w:rPr>
      </w:pPr>
      <w:r>
        <w:rPr>
          <w:rFonts w:hint="eastAsia" w:ascii="仿宋" w:hAnsi="仿宋" w:eastAsia="仿宋" w:cs="仿宋_GB2312"/>
          <w:color w:val="333333"/>
          <w:sz w:val="32"/>
          <w:szCs w:val="32"/>
        </w:rPr>
        <w:t>2022年5月</w:t>
      </w:r>
      <w:r>
        <w:rPr>
          <w:rFonts w:hint="eastAsia" w:ascii="仿宋" w:hAnsi="仿宋" w:eastAsia="仿宋" w:cs="仿宋_GB2312"/>
          <w:color w:val="333333"/>
          <w:sz w:val="32"/>
          <w:szCs w:val="32"/>
          <w:lang w:val="en-US" w:eastAsia="zh-CN"/>
        </w:rPr>
        <w:t>26</w:t>
      </w:r>
      <w:bookmarkStart w:id="0" w:name="_GoBack"/>
      <w:bookmarkEnd w:id="0"/>
      <w:r>
        <w:rPr>
          <w:rFonts w:hint="eastAsia" w:ascii="仿宋" w:hAnsi="仿宋" w:eastAsia="仿宋" w:cs="仿宋_GB2312"/>
          <w:color w:val="333333"/>
          <w:sz w:val="32"/>
          <w:szCs w:val="32"/>
        </w:rPr>
        <w:t>日</w:t>
      </w:r>
    </w:p>
    <w:sectPr>
      <w:pgSz w:w="11906" w:h="16838"/>
      <w:pgMar w:top="1247"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jZWI5MjhhNGY0YThkOThmM2ZlYTc4MmFjY2IxODkifQ=="/>
  </w:docVars>
  <w:rsids>
    <w:rsidRoot w:val="004B3422"/>
    <w:rsid w:val="000334B0"/>
    <w:rsid w:val="00065109"/>
    <w:rsid w:val="00107916"/>
    <w:rsid w:val="00110B9A"/>
    <w:rsid w:val="00134CA0"/>
    <w:rsid w:val="00140E7B"/>
    <w:rsid w:val="001E053D"/>
    <w:rsid w:val="001E0D64"/>
    <w:rsid w:val="00215203"/>
    <w:rsid w:val="00246913"/>
    <w:rsid w:val="00293701"/>
    <w:rsid w:val="003F5150"/>
    <w:rsid w:val="0043596B"/>
    <w:rsid w:val="004B3422"/>
    <w:rsid w:val="004C2B22"/>
    <w:rsid w:val="004F3C71"/>
    <w:rsid w:val="00554B6B"/>
    <w:rsid w:val="00556821"/>
    <w:rsid w:val="005A35DC"/>
    <w:rsid w:val="005B28F7"/>
    <w:rsid w:val="005C5602"/>
    <w:rsid w:val="006165F1"/>
    <w:rsid w:val="006239E9"/>
    <w:rsid w:val="00635571"/>
    <w:rsid w:val="006673CD"/>
    <w:rsid w:val="00693D82"/>
    <w:rsid w:val="006A124F"/>
    <w:rsid w:val="006A149F"/>
    <w:rsid w:val="006E0AA7"/>
    <w:rsid w:val="0076770C"/>
    <w:rsid w:val="007E6A60"/>
    <w:rsid w:val="00883AF3"/>
    <w:rsid w:val="00896762"/>
    <w:rsid w:val="008B6371"/>
    <w:rsid w:val="008F3C1A"/>
    <w:rsid w:val="0092274C"/>
    <w:rsid w:val="009762B9"/>
    <w:rsid w:val="0098287B"/>
    <w:rsid w:val="009B4071"/>
    <w:rsid w:val="00A05649"/>
    <w:rsid w:val="00A74F26"/>
    <w:rsid w:val="00A924A6"/>
    <w:rsid w:val="00A9305B"/>
    <w:rsid w:val="00B63294"/>
    <w:rsid w:val="00B82093"/>
    <w:rsid w:val="00B83139"/>
    <w:rsid w:val="00BB0441"/>
    <w:rsid w:val="00C11C03"/>
    <w:rsid w:val="00C41C47"/>
    <w:rsid w:val="00C64E00"/>
    <w:rsid w:val="00CA62D8"/>
    <w:rsid w:val="00D2468A"/>
    <w:rsid w:val="00D47672"/>
    <w:rsid w:val="00D8360D"/>
    <w:rsid w:val="00D97220"/>
    <w:rsid w:val="00E23A4F"/>
    <w:rsid w:val="00E344E6"/>
    <w:rsid w:val="00E5733C"/>
    <w:rsid w:val="00E6145D"/>
    <w:rsid w:val="00EA6836"/>
    <w:rsid w:val="00EC33C7"/>
    <w:rsid w:val="00EC6641"/>
    <w:rsid w:val="00EE22EE"/>
    <w:rsid w:val="00F4542E"/>
    <w:rsid w:val="00F87945"/>
    <w:rsid w:val="02E31EBD"/>
    <w:rsid w:val="0E9C1FBC"/>
    <w:rsid w:val="0F971C64"/>
    <w:rsid w:val="2396577E"/>
    <w:rsid w:val="2ED90D54"/>
    <w:rsid w:val="326C410A"/>
    <w:rsid w:val="36B77B60"/>
    <w:rsid w:val="372F299F"/>
    <w:rsid w:val="38EB6C91"/>
    <w:rsid w:val="42F40608"/>
    <w:rsid w:val="4A68735E"/>
    <w:rsid w:val="4EB22040"/>
    <w:rsid w:val="4EC53776"/>
    <w:rsid w:val="4F7F3E11"/>
    <w:rsid w:val="51521A7E"/>
    <w:rsid w:val="55B45CED"/>
    <w:rsid w:val="5C844A63"/>
    <w:rsid w:val="5DD329EE"/>
    <w:rsid w:val="5E911960"/>
    <w:rsid w:val="5EF92A09"/>
    <w:rsid w:val="65D61591"/>
    <w:rsid w:val="75CFD59C"/>
    <w:rsid w:val="79A87799"/>
    <w:rsid w:val="79B50AEB"/>
    <w:rsid w:val="79E47781"/>
    <w:rsid w:val="7BB4534A"/>
    <w:rsid w:val="7C585FC1"/>
    <w:rsid w:val="7E067954"/>
    <w:rsid w:val="7E60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0"/>
    <w:pPr>
      <w:spacing w:beforeAutospacing="1" w:afterAutospacing="1" w:line="480" w:lineRule="exact"/>
      <w:jc w:val="left"/>
    </w:pPr>
    <w:rPr>
      <w:rFonts w:ascii="Times New Roman" w:hAnsi="Times New Roman" w:eastAsia="仿宋_GB2312"/>
      <w:kern w:val="0"/>
      <w:sz w:val="24"/>
      <w:szCs w:val="20"/>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945</Words>
  <Characters>1044</Characters>
  <Lines>7</Lines>
  <Paragraphs>2</Paragraphs>
  <TotalTime>196</TotalTime>
  <ScaleCrop>false</ScaleCrop>
  <LinksUpToDate>false</LinksUpToDate>
  <CharactersWithSpaces>1048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2022-05-25T11:15:00Z</dcterms:created>
  <dc:creator>Administrator</dc:creator>
  <cp:lastModifiedBy>uos</cp:lastModifiedBy>
  <cp:lastPrinted>2022-04-28T16:30:00Z</cp:lastPrinted>
  <dcterms:modified xsi:type="dcterms:W3CDTF">2022-05-27T14:42:15Z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1210F1FECCA445FEAEB14296D34D1AE0</vt:lpwstr>
  </property>
</Properties>
</file>