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00" w:lineRule="exact"/>
        <w:ind w:firstLine="420"/>
        <w:jc w:val="center"/>
        <w:rPr>
          <w:rFonts w:hint="eastAsia" w:ascii="方正小标宋简体" w:hAnsi="方正小标宋简体" w:eastAsia="方正小标宋简体" w:cs="方正小标宋简体"/>
          <w:color w:val="333333"/>
          <w:sz w:val="44"/>
          <w:szCs w:val="44"/>
        </w:rPr>
      </w:pPr>
      <w:bookmarkStart w:id="0" w:name="_GoBack"/>
      <w:bookmarkEnd w:id="0"/>
      <w:r>
        <w:rPr>
          <w:rFonts w:hint="eastAsia" w:ascii="方正小标宋简体" w:hAnsi="方正小标宋简体" w:eastAsia="方正小标宋简体" w:cs="方正小标宋简体"/>
          <w:color w:val="333333"/>
          <w:sz w:val="44"/>
          <w:szCs w:val="44"/>
        </w:rPr>
        <w:t>青岛市海洋发展局</w:t>
      </w:r>
    </w:p>
    <w:p>
      <w:pPr>
        <w:pStyle w:val="5"/>
        <w:widowControl/>
        <w:spacing w:beforeAutospacing="0" w:afterAutospacing="0" w:line="500" w:lineRule="exact"/>
        <w:ind w:firstLine="42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 xml:space="preserve"> 2022年4</w:t>
      </w:r>
      <w:r>
        <w:rPr>
          <w:rFonts w:hint="eastAsia" w:ascii="方正小标宋简体" w:hAnsi="方正小标宋简体" w:eastAsia="方正小标宋简体" w:cs="方正小标宋简体"/>
          <w:color w:val="333333"/>
          <w:sz w:val="44"/>
          <w:szCs w:val="44"/>
          <w:lang w:val="en-US" w:eastAsia="zh-CN"/>
        </w:rPr>
        <w:t>-</w:t>
      </w:r>
      <w:r>
        <w:rPr>
          <w:rFonts w:hint="eastAsia" w:ascii="方正小标宋简体" w:hAnsi="方正小标宋简体" w:eastAsia="方正小标宋简体" w:cs="方正小标宋简体"/>
          <w:color w:val="333333"/>
          <w:sz w:val="44"/>
          <w:szCs w:val="44"/>
        </w:rPr>
        <w:t>5月政府采购意向</w:t>
      </w:r>
    </w:p>
    <w:p>
      <w:pPr>
        <w:pStyle w:val="5"/>
        <w:widowControl/>
        <w:spacing w:beforeAutospacing="0" w:afterAutospacing="0" w:line="560" w:lineRule="exact"/>
        <w:ind w:firstLine="420"/>
        <w:jc w:val="center"/>
        <w:rPr>
          <w:rFonts w:ascii="方正小标宋_GBK" w:hAnsi="方正小标宋_GBK" w:eastAsia="方正小标宋_GBK" w:cs="方正小标宋_GBK"/>
          <w:color w:val="333333"/>
          <w:sz w:val="44"/>
          <w:szCs w:val="44"/>
        </w:rPr>
      </w:pPr>
    </w:p>
    <w:p>
      <w:pPr>
        <w:pStyle w:val="5"/>
        <w:widowControl/>
        <w:spacing w:beforeAutospacing="0" w:afterAutospacing="0" w:line="520" w:lineRule="exact"/>
        <w:ind w:firstLine="420"/>
        <w:rPr>
          <w:rFonts w:ascii="仿宋" w:hAnsi="仿宋" w:eastAsia="仿宋" w:cs="仿宋_GB2312"/>
          <w:color w:val="333333"/>
          <w:sz w:val="32"/>
          <w:szCs w:val="32"/>
        </w:rPr>
      </w:pPr>
      <w:r>
        <w:rPr>
          <w:rFonts w:hint="eastAsia" w:ascii="仿宋" w:hAnsi="仿宋" w:eastAsia="仿宋" w:cs="仿宋_GB2312"/>
          <w:color w:val="333333"/>
          <w:sz w:val="32"/>
          <w:szCs w:val="32"/>
        </w:rPr>
        <w:t>为便于供应商及时了解政府采购信息，根据《财政部关于开展政府采购意向公开工作的通知》（财库〔2020〕10号）等有关规定，现将青岛市海洋发展局</w:t>
      </w:r>
      <w:r>
        <w:rPr>
          <w:rFonts w:hint="eastAsia" w:ascii="仿宋" w:hAnsi="仿宋" w:eastAsia="仿宋" w:cs="方正小标宋_GBK"/>
          <w:color w:val="333333"/>
          <w:sz w:val="32"/>
          <w:szCs w:val="32"/>
        </w:rPr>
        <w:t>2022</w:t>
      </w:r>
      <w:r>
        <w:rPr>
          <w:rFonts w:hint="eastAsia" w:ascii="仿宋" w:hAnsi="仿宋" w:eastAsia="仿宋" w:cs="仿宋_GB2312"/>
          <w:color w:val="333333"/>
          <w:sz w:val="32"/>
          <w:szCs w:val="32"/>
        </w:rPr>
        <w:t>年</w:t>
      </w:r>
      <w:r>
        <w:rPr>
          <w:rFonts w:ascii="仿宋" w:hAnsi="仿宋" w:eastAsia="仿宋" w:cs="方正小标宋_GBK"/>
          <w:color w:val="333333"/>
          <w:sz w:val="32"/>
          <w:szCs w:val="32"/>
        </w:rPr>
        <w:t>4</w:t>
      </w:r>
      <w:r>
        <w:rPr>
          <w:rFonts w:hint="eastAsia" w:ascii="仿宋" w:hAnsi="仿宋" w:eastAsia="仿宋" w:cs="仿宋_GB2312"/>
          <w:color w:val="333333"/>
          <w:sz w:val="32"/>
          <w:szCs w:val="32"/>
          <w:lang w:val="en-US" w:eastAsia="zh-CN"/>
        </w:rPr>
        <w:t>-</w:t>
      </w:r>
      <w:r>
        <w:rPr>
          <w:rFonts w:ascii="仿宋" w:hAnsi="仿宋" w:eastAsia="仿宋" w:cs="方正小标宋_GBK"/>
          <w:color w:val="333333"/>
          <w:sz w:val="32"/>
          <w:szCs w:val="32"/>
        </w:rPr>
        <w:t>5</w:t>
      </w:r>
      <w:r>
        <w:rPr>
          <w:rFonts w:hint="eastAsia" w:ascii="仿宋" w:hAnsi="仿宋" w:eastAsia="仿宋" w:cs="仿宋_GB2312"/>
          <w:color w:val="333333"/>
          <w:sz w:val="32"/>
          <w:szCs w:val="32"/>
        </w:rPr>
        <w:t>月采购意向公开如下：</w:t>
      </w:r>
    </w:p>
    <w:tbl>
      <w:tblPr>
        <w:tblStyle w:val="6"/>
        <w:tblW w:w="10196" w:type="dxa"/>
        <w:jc w:val="center"/>
        <w:tblLayout w:type="fixed"/>
        <w:tblCellMar>
          <w:top w:w="0" w:type="dxa"/>
          <w:left w:w="0" w:type="dxa"/>
          <w:bottom w:w="0" w:type="dxa"/>
          <w:right w:w="0" w:type="dxa"/>
        </w:tblCellMar>
      </w:tblPr>
      <w:tblGrid>
        <w:gridCol w:w="488"/>
        <w:gridCol w:w="883"/>
        <w:gridCol w:w="5670"/>
        <w:gridCol w:w="1102"/>
        <w:gridCol w:w="1449"/>
        <w:gridCol w:w="604"/>
      </w:tblGrid>
      <w:tr>
        <w:tblPrEx>
          <w:tblCellMar>
            <w:top w:w="0" w:type="dxa"/>
            <w:left w:w="0" w:type="dxa"/>
            <w:bottom w:w="0" w:type="dxa"/>
            <w:right w:w="0" w:type="dxa"/>
          </w:tblCellMar>
        </w:tblPrEx>
        <w:trPr>
          <w:trHeight w:val="795"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序号</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采购项目名称</w:t>
            </w:r>
          </w:p>
        </w:tc>
        <w:tc>
          <w:tcPr>
            <w:tcW w:w="5670" w:type="dxa"/>
            <w:tcBorders>
              <w:top w:val="single" w:color="auto" w:sz="6" w:space="0"/>
              <w:left w:val="nil"/>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jc w:val="center"/>
              <w:rPr>
                <w:rFonts w:ascii="仿宋" w:hAnsi="仿宋" w:eastAsia="仿宋" w:cs="仿宋_GB2312"/>
                <w:color w:val="333333"/>
                <w:sz w:val="28"/>
                <w:szCs w:val="28"/>
              </w:rPr>
            </w:pPr>
            <w:r>
              <w:rPr>
                <w:rFonts w:hint="eastAsia" w:ascii="仿宋" w:hAnsi="仿宋" w:eastAsia="仿宋" w:cs="仿宋_GB2312"/>
                <w:color w:val="333333"/>
                <w:sz w:val="28"/>
                <w:szCs w:val="28"/>
              </w:rPr>
              <w:t>采购需求概况</w:t>
            </w:r>
          </w:p>
        </w:tc>
        <w:tc>
          <w:tcPr>
            <w:tcW w:w="1102" w:type="dxa"/>
            <w:tcBorders>
              <w:top w:val="single" w:color="auto" w:sz="6" w:space="0"/>
              <w:left w:val="nil"/>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预算金额（万元）</w:t>
            </w:r>
          </w:p>
        </w:tc>
        <w:tc>
          <w:tcPr>
            <w:tcW w:w="1449" w:type="dxa"/>
            <w:tcBorders>
              <w:top w:val="single" w:color="auto" w:sz="6" w:space="0"/>
              <w:left w:val="nil"/>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预计采购时间（填写到月）</w:t>
            </w:r>
          </w:p>
        </w:tc>
        <w:tc>
          <w:tcPr>
            <w:tcW w:w="604" w:type="dxa"/>
            <w:tcBorders>
              <w:top w:val="single" w:color="auto" w:sz="6" w:space="0"/>
              <w:left w:val="nil"/>
              <w:bottom w:val="single" w:color="auto" w:sz="6" w:space="0"/>
              <w:right w:val="single" w:color="auto" w:sz="6" w:space="0"/>
            </w:tcBorders>
            <w:tcMar>
              <w:left w:w="105" w:type="dxa"/>
              <w:right w:w="105" w:type="dxa"/>
            </w:tcMar>
            <w:vAlign w:val="center"/>
          </w:tcPr>
          <w:p>
            <w:pPr>
              <w:pStyle w:val="5"/>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备注</w:t>
            </w:r>
          </w:p>
        </w:tc>
      </w:tr>
      <w:tr>
        <w:tblPrEx>
          <w:tblCellMar>
            <w:top w:w="0" w:type="dxa"/>
            <w:left w:w="0" w:type="dxa"/>
            <w:bottom w:w="0" w:type="dxa"/>
            <w:right w:w="0" w:type="dxa"/>
          </w:tblCellMar>
        </w:tblPrEx>
        <w:trPr>
          <w:trHeight w:val="1740"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widowControl/>
              <w:jc w:val="left"/>
              <w:rPr>
                <w:rFonts w:ascii="仿宋" w:hAnsi="仿宋" w:eastAsia="仿宋" w:cs="仿宋_GB2312"/>
                <w:szCs w:val="21"/>
              </w:rPr>
            </w:pPr>
            <w:r>
              <w:rPr>
                <w:rFonts w:hint="eastAsia" w:ascii="仿宋" w:hAnsi="仿宋" w:eastAsia="仿宋" w:cs="仿宋_GB2312"/>
                <w:szCs w:val="21"/>
              </w:rPr>
              <w:t>1</w:t>
            </w:r>
          </w:p>
        </w:tc>
        <w:tc>
          <w:tcPr>
            <w:tcW w:w="883"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5"/>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2022年青岛海洋灾害预警预报</w:t>
            </w:r>
          </w:p>
        </w:tc>
        <w:tc>
          <w:tcPr>
            <w:tcW w:w="56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spacing w:line="300" w:lineRule="exact"/>
              <w:ind w:firstLine="210" w:firstLineChars="100"/>
              <w:rPr>
                <w:rFonts w:hint="eastAsia" w:ascii="仿宋" w:hAnsi="仿宋" w:eastAsia="仿宋"/>
                <w:szCs w:val="21"/>
                <w:lang w:eastAsia="zh-CN"/>
              </w:rPr>
            </w:pPr>
            <w:r>
              <w:rPr>
                <w:rFonts w:hint="eastAsia" w:ascii="仿宋" w:hAnsi="仿宋" w:eastAsia="仿宋" w:cs="仿宋_GB2312"/>
                <w:color w:val="333333"/>
                <w:kern w:val="0"/>
                <w:sz w:val="21"/>
                <w:szCs w:val="21"/>
                <w:lang w:val="en-US" w:eastAsia="zh-CN" w:bidi="ar-SA"/>
              </w:rPr>
              <w:t>对青岛近岸海域及临近海域的绿潮（浒苔）分布实况、漂移方向和运动轨迹等方面进行应急监测、预警，及时预测绿潮进入青岛所辖海区的预计时间，在绿藻（浒苔）爆发期间，每日提供以下服务：1.青岛所辖海域海洋水文、气象环境24、48和72小时预报；2.根据卫星、船舶、海洋站的监测结果，制作提供绿潮分布实况图；3.对绿潮的漂移方向和轨迹进行数值模拟预测，提供应急绿潮漂移预测简报；4.通过短信平台向青岛市海洋发展局指定人员提供预报信息；5.开展陆岸巡视工作，对青岛西至团岛，东至石老人的近岸海域和滩涂进行陆岸巡视，提供《青岛市绿潮岸边巡视情况报告》。6.安排专家参加青岛市海洋发展局会商工作</w:t>
            </w:r>
            <w:r>
              <w:rPr>
                <w:rFonts w:hint="eastAsia" w:ascii="仿宋" w:hAnsi="仿宋" w:eastAsia="仿宋"/>
                <w:szCs w:val="21"/>
                <w:lang w:eastAsia="zh-CN"/>
              </w:rPr>
              <w:t>。</w:t>
            </w:r>
          </w:p>
        </w:tc>
        <w:tc>
          <w:tcPr>
            <w:tcW w:w="1102"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5"/>
              <w:widowControl/>
              <w:spacing w:beforeAutospacing="0" w:afterAutospacing="0" w:line="420" w:lineRule="atLeast"/>
              <w:rPr>
                <w:rFonts w:ascii="仿宋" w:hAnsi="仿宋" w:eastAsia="仿宋" w:cs="仿宋_GB2312"/>
                <w:color w:val="333333"/>
                <w:sz w:val="21"/>
                <w:szCs w:val="21"/>
              </w:rPr>
            </w:pPr>
            <w:r>
              <w:rPr>
                <w:rFonts w:ascii="仿宋" w:hAnsi="仿宋" w:eastAsia="仿宋" w:cs="仿宋_GB2312"/>
                <w:color w:val="333333"/>
                <w:sz w:val="21"/>
                <w:szCs w:val="21"/>
              </w:rPr>
              <w:t>200</w:t>
            </w:r>
          </w:p>
        </w:tc>
        <w:tc>
          <w:tcPr>
            <w:tcW w:w="1449"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5"/>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2022.</w:t>
            </w:r>
            <w:r>
              <w:rPr>
                <w:rFonts w:ascii="仿宋" w:hAnsi="仿宋" w:eastAsia="仿宋" w:cs="仿宋_GB2312"/>
                <w:color w:val="333333"/>
                <w:sz w:val="21"/>
                <w:szCs w:val="21"/>
              </w:rPr>
              <w:t>5</w:t>
            </w:r>
          </w:p>
        </w:tc>
        <w:tc>
          <w:tcPr>
            <w:tcW w:w="60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5"/>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合同续签</w:t>
            </w:r>
          </w:p>
        </w:tc>
      </w:tr>
      <w:tr>
        <w:tblPrEx>
          <w:tblCellMar>
            <w:top w:w="0" w:type="dxa"/>
            <w:left w:w="0" w:type="dxa"/>
            <w:bottom w:w="0" w:type="dxa"/>
            <w:right w:w="0" w:type="dxa"/>
          </w:tblCellMar>
        </w:tblPrEx>
        <w:trPr>
          <w:trHeight w:val="930"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spacing w:line="300" w:lineRule="exact"/>
              <w:ind w:firstLine="210" w:firstLineChars="100"/>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2.</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青岛市海域动态监视监控点位设备看护</w:t>
            </w:r>
          </w:p>
        </w:tc>
        <w:tc>
          <w:tcPr>
            <w:tcW w:w="5670"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1.负责全市沿海及海岛上66个监视监控设备及其附属设施安全完整，承担无故遭遇损毁或被盗的设备经济赔偿责任。2.对不能满足海域动态监控需求的设备进行实施迁建，迁建点位监视监控覆盖范围和效果要优于或不低于原点位并承担迁建费用。3.负责与现建点位所在看护单位的对接协调，与原看护单位合作协议的转签、对接以及与原看护单位因看护点位设备产生的费用结算等相关工作，并全权处置由此产生的一切纠纷，承担由此产生的一切经济费用4.负责保障甲方应急保障工作体系，在遇到突发事件或自然灾害时，具备应急保障监视监控设备正常运行的能力。5.负责不间断充分保证监视监控设备用电需求，且承担设备的用电费用；确保网络传输畅通，能为相关网络运营商提供快捷铺设或检测便利。6.负责为青岛市海域动态监视监控点位设备运行提供场地，满足镜头、主机、设备箱等全套设备运行场地需求，且承担场地费用。7.协助甲方设备维护保养技术人员随时对监视监控设备进行检修，并能给予必要的安全指导。8.根据监视监控设备的所在位置及功能要求，做好基础性保障工作，发现隐患，及时处置，同时向甲方反馈故障原因和处置情况，并在约定时间提交故障处置报告。9.根据甲方要求，对各个点位进行巡检，包括设备及附属设施完好状况、所在环境状况及安全情况等。</w:t>
            </w:r>
          </w:p>
        </w:tc>
        <w:tc>
          <w:tcPr>
            <w:tcW w:w="1102"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128</w:t>
            </w:r>
          </w:p>
        </w:tc>
        <w:tc>
          <w:tcPr>
            <w:tcW w:w="1449"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2022.5</w:t>
            </w:r>
          </w:p>
        </w:tc>
        <w:tc>
          <w:tcPr>
            <w:tcW w:w="604"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sz w:val="21"/>
                <w:szCs w:val="21"/>
              </w:rPr>
              <w:t>合同续签</w:t>
            </w:r>
          </w:p>
        </w:tc>
      </w:tr>
      <w:tr>
        <w:tblPrEx>
          <w:tblCellMar>
            <w:top w:w="0" w:type="dxa"/>
            <w:left w:w="0" w:type="dxa"/>
            <w:bottom w:w="0" w:type="dxa"/>
            <w:right w:w="0" w:type="dxa"/>
          </w:tblCellMar>
        </w:tblPrEx>
        <w:trPr>
          <w:trHeight w:val="930"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spacing w:line="300" w:lineRule="exact"/>
              <w:ind w:firstLine="210" w:firstLineChars="100"/>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3.</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2022年海平面变化影响调查评估信息更新和实地调查项目</w:t>
            </w:r>
          </w:p>
        </w:tc>
        <w:tc>
          <w:tcPr>
            <w:tcW w:w="5670"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采购内容：2022年青岛市海平面变化影响调查评估信息更新工作及实地调查工作。信息更新包括堤防、海洋工程、海岸侵蚀、海水入侵与土壤盐渍化、咸潮入侵、生态状况和灾害情况等；实地调查包括海岸侵蚀、重点岸段堤防和围填海状况的重点调查及浴场沙滩的典型事件跟踪调查。</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技术指标要求：信息采集按调查区进行，包括基础信息采集、专业文献资料搜集、海洋专项成果引用、现场补充调查等，重点关注2022年发生变化信息，根据信息采集结果，填报更新各项信息采集表。</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海岸侵蚀调查包括海岸侵蚀灾害监测和灾害损失调查评估，海岸侵蚀灾害监测包括全岸段概查及两处重点侵蚀岸段岸线蚀退及滩面下蚀调查；灾害损失调查评估包括重点监测岸段侵蚀强度等级评价和全部岸段的海岸侵蚀灾害损失评估。</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重点堤防调查对市内两处海堤的位置、长度、高程、防护范围和损毁情况进行调查。</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围填海状况调查对市区内三处已完成围填海项目的岸线变化、内部高程状况等进行调查。</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浴场沙滩典型事件跟踪调查对市区主要浴场沙滩的长度、宽度、面积、高程分布、坡度以及外缘堤防或公路设施情况进行调查。</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成果提交形式：以书面和光盘两种形式向甲方提交《2022年青岛市海平面变化影响调查报告》和实地调查报表、信息采集报表（包括数据、报表、图片、照片、多媒体等）,以及《2022年青岛市海平面变化影响调查评估工作报告》。</w:t>
            </w:r>
          </w:p>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验收方式：采用专家评审的方式进行验收。项目组按照相关调查技术规程，统计汇总调查资料，进行综合分析评价，按要求形成技术报告，并须经专家及有关人员评审。项目组还应按自然资源部要求填写海平面变化影响调查评估工作验收情况表，负责向自然资源部汇交成果，在自然资源部组织的成果汇交验收会上向国家海洋信息中心作出工作情况说明。</w:t>
            </w:r>
          </w:p>
        </w:tc>
        <w:tc>
          <w:tcPr>
            <w:tcW w:w="1102"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59.65</w:t>
            </w:r>
          </w:p>
        </w:tc>
        <w:tc>
          <w:tcPr>
            <w:tcW w:w="1449"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2022.5</w:t>
            </w:r>
          </w:p>
        </w:tc>
        <w:tc>
          <w:tcPr>
            <w:tcW w:w="604"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sz w:val="21"/>
                <w:szCs w:val="21"/>
                <w:lang w:eastAsia="zh-CN"/>
              </w:rPr>
            </w:pPr>
            <w:r>
              <w:rPr>
                <w:rFonts w:hint="eastAsia" w:ascii="仿宋" w:hAnsi="仿宋" w:eastAsia="仿宋" w:cs="仿宋_GB2312"/>
                <w:color w:val="333333"/>
                <w:sz w:val="21"/>
                <w:szCs w:val="21"/>
              </w:rPr>
              <w:t>合同</w:t>
            </w:r>
            <w:r>
              <w:rPr>
                <w:rFonts w:hint="eastAsia" w:ascii="仿宋" w:hAnsi="仿宋" w:eastAsia="仿宋" w:cs="仿宋_GB2312"/>
                <w:color w:val="333333"/>
                <w:sz w:val="21"/>
                <w:szCs w:val="21"/>
                <w:lang w:eastAsia="zh-CN"/>
              </w:rPr>
              <w:t>续签</w:t>
            </w:r>
          </w:p>
        </w:tc>
      </w:tr>
      <w:tr>
        <w:tblPrEx>
          <w:tblCellMar>
            <w:top w:w="0" w:type="dxa"/>
            <w:left w:w="0" w:type="dxa"/>
            <w:bottom w:w="0" w:type="dxa"/>
            <w:right w:w="0" w:type="dxa"/>
          </w:tblCellMar>
        </w:tblPrEx>
        <w:trPr>
          <w:trHeight w:val="930"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spacing w:line="300" w:lineRule="exact"/>
              <w:ind w:firstLine="210" w:firstLineChars="100"/>
              <w:rPr>
                <w:rFonts w:hint="default"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4.</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sz w:val="21"/>
                <w:szCs w:val="21"/>
              </w:rPr>
              <w:t>2022年青岛市海洋观测预警报业务运行及服务</w:t>
            </w:r>
          </w:p>
        </w:tc>
        <w:tc>
          <w:tcPr>
            <w:tcW w:w="5670"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ind w:firstLine="210" w:firstLineChars="100"/>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kern w:val="0"/>
                <w:sz w:val="21"/>
                <w:szCs w:val="21"/>
                <w:lang w:val="en-US" w:eastAsia="zh-CN" w:bidi="ar-SA"/>
              </w:rPr>
              <w:t>开展青岛市海洋观测预警报业务中的海洋观测点、预警报制作及发布系统、海洋预警报综合数据库、海洋防灾减灾平台等软硬件系统运行、维护，全面提升青岛市海洋预警报能力，获取实时海洋观测资料，及时制作和发布海洋环境预报信息和海洋灾害预警信息，并为青岛市海洋防灾减灾工作提供科学依据。</w:t>
            </w:r>
          </w:p>
        </w:tc>
        <w:tc>
          <w:tcPr>
            <w:tcW w:w="1102"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ascii="仿宋" w:hAnsi="仿宋" w:eastAsia="仿宋" w:cs="仿宋_GB2312"/>
                <w:color w:val="333333"/>
                <w:sz w:val="21"/>
                <w:szCs w:val="21"/>
              </w:rPr>
              <w:t>126.3</w:t>
            </w:r>
          </w:p>
        </w:tc>
        <w:tc>
          <w:tcPr>
            <w:tcW w:w="1449"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kern w:val="0"/>
                <w:sz w:val="21"/>
                <w:szCs w:val="21"/>
                <w:lang w:val="en-US" w:eastAsia="zh-CN" w:bidi="ar-SA"/>
              </w:rPr>
            </w:pPr>
            <w:r>
              <w:rPr>
                <w:rFonts w:hint="eastAsia" w:ascii="仿宋" w:hAnsi="仿宋" w:eastAsia="仿宋" w:cs="仿宋_GB2312"/>
                <w:color w:val="333333"/>
                <w:sz w:val="21"/>
                <w:szCs w:val="21"/>
              </w:rPr>
              <w:t>2022.</w:t>
            </w:r>
            <w:r>
              <w:rPr>
                <w:rFonts w:ascii="仿宋" w:hAnsi="仿宋" w:eastAsia="仿宋" w:cs="仿宋_GB2312"/>
                <w:color w:val="333333"/>
                <w:sz w:val="21"/>
                <w:szCs w:val="21"/>
              </w:rPr>
              <w:t>6</w:t>
            </w:r>
          </w:p>
        </w:tc>
        <w:tc>
          <w:tcPr>
            <w:tcW w:w="604" w:type="dxa"/>
            <w:tcBorders>
              <w:top w:val="single" w:color="auto" w:sz="6" w:space="0"/>
              <w:left w:val="nil"/>
              <w:bottom w:val="single" w:color="auto" w:sz="6" w:space="0"/>
              <w:right w:val="single" w:color="auto" w:sz="6" w:space="0"/>
            </w:tcBorders>
            <w:tcMar>
              <w:left w:w="105" w:type="dxa"/>
              <w:right w:w="105" w:type="dxa"/>
            </w:tcMar>
            <w:vAlign w:val="center"/>
          </w:tcPr>
          <w:p>
            <w:pPr>
              <w:spacing w:line="300" w:lineRule="exact"/>
              <w:rPr>
                <w:rFonts w:hint="eastAsia" w:ascii="仿宋" w:hAnsi="仿宋" w:eastAsia="仿宋" w:cs="仿宋_GB2312"/>
                <w:color w:val="333333"/>
                <w:sz w:val="21"/>
                <w:szCs w:val="21"/>
                <w:lang w:eastAsia="zh-CN"/>
              </w:rPr>
            </w:pPr>
            <w:r>
              <w:rPr>
                <w:rFonts w:hint="eastAsia" w:ascii="仿宋" w:hAnsi="仿宋" w:eastAsia="仿宋" w:cs="仿宋_GB2312"/>
                <w:color w:val="333333"/>
                <w:sz w:val="21"/>
                <w:szCs w:val="21"/>
                <w:lang w:eastAsia="zh-CN"/>
              </w:rPr>
              <w:t>合同续签</w:t>
            </w:r>
          </w:p>
        </w:tc>
      </w:tr>
    </w:tbl>
    <w:p>
      <w:pPr>
        <w:spacing w:line="300" w:lineRule="exact"/>
        <w:ind w:firstLine="320" w:firstLineChars="100"/>
        <w:rPr>
          <w:rFonts w:hint="eastAsia" w:ascii="仿宋" w:hAnsi="仿宋" w:eastAsia="仿宋" w:cs="仿宋_GB2312"/>
          <w:color w:val="333333"/>
          <w:sz w:val="32"/>
          <w:szCs w:val="32"/>
          <w:lang w:val="en-US" w:eastAsia="zh-CN"/>
        </w:rPr>
      </w:pPr>
    </w:p>
    <w:p>
      <w:pPr>
        <w:spacing w:line="300" w:lineRule="exact"/>
        <w:ind w:firstLine="320" w:firstLineChars="100"/>
        <w:rPr>
          <w:rFonts w:ascii="仿宋" w:hAnsi="仿宋" w:eastAsia="仿宋" w:cs="仿宋_GB2312"/>
          <w:color w:val="333333"/>
          <w:sz w:val="32"/>
          <w:szCs w:val="32"/>
        </w:rPr>
      </w:pPr>
      <w:r>
        <w:rPr>
          <w:rFonts w:hint="eastAsia" w:ascii="仿宋" w:hAnsi="仿宋" w:eastAsia="仿宋" w:cs="仿宋_GB2312"/>
          <w:color w:val="333333"/>
          <w:sz w:val="32"/>
          <w:szCs w:val="32"/>
          <w:lang w:val="en-US" w:eastAsia="zh-CN"/>
        </w:rPr>
        <w:t>本次公开的采购意向是本单位政府</w:t>
      </w:r>
      <w:r>
        <w:rPr>
          <w:rFonts w:hint="eastAsia" w:ascii="仿宋" w:hAnsi="仿宋" w:eastAsia="仿宋" w:cs="仿宋_GB2312"/>
          <w:color w:val="333333"/>
          <w:sz w:val="32"/>
          <w:szCs w:val="32"/>
        </w:rPr>
        <w:t>采购工作的初步安排，具体采购项目情况以相关采购公告和采购文件为准。</w:t>
      </w:r>
    </w:p>
    <w:p>
      <w:pPr>
        <w:pStyle w:val="5"/>
        <w:widowControl/>
        <w:spacing w:beforeAutospacing="0" w:afterAutospacing="0" w:line="360" w:lineRule="exact"/>
        <w:ind w:firstLine="5120" w:firstLineChars="1600"/>
        <w:jc w:val="both"/>
        <w:rPr>
          <w:rFonts w:ascii="仿宋" w:hAnsi="仿宋" w:eastAsia="仿宋" w:cs="微软雅黑"/>
          <w:color w:val="333333"/>
          <w:sz w:val="32"/>
          <w:szCs w:val="32"/>
        </w:rPr>
      </w:pPr>
      <w:r>
        <w:rPr>
          <w:rFonts w:hint="eastAsia" w:ascii="仿宋" w:hAnsi="仿宋" w:eastAsia="仿宋" w:cs="微软雅黑"/>
          <w:color w:val="333333"/>
          <w:sz w:val="32"/>
          <w:szCs w:val="32"/>
        </w:rPr>
        <w:t>青岛市海洋发展局</w:t>
      </w:r>
    </w:p>
    <w:p>
      <w:pPr>
        <w:pStyle w:val="5"/>
        <w:widowControl/>
        <w:spacing w:beforeAutospacing="0" w:afterAutospacing="0" w:line="360" w:lineRule="exact"/>
        <w:ind w:firstLine="5280" w:firstLineChars="1650"/>
        <w:jc w:val="both"/>
      </w:pPr>
      <w:r>
        <w:rPr>
          <w:rFonts w:hint="eastAsia" w:ascii="仿宋" w:hAnsi="仿宋" w:eastAsia="仿宋" w:cs="仿宋_GB2312"/>
          <w:color w:val="333333"/>
          <w:sz w:val="32"/>
          <w:szCs w:val="32"/>
        </w:rPr>
        <w:t>2022年</w:t>
      </w:r>
      <w:r>
        <w:rPr>
          <w:rFonts w:ascii="仿宋" w:hAnsi="仿宋" w:eastAsia="仿宋" w:cs="仿宋_GB2312"/>
          <w:color w:val="333333"/>
          <w:sz w:val="32"/>
          <w:szCs w:val="32"/>
        </w:rPr>
        <w:t>4</w:t>
      </w:r>
      <w:r>
        <w:rPr>
          <w:rFonts w:hint="eastAsia" w:ascii="仿宋" w:hAnsi="仿宋" w:eastAsia="仿宋" w:cs="仿宋_GB2312"/>
          <w:color w:val="333333"/>
          <w:sz w:val="32"/>
          <w:szCs w:val="32"/>
        </w:rPr>
        <w:t>月</w:t>
      </w:r>
      <w:r>
        <w:rPr>
          <w:rFonts w:ascii="仿宋" w:hAnsi="仿宋" w:eastAsia="仿宋" w:cs="仿宋_GB2312"/>
          <w:color w:val="333333"/>
          <w:sz w:val="32"/>
          <w:szCs w:val="32"/>
        </w:rPr>
        <w:t>2</w:t>
      </w:r>
      <w:r>
        <w:rPr>
          <w:rFonts w:hint="eastAsia" w:ascii="仿宋" w:hAnsi="仿宋" w:eastAsia="仿宋" w:cs="仿宋_GB2312"/>
          <w:color w:val="333333"/>
          <w:sz w:val="32"/>
          <w:szCs w:val="32"/>
          <w:lang w:val="en-US" w:eastAsia="zh-CN"/>
        </w:rPr>
        <w:t>9</w:t>
      </w:r>
      <w:r>
        <w:rPr>
          <w:rFonts w:hint="eastAsia" w:ascii="仿宋" w:hAnsi="仿宋" w:eastAsia="仿宋" w:cs="仿宋_GB2312"/>
          <w:color w:val="333333"/>
          <w:sz w:val="32"/>
          <w:szCs w:val="32"/>
        </w:rPr>
        <w:t>日</w:t>
      </w:r>
    </w:p>
    <w:sectPr>
      <w:pgSz w:w="11906" w:h="16838"/>
      <w:pgMar w:top="1247" w:right="1418" w:bottom="1247"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Helvetica">
    <w:altName w:val="DejaVu Sans"/>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jZWI5MjhhNGY0YThkOThmM2ZlYTc4MmFjY2IxODkifQ=="/>
  </w:docVars>
  <w:rsids>
    <w:rsidRoot w:val="004B3422"/>
    <w:rsid w:val="000334B0"/>
    <w:rsid w:val="00063D90"/>
    <w:rsid w:val="00065109"/>
    <w:rsid w:val="000F6687"/>
    <w:rsid w:val="00134CA0"/>
    <w:rsid w:val="00226436"/>
    <w:rsid w:val="0024363D"/>
    <w:rsid w:val="00293701"/>
    <w:rsid w:val="003F5150"/>
    <w:rsid w:val="0043596B"/>
    <w:rsid w:val="004B3422"/>
    <w:rsid w:val="004C2B22"/>
    <w:rsid w:val="00556821"/>
    <w:rsid w:val="006165F1"/>
    <w:rsid w:val="006239E9"/>
    <w:rsid w:val="00742252"/>
    <w:rsid w:val="007A5D80"/>
    <w:rsid w:val="00883AF3"/>
    <w:rsid w:val="0092274C"/>
    <w:rsid w:val="009762B9"/>
    <w:rsid w:val="009B2033"/>
    <w:rsid w:val="00A05649"/>
    <w:rsid w:val="00B82093"/>
    <w:rsid w:val="00B83139"/>
    <w:rsid w:val="00C94D8B"/>
    <w:rsid w:val="00D47672"/>
    <w:rsid w:val="00D8360D"/>
    <w:rsid w:val="00E23A4F"/>
    <w:rsid w:val="00EA6836"/>
    <w:rsid w:val="00EC6641"/>
    <w:rsid w:val="00EE22EE"/>
    <w:rsid w:val="05C95DC7"/>
    <w:rsid w:val="0A3C0E99"/>
    <w:rsid w:val="1BAB62F6"/>
    <w:rsid w:val="247F396A"/>
    <w:rsid w:val="3F0406AE"/>
    <w:rsid w:val="4F0B320A"/>
    <w:rsid w:val="53614514"/>
    <w:rsid w:val="77FF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spacing w:beforeAutospacing="1" w:afterAutospacing="1" w:line="480" w:lineRule="exact"/>
      <w:jc w:val="left"/>
    </w:pPr>
    <w:rPr>
      <w:rFonts w:ascii="Times New Roman" w:hAnsi="Times New Roman" w:eastAsia="仿宋_GB2312"/>
      <w:kern w:val="0"/>
      <w:sz w:val="24"/>
      <w:szCs w:val="20"/>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1941</Words>
  <Characters>2034</Characters>
  <Lines>2</Lines>
  <Paragraphs>1</Paragraphs>
  <TotalTime>9</TotalTime>
  <ScaleCrop>false</ScaleCrop>
  <LinksUpToDate>false</LinksUpToDate>
  <CharactersWithSpaces>2035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2022-04-24T15:06:00Z</dcterms:created>
  <dc:creator>Administrator</dc:creator>
  <cp:lastModifiedBy>uos</cp:lastModifiedBy>
  <cp:lastPrinted>2022-04-28T16:32:00Z</cp:lastPrinted>
  <dcterms:modified xsi:type="dcterms:W3CDTF">2022-05-06T16:50:11Z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51DACD3DB1DF47F998AA540F4FFCA530</vt:lpwstr>
  </property>
</Properties>
</file>